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C32E2" w14:textId="62B22AE8" w:rsidR="003B5355" w:rsidRPr="003221BD" w:rsidRDefault="00000000" w:rsidP="0032193F">
      <w:pPr>
        <w:spacing w:after="0"/>
        <w:jc w:val="center"/>
        <w:rPr>
          <w:rFonts w:ascii="Georgia" w:hAnsi="Georgia"/>
          <w:sz w:val="44"/>
          <w:szCs w:val="44"/>
        </w:rPr>
      </w:pPr>
      <w:r w:rsidRPr="003221BD">
        <w:rPr>
          <w:rFonts w:ascii="Georgia" w:hAnsi="Georgia"/>
          <w:b/>
          <w:color w:val="0B2545"/>
          <w:sz w:val="44"/>
          <w:szCs w:val="44"/>
        </w:rPr>
        <w:t>European Banking Customer Churn</w:t>
      </w:r>
    </w:p>
    <w:p w14:paraId="5CF8EFCD" w14:textId="77777777" w:rsidR="003B5355" w:rsidRDefault="00000000" w:rsidP="003B63A8">
      <w:pPr>
        <w:spacing w:after="0"/>
        <w:jc w:val="center"/>
        <w:rPr>
          <w:rFonts w:ascii="Georgia" w:hAnsi="Georgia"/>
          <w:color w:val="5D6B7A"/>
          <w:sz w:val="20"/>
          <w:szCs w:val="20"/>
        </w:rPr>
      </w:pPr>
      <w:r w:rsidRPr="003B63A8">
        <w:rPr>
          <w:rFonts w:ascii="Georgia" w:hAnsi="Georgia"/>
          <w:color w:val="5D6B7A"/>
          <w:sz w:val="20"/>
          <w:szCs w:val="20"/>
        </w:rPr>
        <w:t>Briefing for Government and Supervisory Stakeholders</w:t>
      </w:r>
    </w:p>
    <w:p w14:paraId="0A2AF4EA" w14:textId="77777777" w:rsidR="003B63A8" w:rsidRPr="003B63A8" w:rsidRDefault="003B63A8" w:rsidP="003B63A8">
      <w:pPr>
        <w:spacing w:after="0"/>
        <w:jc w:val="center"/>
        <w:rPr>
          <w:rFonts w:ascii="Georgia" w:hAnsi="Georgia"/>
          <w:sz w:val="20"/>
          <w:szCs w:val="20"/>
        </w:rPr>
      </w:pPr>
    </w:p>
    <w:tbl>
      <w:tblPr>
        <w:tblW w:w="0" w:type="auto"/>
        <w:tblLayout w:type="fixed"/>
        <w:tblLook w:val="04A0" w:firstRow="1" w:lastRow="0" w:firstColumn="1" w:lastColumn="0" w:noHBand="0" w:noVBand="1"/>
      </w:tblPr>
      <w:tblGrid>
        <w:gridCol w:w="2340"/>
        <w:gridCol w:w="2340"/>
        <w:gridCol w:w="2340"/>
        <w:gridCol w:w="2340"/>
      </w:tblGrid>
      <w:tr w:rsidR="003B5355" w:rsidRPr="003B63A8" w14:paraId="16BD834E" w14:textId="77777777">
        <w:tc>
          <w:tcPr>
            <w:tcW w:w="2340" w:type="dxa"/>
            <w:shd w:val="clear" w:color="auto" w:fill="F2F4F7"/>
            <w:tcMar>
              <w:top w:w="80" w:type="dxa"/>
              <w:left w:w="120" w:type="dxa"/>
              <w:bottom w:w="80" w:type="dxa"/>
              <w:right w:w="120" w:type="dxa"/>
            </w:tcMar>
            <w:vAlign w:val="center"/>
          </w:tcPr>
          <w:p w14:paraId="5514744C" w14:textId="77777777" w:rsidR="003B5355" w:rsidRPr="003B63A8" w:rsidRDefault="00000000" w:rsidP="00B8665C">
            <w:pPr>
              <w:spacing w:after="0"/>
              <w:jc w:val="center"/>
              <w:rPr>
                <w:rFonts w:ascii="Georgia" w:hAnsi="Georgia"/>
                <w:sz w:val="20"/>
                <w:szCs w:val="20"/>
              </w:rPr>
            </w:pPr>
            <w:r w:rsidRPr="003B63A8">
              <w:rPr>
                <w:rFonts w:ascii="Georgia" w:hAnsi="Georgia"/>
                <w:b/>
                <w:color w:val="0B2545"/>
                <w:sz w:val="20"/>
                <w:szCs w:val="20"/>
              </w:rPr>
              <w:t>20.4%</w:t>
            </w:r>
          </w:p>
          <w:p w14:paraId="0CBE65DF" w14:textId="77777777" w:rsidR="003B5355" w:rsidRPr="003B63A8" w:rsidRDefault="00000000" w:rsidP="00B8665C">
            <w:pPr>
              <w:spacing w:after="0"/>
              <w:jc w:val="center"/>
              <w:rPr>
                <w:rFonts w:ascii="Georgia" w:hAnsi="Georgia"/>
                <w:sz w:val="20"/>
                <w:szCs w:val="20"/>
              </w:rPr>
            </w:pPr>
            <w:r w:rsidRPr="003B63A8">
              <w:rPr>
                <w:rFonts w:ascii="Georgia" w:hAnsi="Georgia"/>
                <w:color w:val="5D6B7A"/>
                <w:sz w:val="20"/>
                <w:szCs w:val="20"/>
              </w:rPr>
              <w:t>Portfolio churn</w:t>
            </w:r>
          </w:p>
        </w:tc>
        <w:tc>
          <w:tcPr>
            <w:tcW w:w="2340" w:type="dxa"/>
            <w:shd w:val="clear" w:color="auto" w:fill="F2F4F7"/>
            <w:tcMar>
              <w:top w:w="80" w:type="dxa"/>
              <w:left w:w="120" w:type="dxa"/>
              <w:bottom w:w="80" w:type="dxa"/>
              <w:right w:w="120" w:type="dxa"/>
            </w:tcMar>
            <w:vAlign w:val="center"/>
          </w:tcPr>
          <w:p w14:paraId="7F56E2D1" w14:textId="77777777" w:rsidR="003B5355" w:rsidRPr="003B63A8" w:rsidRDefault="00000000" w:rsidP="00B8665C">
            <w:pPr>
              <w:spacing w:after="0"/>
              <w:jc w:val="center"/>
              <w:rPr>
                <w:rFonts w:ascii="Georgia" w:hAnsi="Georgia"/>
                <w:sz w:val="20"/>
                <w:szCs w:val="20"/>
              </w:rPr>
            </w:pPr>
            <w:r w:rsidRPr="003B63A8">
              <w:rPr>
                <w:rFonts w:ascii="Georgia" w:hAnsi="Georgia"/>
                <w:b/>
                <w:color w:val="0B2545"/>
                <w:sz w:val="20"/>
                <w:szCs w:val="20"/>
              </w:rPr>
              <w:t>32.4%</w:t>
            </w:r>
          </w:p>
          <w:p w14:paraId="43485EB7" w14:textId="77777777" w:rsidR="003B5355" w:rsidRPr="003B63A8" w:rsidRDefault="00000000" w:rsidP="00B8665C">
            <w:pPr>
              <w:spacing w:after="0"/>
              <w:jc w:val="center"/>
              <w:rPr>
                <w:rFonts w:ascii="Georgia" w:hAnsi="Georgia"/>
                <w:sz w:val="20"/>
                <w:szCs w:val="20"/>
              </w:rPr>
            </w:pPr>
            <w:r w:rsidRPr="003B63A8">
              <w:rPr>
                <w:rFonts w:ascii="Georgia" w:hAnsi="Georgia"/>
                <w:color w:val="5D6B7A"/>
                <w:sz w:val="20"/>
                <w:szCs w:val="20"/>
              </w:rPr>
              <w:t>Highest country rate</w:t>
            </w:r>
          </w:p>
        </w:tc>
        <w:tc>
          <w:tcPr>
            <w:tcW w:w="2340" w:type="dxa"/>
            <w:shd w:val="clear" w:color="auto" w:fill="F2F4F7"/>
            <w:tcMar>
              <w:top w:w="80" w:type="dxa"/>
              <w:left w:w="120" w:type="dxa"/>
              <w:bottom w:w="80" w:type="dxa"/>
              <w:right w:w="120" w:type="dxa"/>
            </w:tcMar>
            <w:vAlign w:val="center"/>
          </w:tcPr>
          <w:p w14:paraId="4A6676CF" w14:textId="77777777" w:rsidR="003B5355" w:rsidRPr="003B63A8" w:rsidRDefault="00000000" w:rsidP="00B8665C">
            <w:pPr>
              <w:spacing w:after="0"/>
              <w:jc w:val="center"/>
              <w:rPr>
                <w:rFonts w:ascii="Georgia" w:hAnsi="Georgia"/>
                <w:sz w:val="20"/>
                <w:szCs w:val="20"/>
              </w:rPr>
            </w:pPr>
            <w:r w:rsidRPr="003B63A8">
              <w:rPr>
                <w:rFonts w:ascii="Georgia" w:hAnsi="Georgia"/>
                <w:b/>
                <w:color w:val="0B2545"/>
                <w:sz w:val="20"/>
                <w:szCs w:val="20"/>
              </w:rPr>
              <w:t>26.9%</w:t>
            </w:r>
          </w:p>
          <w:p w14:paraId="57E8C55B" w14:textId="77777777" w:rsidR="003B5355" w:rsidRPr="003B63A8" w:rsidRDefault="00000000" w:rsidP="00B8665C">
            <w:pPr>
              <w:spacing w:after="0"/>
              <w:jc w:val="center"/>
              <w:rPr>
                <w:rFonts w:ascii="Georgia" w:hAnsi="Georgia"/>
                <w:sz w:val="20"/>
                <w:szCs w:val="20"/>
              </w:rPr>
            </w:pPr>
            <w:r w:rsidRPr="003B63A8">
              <w:rPr>
                <w:rFonts w:ascii="Georgia" w:hAnsi="Georgia"/>
                <w:color w:val="5D6B7A"/>
                <w:sz w:val="20"/>
                <w:szCs w:val="20"/>
              </w:rPr>
              <w:t>Inactive-member churn</w:t>
            </w:r>
          </w:p>
        </w:tc>
        <w:tc>
          <w:tcPr>
            <w:tcW w:w="2340" w:type="dxa"/>
            <w:shd w:val="clear" w:color="auto" w:fill="F2F4F7"/>
            <w:tcMar>
              <w:top w:w="80" w:type="dxa"/>
              <w:left w:w="120" w:type="dxa"/>
              <w:bottom w:w="80" w:type="dxa"/>
              <w:right w:w="120" w:type="dxa"/>
            </w:tcMar>
            <w:vAlign w:val="center"/>
          </w:tcPr>
          <w:p w14:paraId="17E80BF4" w14:textId="77777777" w:rsidR="003B5355" w:rsidRPr="003B63A8" w:rsidRDefault="00000000" w:rsidP="00B8665C">
            <w:pPr>
              <w:spacing w:after="0"/>
              <w:jc w:val="center"/>
              <w:rPr>
                <w:rFonts w:ascii="Georgia" w:hAnsi="Georgia"/>
                <w:sz w:val="20"/>
                <w:szCs w:val="20"/>
              </w:rPr>
            </w:pPr>
            <w:r w:rsidRPr="003B63A8">
              <w:rPr>
                <w:rFonts w:ascii="Georgia" w:hAnsi="Georgia"/>
                <w:b/>
                <w:color w:val="0B2545"/>
                <w:sz w:val="20"/>
                <w:szCs w:val="20"/>
              </w:rPr>
              <w:t>23.7%</w:t>
            </w:r>
          </w:p>
          <w:p w14:paraId="3C1F4597" w14:textId="77777777" w:rsidR="003B5355" w:rsidRPr="003B63A8" w:rsidRDefault="00000000" w:rsidP="00B8665C">
            <w:pPr>
              <w:spacing w:after="0"/>
              <w:jc w:val="center"/>
              <w:rPr>
                <w:rFonts w:ascii="Georgia" w:hAnsi="Georgia"/>
                <w:sz w:val="20"/>
                <w:szCs w:val="20"/>
              </w:rPr>
            </w:pPr>
            <w:r w:rsidRPr="003B63A8">
              <w:rPr>
                <w:rFonts w:ascii="Georgia" w:hAnsi="Georgia"/>
                <w:color w:val="5D6B7A"/>
                <w:sz w:val="20"/>
                <w:szCs w:val="20"/>
              </w:rPr>
              <w:t>Premium churn</w:t>
            </w:r>
          </w:p>
        </w:tc>
      </w:tr>
    </w:tbl>
    <w:p w14:paraId="7F630BD1" w14:textId="77777777" w:rsidR="003B5355" w:rsidRPr="003B63A8" w:rsidRDefault="00000000">
      <w:pPr>
        <w:pStyle w:val="Heading1"/>
        <w:rPr>
          <w:rFonts w:ascii="Georgia" w:hAnsi="Georgia"/>
          <w:sz w:val="20"/>
          <w:szCs w:val="20"/>
        </w:rPr>
      </w:pPr>
      <w:r w:rsidRPr="003B63A8">
        <w:rPr>
          <w:rFonts w:ascii="Georgia" w:hAnsi="Georgia"/>
          <w:sz w:val="20"/>
          <w:szCs w:val="20"/>
        </w:rPr>
        <w:t>Decision Message</w:t>
      </w:r>
    </w:p>
    <w:p w14:paraId="15C951E1" w14:textId="77777777" w:rsidR="003B5355" w:rsidRPr="003B63A8" w:rsidRDefault="00000000" w:rsidP="00B8665C">
      <w:pPr>
        <w:spacing w:after="120" w:line="264" w:lineRule="auto"/>
        <w:jc w:val="both"/>
        <w:rPr>
          <w:rFonts w:ascii="Georgia" w:hAnsi="Georgia"/>
          <w:sz w:val="20"/>
          <w:szCs w:val="20"/>
        </w:rPr>
      </w:pPr>
      <w:r w:rsidRPr="003B63A8">
        <w:rPr>
          <w:rFonts w:ascii="Georgia" w:hAnsi="Georgia"/>
          <w:sz w:val="20"/>
          <w:szCs w:val="20"/>
        </w:rPr>
        <w:t>The data indicate material, uneven customer churn rather than a single portfolio-wide pattern. The strongest descriptive signals are regional variation, inactivity, older age bands, and the exit of high-balance relationships. These patterns warrant targeted supervisory dialogue on service quality, fair treatment and continuity of access - not an inference of misconduct or causality.</w:t>
      </w:r>
    </w:p>
    <w:p w14:paraId="6756EF71" w14:textId="77777777" w:rsidR="003B5355" w:rsidRPr="003B63A8" w:rsidRDefault="00000000">
      <w:pPr>
        <w:pStyle w:val="Heading1"/>
        <w:rPr>
          <w:rFonts w:ascii="Georgia" w:hAnsi="Georgia"/>
          <w:sz w:val="20"/>
          <w:szCs w:val="20"/>
        </w:rPr>
      </w:pPr>
      <w:r w:rsidRPr="003B63A8">
        <w:rPr>
          <w:rFonts w:ascii="Georgia" w:hAnsi="Georgia"/>
          <w:sz w:val="20"/>
          <w:szCs w:val="20"/>
        </w:rPr>
        <w:t>What the evidence shows</w:t>
      </w:r>
    </w:p>
    <w:p w14:paraId="0D2C9F91" w14:textId="77777777" w:rsidR="003B5355" w:rsidRPr="003B63A8" w:rsidRDefault="00000000" w:rsidP="00B8665C">
      <w:pPr>
        <w:pStyle w:val="ListBullet"/>
        <w:spacing w:after="80" w:line="264" w:lineRule="auto"/>
        <w:jc w:val="both"/>
        <w:rPr>
          <w:rFonts w:ascii="Georgia" w:hAnsi="Georgia"/>
          <w:sz w:val="20"/>
          <w:szCs w:val="20"/>
        </w:rPr>
      </w:pPr>
      <w:r w:rsidRPr="003B63A8">
        <w:rPr>
          <w:rFonts w:ascii="Georgia" w:hAnsi="Georgia"/>
          <w:sz w:val="20"/>
          <w:szCs w:val="20"/>
        </w:rPr>
        <w:t>20.4% of the 10,000 customers exited (2,037 people).</w:t>
      </w:r>
    </w:p>
    <w:p w14:paraId="03F2252B" w14:textId="77777777" w:rsidR="003B5355" w:rsidRPr="003B63A8" w:rsidRDefault="00000000" w:rsidP="00B8665C">
      <w:pPr>
        <w:pStyle w:val="ListBullet"/>
        <w:spacing w:after="80" w:line="264" w:lineRule="auto"/>
        <w:jc w:val="both"/>
        <w:rPr>
          <w:rFonts w:ascii="Georgia" w:hAnsi="Georgia"/>
          <w:sz w:val="20"/>
          <w:szCs w:val="20"/>
        </w:rPr>
      </w:pPr>
      <w:r w:rsidRPr="003B63A8">
        <w:rPr>
          <w:rFonts w:ascii="Georgia" w:hAnsi="Georgia"/>
          <w:sz w:val="20"/>
          <w:szCs w:val="20"/>
        </w:rPr>
        <w:t>Germany has the highest observed churn rate (32.4%); country differences should be investigated with local context.</w:t>
      </w:r>
    </w:p>
    <w:p w14:paraId="7B888B87" w14:textId="77777777" w:rsidR="003B5355" w:rsidRPr="003B63A8" w:rsidRDefault="00000000" w:rsidP="00B8665C">
      <w:pPr>
        <w:pStyle w:val="ListBullet"/>
        <w:spacing w:after="80" w:line="264" w:lineRule="auto"/>
        <w:jc w:val="both"/>
        <w:rPr>
          <w:rFonts w:ascii="Georgia" w:hAnsi="Georgia"/>
          <w:sz w:val="20"/>
          <w:szCs w:val="20"/>
        </w:rPr>
      </w:pPr>
      <w:r w:rsidRPr="003B63A8">
        <w:rPr>
          <w:rFonts w:ascii="Georgia" w:hAnsi="Georgia"/>
          <w:sz w:val="20"/>
          <w:szCs w:val="20"/>
        </w:rPr>
        <w:t>Customers aged 46-60 carry the highest age-band churn rate (51.1%).</w:t>
      </w:r>
    </w:p>
    <w:p w14:paraId="405DC0FD" w14:textId="77777777" w:rsidR="003B5355" w:rsidRPr="003B63A8" w:rsidRDefault="00000000" w:rsidP="00B8665C">
      <w:pPr>
        <w:pStyle w:val="ListBullet"/>
        <w:spacing w:after="80" w:line="264" w:lineRule="auto"/>
        <w:jc w:val="both"/>
        <w:rPr>
          <w:rFonts w:ascii="Georgia" w:hAnsi="Georgia"/>
          <w:sz w:val="20"/>
          <w:szCs w:val="20"/>
        </w:rPr>
      </w:pPr>
      <w:r w:rsidRPr="003B63A8">
        <w:rPr>
          <w:rFonts w:ascii="Georgia" w:hAnsi="Georgia"/>
          <w:sz w:val="20"/>
          <w:szCs w:val="20"/>
        </w:rPr>
        <w:t>Inactive customers churn at 26.9%, versus 14.3% among active customers.</w:t>
      </w:r>
    </w:p>
    <w:p w14:paraId="67C188FE" w14:textId="77777777" w:rsidR="003B5355" w:rsidRPr="003B63A8" w:rsidRDefault="00000000" w:rsidP="00B8665C">
      <w:pPr>
        <w:pStyle w:val="ListBullet"/>
        <w:spacing w:after="80" w:line="264" w:lineRule="auto"/>
        <w:jc w:val="both"/>
        <w:rPr>
          <w:rFonts w:ascii="Georgia" w:hAnsi="Georgia"/>
          <w:sz w:val="20"/>
          <w:szCs w:val="20"/>
        </w:rPr>
      </w:pPr>
      <w:r w:rsidRPr="003B63A8">
        <w:rPr>
          <w:rFonts w:ascii="Georgia" w:hAnsi="Georgia"/>
          <w:sz w:val="20"/>
          <w:szCs w:val="20"/>
        </w:rPr>
        <w:t>Premium-balance customers (top-quartile balance, &gt;= 127,644) churn at 23.7%; this raises potential relationship-value and stability concerns.</w:t>
      </w:r>
    </w:p>
    <w:p w14:paraId="06B1655F" w14:textId="77777777" w:rsidR="003B5355" w:rsidRPr="003B63A8" w:rsidRDefault="00000000" w:rsidP="008E1DAA">
      <w:pPr>
        <w:jc w:val="center"/>
        <w:rPr>
          <w:rFonts w:ascii="Georgia" w:hAnsi="Georgia"/>
          <w:sz w:val="20"/>
          <w:szCs w:val="20"/>
        </w:rPr>
      </w:pPr>
      <w:r w:rsidRPr="003B63A8">
        <w:rPr>
          <w:rFonts w:ascii="Georgia" w:hAnsi="Georgia"/>
          <w:noProof/>
          <w:sz w:val="20"/>
          <w:szCs w:val="20"/>
        </w:rPr>
        <w:drawing>
          <wp:inline distT="0" distB="0" distL="0" distR="0" wp14:anchorId="78FDE010" wp14:editId="1B720BA5">
            <wp:extent cx="4625340" cy="2151618"/>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raphy_churn.png"/>
                    <pic:cNvPicPr/>
                  </pic:nvPicPr>
                  <pic:blipFill>
                    <a:blip r:embed="rId8"/>
                    <a:stretch>
                      <a:fillRect/>
                    </a:stretch>
                  </pic:blipFill>
                  <pic:spPr>
                    <a:xfrm>
                      <a:off x="0" y="0"/>
                      <a:ext cx="4638644" cy="2157807"/>
                    </a:xfrm>
                    <a:prstGeom prst="rect">
                      <a:avLst/>
                    </a:prstGeom>
                  </pic:spPr>
                </pic:pic>
              </a:graphicData>
            </a:graphic>
          </wp:inline>
        </w:drawing>
      </w:r>
    </w:p>
    <w:p w14:paraId="5E8AB2F8" w14:textId="6DD7FCD1" w:rsidR="003B5355" w:rsidRPr="003B63A8" w:rsidRDefault="00000000">
      <w:pPr>
        <w:pStyle w:val="Heading1"/>
        <w:rPr>
          <w:rFonts w:ascii="Georgia" w:hAnsi="Georgia"/>
          <w:sz w:val="20"/>
          <w:szCs w:val="20"/>
        </w:rPr>
      </w:pPr>
      <w:r w:rsidRPr="003B63A8">
        <w:rPr>
          <w:rFonts w:ascii="Georgia" w:hAnsi="Georgia"/>
          <w:sz w:val="20"/>
          <w:szCs w:val="20"/>
        </w:rPr>
        <w:t>Recommended stakeholder actions</w:t>
      </w:r>
    </w:p>
    <w:tbl>
      <w:tblPr>
        <w:tblStyle w:val="TableGrid"/>
        <w:tblW w:w="9195" w:type="dxa"/>
        <w:jc w:val="center"/>
        <w:tblLayout w:type="fixed"/>
        <w:tblLook w:val="04A0" w:firstRow="1" w:lastRow="0" w:firstColumn="1" w:lastColumn="0" w:noHBand="0" w:noVBand="1"/>
      </w:tblPr>
      <w:tblGrid>
        <w:gridCol w:w="2175"/>
        <w:gridCol w:w="7020"/>
      </w:tblGrid>
      <w:tr w:rsidR="003B5355" w:rsidRPr="003B63A8" w14:paraId="20BA3935" w14:textId="77777777" w:rsidTr="00DE62F5">
        <w:trPr>
          <w:jc w:val="center"/>
        </w:trPr>
        <w:tc>
          <w:tcPr>
            <w:tcW w:w="2175" w:type="dxa"/>
            <w:shd w:val="clear" w:color="auto" w:fill="F2F4F7"/>
            <w:tcMar>
              <w:top w:w="80" w:type="dxa"/>
              <w:left w:w="120" w:type="dxa"/>
              <w:bottom w:w="80" w:type="dxa"/>
              <w:right w:w="120" w:type="dxa"/>
            </w:tcMar>
            <w:vAlign w:val="center"/>
          </w:tcPr>
          <w:p w14:paraId="0A00BC8C" w14:textId="77777777" w:rsidR="003B5355" w:rsidRPr="003B63A8" w:rsidRDefault="00000000">
            <w:pPr>
              <w:rPr>
                <w:rFonts w:ascii="Georgia" w:hAnsi="Georgia"/>
                <w:sz w:val="20"/>
                <w:szCs w:val="20"/>
              </w:rPr>
            </w:pPr>
            <w:r w:rsidRPr="003B63A8">
              <w:rPr>
                <w:rFonts w:ascii="Georgia" w:hAnsi="Georgia"/>
                <w:b/>
                <w:color w:val="0B2545"/>
                <w:sz w:val="20"/>
                <w:szCs w:val="20"/>
              </w:rPr>
              <w:t>Action</w:t>
            </w:r>
          </w:p>
        </w:tc>
        <w:tc>
          <w:tcPr>
            <w:tcW w:w="7020" w:type="dxa"/>
            <w:shd w:val="clear" w:color="auto" w:fill="F2F4F7"/>
            <w:tcMar>
              <w:top w:w="80" w:type="dxa"/>
              <w:left w:w="120" w:type="dxa"/>
              <w:bottom w:w="80" w:type="dxa"/>
              <w:right w:w="120" w:type="dxa"/>
            </w:tcMar>
            <w:vAlign w:val="center"/>
          </w:tcPr>
          <w:p w14:paraId="594E0247" w14:textId="77777777" w:rsidR="003B5355" w:rsidRPr="003B63A8" w:rsidRDefault="00000000">
            <w:pPr>
              <w:rPr>
                <w:rFonts w:ascii="Georgia" w:hAnsi="Georgia"/>
                <w:sz w:val="20"/>
                <w:szCs w:val="20"/>
              </w:rPr>
            </w:pPr>
            <w:r w:rsidRPr="003B63A8">
              <w:rPr>
                <w:rFonts w:ascii="Georgia" w:hAnsi="Georgia"/>
                <w:b/>
                <w:color w:val="0B2545"/>
                <w:sz w:val="20"/>
                <w:szCs w:val="20"/>
              </w:rPr>
              <w:t>Why it matters</w:t>
            </w:r>
          </w:p>
        </w:tc>
      </w:tr>
      <w:tr w:rsidR="003B5355" w:rsidRPr="003B63A8" w14:paraId="2D0F7606" w14:textId="77777777" w:rsidTr="00DE62F5">
        <w:trPr>
          <w:jc w:val="center"/>
        </w:trPr>
        <w:tc>
          <w:tcPr>
            <w:tcW w:w="2175" w:type="dxa"/>
          </w:tcPr>
          <w:p w14:paraId="233170CF" w14:textId="77777777" w:rsidR="003B5355" w:rsidRPr="003B63A8" w:rsidRDefault="00000000">
            <w:pPr>
              <w:rPr>
                <w:rFonts w:ascii="Georgia" w:hAnsi="Georgia"/>
                <w:sz w:val="20"/>
                <w:szCs w:val="20"/>
              </w:rPr>
            </w:pPr>
            <w:r w:rsidRPr="003B63A8">
              <w:rPr>
                <w:rFonts w:ascii="Georgia" w:hAnsi="Georgia"/>
                <w:sz w:val="20"/>
                <w:szCs w:val="20"/>
              </w:rPr>
              <w:t>Request segment reporting</w:t>
            </w:r>
          </w:p>
        </w:tc>
        <w:tc>
          <w:tcPr>
            <w:tcW w:w="7020" w:type="dxa"/>
          </w:tcPr>
          <w:p w14:paraId="3AC184C6" w14:textId="77777777" w:rsidR="003B5355" w:rsidRPr="003B63A8" w:rsidRDefault="00000000">
            <w:pPr>
              <w:rPr>
                <w:rFonts w:ascii="Georgia" w:hAnsi="Georgia"/>
                <w:sz w:val="20"/>
                <w:szCs w:val="20"/>
              </w:rPr>
            </w:pPr>
            <w:r w:rsidRPr="003B63A8">
              <w:rPr>
                <w:rFonts w:ascii="Georgia" w:hAnsi="Georgia"/>
                <w:sz w:val="20"/>
                <w:szCs w:val="20"/>
              </w:rPr>
              <w:t>Require quarterly churn, complaints, closure reasons and retention outcomes split by geography, age band, activity and balance tier.</w:t>
            </w:r>
          </w:p>
        </w:tc>
      </w:tr>
      <w:tr w:rsidR="003B5355" w:rsidRPr="003B63A8" w14:paraId="4313DA4F" w14:textId="77777777" w:rsidTr="00DE62F5">
        <w:trPr>
          <w:jc w:val="center"/>
        </w:trPr>
        <w:tc>
          <w:tcPr>
            <w:tcW w:w="2175" w:type="dxa"/>
          </w:tcPr>
          <w:p w14:paraId="452F92B4" w14:textId="77777777" w:rsidR="003B5355" w:rsidRPr="003B63A8" w:rsidRDefault="00000000">
            <w:pPr>
              <w:rPr>
                <w:rFonts w:ascii="Georgia" w:hAnsi="Georgia"/>
                <w:sz w:val="20"/>
                <w:szCs w:val="20"/>
              </w:rPr>
            </w:pPr>
            <w:r w:rsidRPr="003B63A8">
              <w:rPr>
                <w:rFonts w:ascii="Georgia" w:hAnsi="Georgia"/>
                <w:sz w:val="20"/>
                <w:szCs w:val="20"/>
              </w:rPr>
              <w:t>Test fair-treatment controls</w:t>
            </w:r>
          </w:p>
        </w:tc>
        <w:tc>
          <w:tcPr>
            <w:tcW w:w="7020" w:type="dxa"/>
          </w:tcPr>
          <w:p w14:paraId="4D1BEB04" w14:textId="77777777" w:rsidR="003B5355" w:rsidRPr="003B63A8" w:rsidRDefault="00000000">
            <w:pPr>
              <w:rPr>
                <w:rFonts w:ascii="Georgia" w:hAnsi="Georgia"/>
                <w:sz w:val="20"/>
                <w:szCs w:val="20"/>
              </w:rPr>
            </w:pPr>
            <w:r w:rsidRPr="003B63A8">
              <w:rPr>
                <w:rFonts w:ascii="Georgia" w:hAnsi="Georgia"/>
                <w:sz w:val="20"/>
                <w:szCs w:val="20"/>
              </w:rPr>
              <w:t>Assess whether retention offers and account-service changes are equitable; prohibit adverse automated decisions based solely on demographic features.</w:t>
            </w:r>
          </w:p>
        </w:tc>
      </w:tr>
      <w:tr w:rsidR="003B5355" w:rsidRPr="003B63A8" w14:paraId="5A9174C2" w14:textId="77777777" w:rsidTr="00DE62F5">
        <w:trPr>
          <w:jc w:val="center"/>
        </w:trPr>
        <w:tc>
          <w:tcPr>
            <w:tcW w:w="2175" w:type="dxa"/>
          </w:tcPr>
          <w:p w14:paraId="6BAAEB14" w14:textId="77777777" w:rsidR="003B5355" w:rsidRPr="003B63A8" w:rsidRDefault="00000000">
            <w:pPr>
              <w:rPr>
                <w:rFonts w:ascii="Georgia" w:hAnsi="Georgia"/>
                <w:sz w:val="20"/>
                <w:szCs w:val="20"/>
              </w:rPr>
            </w:pPr>
            <w:r w:rsidRPr="003B63A8">
              <w:rPr>
                <w:rFonts w:ascii="Georgia" w:hAnsi="Georgia"/>
                <w:sz w:val="20"/>
                <w:szCs w:val="20"/>
              </w:rPr>
              <w:t>Focus on preventable friction</w:t>
            </w:r>
          </w:p>
        </w:tc>
        <w:tc>
          <w:tcPr>
            <w:tcW w:w="7020" w:type="dxa"/>
          </w:tcPr>
          <w:p w14:paraId="17094B10" w14:textId="77777777" w:rsidR="003B5355" w:rsidRPr="003B63A8" w:rsidRDefault="00000000">
            <w:pPr>
              <w:rPr>
                <w:rFonts w:ascii="Georgia" w:hAnsi="Georgia"/>
                <w:sz w:val="20"/>
                <w:szCs w:val="20"/>
              </w:rPr>
            </w:pPr>
            <w:r w:rsidRPr="003B63A8">
              <w:rPr>
                <w:rFonts w:ascii="Georgia" w:hAnsi="Georgia"/>
                <w:sz w:val="20"/>
                <w:szCs w:val="20"/>
              </w:rPr>
              <w:t>Ask German-market providers to review service, pricing and digital-journey friction associated with higher exit rates.</w:t>
            </w:r>
          </w:p>
        </w:tc>
      </w:tr>
      <w:tr w:rsidR="003B5355" w:rsidRPr="003B63A8" w14:paraId="4A42D219" w14:textId="77777777" w:rsidTr="00DE62F5">
        <w:trPr>
          <w:jc w:val="center"/>
        </w:trPr>
        <w:tc>
          <w:tcPr>
            <w:tcW w:w="2175" w:type="dxa"/>
          </w:tcPr>
          <w:p w14:paraId="19392F6A" w14:textId="77777777" w:rsidR="003B5355" w:rsidRPr="003B63A8" w:rsidRDefault="00000000">
            <w:pPr>
              <w:rPr>
                <w:rFonts w:ascii="Georgia" w:hAnsi="Georgia"/>
                <w:sz w:val="20"/>
                <w:szCs w:val="20"/>
              </w:rPr>
            </w:pPr>
            <w:r w:rsidRPr="003B63A8">
              <w:rPr>
                <w:rFonts w:ascii="Georgia" w:hAnsi="Georgia"/>
                <w:sz w:val="20"/>
                <w:szCs w:val="20"/>
              </w:rPr>
              <w:t>Protect vulnerable continuity</w:t>
            </w:r>
          </w:p>
        </w:tc>
        <w:tc>
          <w:tcPr>
            <w:tcW w:w="7020" w:type="dxa"/>
          </w:tcPr>
          <w:p w14:paraId="41DCAF6D" w14:textId="77777777" w:rsidR="003B5355" w:rsidRPr="003B63A8" w:rsidRDefault="00000000">
            <w:pPr>
              <w:rPr>
                <w:rFonts w:ascii="Georgia" w:hAnsi="Georgia"/>
                <w:sz w:val="20"/>
                <w:szCs w:val="20"/>
              </w:rPr>
            </w:pPr>
            <w:r w:rsidRPr="003B63A8">
              <w:rPr>
                <w:rFonts w:ascii="Georgia" w:hAnsi="Georgia"/>
                <w:sz w:val="20"/>
                <w:szCs w:val="20"/>
              </w:rPr>
              <w:t>Monitor whether churn reflects loss of access for older or less digitally engaged customers; ensure accessible support routes.</w:t>
            </w:r>
          </w:p>
        </w:tc>
      </w:tr>
      <w:tr w:rsidR="003B5355" w:rsidRPr="003B63A8" w14:paraId="2500022B" w14:textId="77777777" w:rsidTr="00DE62F5">
        <w:trPr>
          <w:jc w:val="center"/>
        </w:trPr>
        <w:tc>
          <w:tcPr>
            <w:tcW w:w="2175" w:type="dxa"/>
          </w:tcPr>
          <w:p w14:paraId="0082D956" w14:textId="77777777" w:rsidR="003B5355" w:rsidRPr="003B63A8" w:rsidRDefault="00000000">
            <w:pPr>
              <w:rPr>
                <w:rFonts w:ascii="Georgia" w:hAnsi="Georgia"/>
                <w:sz w:val="20"/>
                <w:szCs w:val="20"/>
              </w:rPr>
            </w:pPr>
            <w:r w:rsidRPr="003B63A8">
              <w:rPr>
                <w:rFonts w:ascii="Georgia" w:hAnsi="Georgia"/>
                <w:sz w:val="20"/>
                <w:szCs w:val="20"/>
              </w:rPr>
              <w:t>Measure intervention value</w:t>
            </w:r>
          </w:p>
        </w:tc>
        <w:tc>
          <w:tcPr>
            <w:tcW w:w="7020" w:type="dxa"/>
          </w:tcPr>
          <w:p w14:paraId="36D859F6" w14:textId="77777777" w:rsidR="003B5355" w:rsidRPr="003B63A8" w:rsidRDefault="00000000">
            <w:pPr>
              <w:rPr>
                <w:rFonts w:ascii="Georgia" w:hAnsi="Georgia"/>
                <w:sz w:val="20"/>
                <w:szCs w:val="20"/>
              </w:rPr>
            </w:pPr>
            <w:r w:rsidRPr="003B63A8">
              <w:rPr>
                <w:rFonts w:ascii="Georgia" w:hAnsi="Georgia"/>
                <w:sz w:val="20"/>
                <w:szCs w:val="20"/>
              </w:rPr>
              <w:t>Pilot re-engagement with clear consent and opt-out; track uplift, complaints and differential outcomes before scaling.</w:t>
            </w:r>
          </w:p>
        </w:tc>
      </w:tr>
    </w:tbl>
    <w:p w14:paraId="0C5FFBB9" w14:textId="77777777" w:rsidR="003B5355" w:rsidRPr="003B63A8" w:rsidRDefault="00000000">
      <w:pPr>
        <w:pStyle w:val="Heading1"/>
        <w:rPr>
          <w:rFonts w:ascii="Georgia" w:hAnsi="Georgia"/>
          <w:sz w:val="20"/>
          <w:szCs w:val="20"/>
        </w:rPr>
      </w:pPr>
      <w:r w:rsidRPr="003B63A8">
        <w:rPr>
          <w:rFonts w:ascii="Georgia" w:hAnsi="Georgia"/>
          <w:sz w:val="20"/>
          <w:szCs w:val="20"/>
        </w:rPr>
        <w:lastRenderedPageBreak/>
        <w:t>Safeguards and caveats</w:t>
      </w:r>
    </w:p>
    <w:p w14:paraId="5948A25A" w14:textId="77777777" w:rsidR="003B5355" w:rsidRPr="003B63A8" w:rsidRDefault="00000000" w:rsidP="00B8665C">
      <w:pPr>
        <w:spacing w:after="120" w:line="264" w:lineRule="auto"/>
        <w:jc w:val="both"/>
        <w:rPr>
          <w:rFonts w:ascii="Georgia" w:hAnsi="Georgia"/>
          <w:sz w:val="20"/>
          <w:szCs w:val="20"/>
        </w:rPr>
      </w:pPr>
      <w:r w:rsidRPr="003B63A8">
        <w:rPr>
          <w:rFonts w:ascii="Georgia" w:hAnsi="Georgia"/>
          <w:sz w:val="20"/>
          <w:szCs w:val="20"/>
        </w:rPr>
        <w:t>The dataset contains no transaction history, reason-for-exit information, product pricing, service contacts or longitudinal observations. Accordingly, findings are associations only. Any future predictive use should include purpose limitation, data minimisation, human oversight, fairness testing and transparent customer communication.</w:t>
      </w:r>
    </w:p>
    <w:p w14:paraId="52892EBC" w14:textId="77777777" w:rsidR="003B5355" w:rsidRPr="003B63A8" w:rsidRDefault="00000000">
      <w:pPr>
        <w:pStyle w:val="Heading1"/>
        <w:rPr>
          <w:rFonts w:ascii="Georgia" w:hAnsi="Georgia"/>
          <w:sz w:val="20"/>
          <w:szCs w:val="20"/>
        </w:rPr>
      </w:pPr>
      <w:r w:rsidRPr="003B63A8">
        <w:rPr>
          <w:rFonts w:ascii="Georgia" w:hAnsi="Georgia"/>
          <w:sz w:val="20"/>
          <w:szCs w:val="20"/>
        </w:rPr>
        <w:t>Monitoring indicators</w:t>
      </w:r>
    </w:p>
    <w:p w14:paraId="73D2CC8B" w14:textId="77777777" w:rsidR="003B5355" w:rsidRPr="003B63A8" w:rsidRDefault="00000000" w:rsidP="00B8665C">
      <w:pPr>
        <w:spacing w:after="120" w:line="264" w:lineRule="auto"/>
        <w:jc w:val="both"/>
        <w:rPr>
          <w:rFonts w:ascii="Georgia" w:hAnsi="Georgia"/>
          <w:sz w:val="20"/>
          <w:szCs w:val="20"/>
        </w:rPr>
      </w:pPr>
      <w:r w:rsidRPr="003B63A8">
        <w:rPr>
          <w:rFonts w:ascii="Georgia" w:hAnsi="Georgia"/>
          <w:sz w:val="20"/>
          <w:szCs w:val="20"/>
        </w:rPr>
        <w:t>Recommended dashboard indicators are: overall and segment churn rate; churn contribution; churn by geography-age intersection; inactivity-to-active churn ratio; premium-balance churn rate; service-complaint rate; and retention-offer acceptance and outcome rates.</w:t>
      </w:r>
    </w:p>
    <w:sectPr w:rsidR="003B5355" w:rsidRPr="003B63A8" w:rsidSect="00B8665C">
      <w:headerReference w:type="default" r:id="rId9"/>
      <w:pgSz w:w="12240" w:h="15840"/>
      <w:pgMar w:top="630" w:right="1440" w:bottom="1440" w:left="1440" w:header="708" w:footer="18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51838" w14:textId="77777777" w:rsidR="00E42EEA" w:rsidRDefault="00E42EEA">
      <w:pPr>
        <w:spacing w:after="0" w:line="240" w:lineRule="auto"/>
      </w:pPr>
      <w:r>
        <w:separator/>
      </w:r>
    </w:p>
  </w:endnote>
  <w:endnote w:type="continuationSeparator" w:id="0">
    <w:p w14:paraId="04204009" w14:textId="77777777" w:rsidR="00E42EEA" w:rsidRDefault="00E42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C4B4A" w14:textId="77777777" w:rsidR="00E42EEA" w:rsidRDefault="00E42EEA">
      <w:pPr>
        <w:spacing w:after="0" w:line="240" w:lineRule="auto"/>
      </w:pPr>
      <w:r>
        <w:separator/>
      </w:r>
    </w:p>
  </w:footnote>
  <w:footnote w:type="continuationSeparator" w:id="0">
    <w:p w14:paraId="2B7A82DE" w14:textId="77777777" w:rsidR="00E42EEA" w:rsidRDefault="00E42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DA55" w14:textId="06AE7C35" w:rsidR="003B5355" w:rsidRDefault="003B535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253877">
    <w:abstractNumId w:val="8"/>
  </w:num>
  <w:num w:numId="2" w16cid:durableId="1615015335">
    <w:abstractNumId w:val="6"/>
  </w:num>
  <w:num w:numId="3" w16cid:durableId="1031224511">
    <w:abstractNumId w:val="5"/>
  </w:num>
  <w:num w:numId="4" w16cid:durableId="72942172">
    <w:abstractNumId w:val="4"/>
  </w:num>
  <w:num w:numId="5" w16cid:durableId="681516260">
    <w:abstractNumId w:val="7"/>
  </w:num>
  <w:num w:numId="6" w16cid:durableId="1028675629">
    <w:abstractNumId w:val="3"/>
  </w:num>
  <w:num w:numId="7" w16cid:durableId="362947058">
    <w:abstractNumId w:val="2"/>
  </w:num>
  <w:num w:numId="8" w16cid:durableId="1574199231">
    <w:abstractNumId w:val="1"/>
  </w:num>
  <w:num w:numId="9" w16cid:durableId="1354459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93F"/>
    <w:rsid w:val="003221BD"/>
    <w:rsid w:val="00326F90"/>
    <w:rsid w:val="003B5355"/>
    <w:rsid w:val="003B63A8"/>
    <w:rsid w:val="00782188"/>
    <w:rsid w:val="008E1DAA"/>
    <w:rsid w:val="00AA1D8D"/>
    <w:rsid w:val="00B47730"/>
    <w:rsid w:val="00B8665C"/>
    <w:rsid w:val="00CB0664"/>
    <w:rsid w:val="00D538A7"/>
    <w:rsid w:val="00DE62F5"/>
    <w:rsid w:val="00E42E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7CAB"/>
  <w14:defaultImageDpi w14:val="300"/>
  <w15:docId w15:val="{D9FE1FD0-E6A3-48C6-B3F2-43A038006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Vishwas Palankar</cp:lastModifiedBy>
  <cp:revision>8</cp:revision>
  <dcterms:created xsi:type="dcterms:W3CDTF">2013-12-23T23:15:00Z</dcterms:created>
  <dcterms:modified xsi:type="dcterms:W3CDTF">2026-08-01T09:19:00Z</dcterms:modified>
  <cp:category/>
</cp:coreProperties>
</file>