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80" w:line="264" w:lineRule="auto"/>
        <w:jc w:val="left"/>
      </w:pPr>
      <w:r>
        <w:rPr>
          <w:rFonts w:ascii="Calibri" w:hAnsi="Calibri"/>
          <w:b/>
          <w:i w:val="0"/>
          <w:color w:val="5B6066"/>
          <w:sz w:val="22"/>
        </w:rPr>
        <w:t>SYSTEM-LEVEL SOFTWARE DESIGN SPECIFICATION</w:t>
      </w:r>
    </w:p>
    <w:p>
      <w:pPr>
        <w:keepNext w:val="0"/>
        <w:spacing w:before="0" w:after="80" w:line="264" w:lineRule="auto"/>
        <w:jc w:val="left"/>
      </w:pPr>
      <w:r>
        <w:rPr>
          <w:rFonts w:ascii="Calibri" w:hAnsi="Calibri"/>
          <w:b/>
          <w:i w:val="0"/>
          <w:color w:val="FA4616"/>
          <w:sz w:val="64"/>
        </w:rPr>
        <w:t>Kaching</w:t>
      </w:r>
    </w:p>
    <w:p>
      <w:pPr>
        <w:keepNext w:val="0"/>
        <w:spacing w:before="0" w:after="440" w:line="264" w:lineRule="auto"/>
        <w:jc w:val="left"/>
      </w:pPr>
      <w:r>
        <w:rPr>
          <w:rFonts w:ascii="Calibri" w:hAnsi="Calibri"/>
          <w:b w:val="0"/>
          <w:i w:val="0"/>
          <w:color w:val="24272A"/>
          <w:sz w:val="34"/>
        </w:rPr>
        <w:t>Point-of-Sale Application</w:t>
      </w:r>
    </w:p>
    <w:tbl>
      <w:tblPr>
        <w:tblW w:type="dxa" w:w="9360"/>
        <w:jc w:val="left"/>
        <w:tblLayout w:type="fixed"/>
        <w:tblLook w:firstColumn="1" w:firstRow="1" w:lastColumn="0" w:lastRow="0" w:noHBand="0" w:noVBand="1" w:val="04A0"/>
        <w:tblInd w:w="120" w:type="dxa"/>
        <w:tblBorders>
          <w:top w:val="single" w:sz="10" w:color="FA4616"/>
          <w:left w:val="single" w:sz="10" w:color="FA4616"/>
          <w:bottom w:val="single" w:sz="10" w:color="FA4616"/>
          <w:right w:val="single" w:sz="10" w:color="FA4616"/>
          <w:insideH w:val="single" w:sz="10" w:color="FA4616"/>
          <w:insideV w:val="single" w:sz="10" w:color="FA4616"/>
        </w:tblBorders>
      </w:tblPr>
      <w:tblGrid>
        <w:gridCol w:w="9360"/>
      </w:tblGrid>
      <w:tr>
        <w:tc>
          <w:tcPr>
            <w:tcW w:type="dxa" w:w="9360"/>
            <w:tcMar>
              <w:top w:w="80" w:type="dxa"/>
              <w:start w:w="120" w:type="dxa"/>
              <w:bottom w:w="80" w:type="dxa"/>
              <w:end w:w="120" w:type="dxa"/>
            </w:tcMar>
            <w:vAlign w:val="center"/>
            <w:shd w:fill="FFF2ED"/>
          </w:tcPr>
          <w:p>
            <w:pPr>
              <w:spacing w:after="60"/>
            </w:pPr>
            <w:r>
              <w:rPr>
                <w:rFonts w:ascii="Calibri" w:hAnsi="Calibri"/>
                <w:b/>
                <w:i w:val="0"/>
                <w:color w:val="FA4616"/>
                <w:sz w:val="22"/>
              </w:rPr>
              <w:t xml:space="preserve">Document purpose: </w:t>
            </w:r>
            <w:r>
              <w:rPr>
                <w:rFonts w:ascii="Calibri" w:hAnsi="Calibri"/>
                <w:b w:val="0"/>
                <w:i w:val="0"/>
                <w:color w:val="24272A"/>
                <w:sz w:val="22"/>
              </w:rPr>
              <w:t>Define the system-wide architecture, technology choices, interfaces, data strategy, security controls, deployment topology, and design conventions that all Kaching features must follow.</w:t>
            </w:r>
          </w:p>
        </w:tc>
      </w:tr>
    </w:tbl>
    <w:p>
      <w:pPr>
        <w:spacing w:after="40"/>
      </w:pP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700"/>
        <w:gridCol w:w="6660"/>
      </w:tblGrid>
      <w:tr>
        <w:trPr>
          <w:tblHeader w:val="true"/>
          <w:cantSplit w:val="true"/>
        </w:trPr>
        <w:tc>
          <w:tcPr>
            <w:tcW w:type="dxa" w:w="2700"/>
            <w:tcMar>
              <w:top w:w="80" w:type="dxa"/>
              <w:start w:w="120" w:type="dxa"/>
              <w:bottom w:w="80" w:type="dxa"/>
              <w:end w:w="120" w:type="dxa"/>
            </w:tcMar>
            <w:vAlign w:val="center"/>
            <w:shd w:fill="FFC72C"/>
          </w:tcPr>
          <w:p>
            <w:pPr>
              <w:spacing w:after="0"/>
              <w:jc w:val="left"/>
            </w:pPr>
            <w:r>
              <w:rPr>
                <w:rFonts w:ascii="Calibri" w:hAnsi="Calibri"/>
                <w:b/>
                <w:i w:val="0"/>
                <w:color w:val="24272A"/>
                <w:sz w:val="20"/>
              </w:rPr>
              <w:t>Field</w:t>
            </w:r>
          </w:p>
        </w:tc>
        <w:tc>
          <w:tcPr>
            <w:tcW w:type="dxa" w:w="6660"/>
            <w:tcMar>
              <w:top w:w="80" w:type="dxa"/>
              <w:start w:w="120" w:type="dxa"/>
              <w:bottom w:w="80" w:type="dxa"/>
              <w:end w:w="120" w:type="dxa"/>
            </w:tcMar>
            <w:vAlign w:val="center"/>
            <w:shd w:fill="FFC72C"/>
          </w:tcPr>
          <w:p>
            <w:pPr>
              <w:spacing w:after="0"/>
              <w:jc w:val="left"/>
            </w:pPr>
            <w:r>
              <w:rPr>
                <w:rFonts w:ascii="Calibri" w:hAnsi="Calibri"/>
                <w:b/>
                <w:i w:val="0"/>
                <w:color w:val="24272A"/>
                <w:sz w:val="20"/>
              </w:rPr>
              <w:t>Value</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24272A"/>
                <w:sz w:val="20"/>
              </w:rPr>
              <w:t>Document</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24272A"/>
                <w:sz w:val="20"/>
              </w:rPr>
              <w:t>System-Level Software Design Specification</w:t>
            </w:r>
          </w:p>
        </w:tc>
      </w:tr>
      <w:tr>
        <w:trPr>
          <w:cantSplit w:val="true"/>
        </w:trPr>
        <w:tc>
          <w:tcPr>
            <w:tcW w:type="dxa" w:w="27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20"/>
              </w:rPr>
              <w:t>Version</w:t>
            </w:r>
          </w:p>
        </w:tc>
        <w:tc>
          <w:tcPr>
            <w:tcW w:type="dxa" w:w="66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20"/>
              </w:rPr>
              <w:t>0.1</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24272A"/>
                <w:sz w:val="20"/>
              </w:rPr>
              <w:t>Status</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24272A"/>
                <w:sz w:val="20"/>
              </w:rPr>
              <w:t>Sample Draft for Editing</w:t>
            </w:r>
          </w:p>
        </w:tc>
      </w:tr>
      <w:tr>
        <w:trPr>
          <w:cantSplit w:val="true"/>
        </w:trPr>
        <w:tc>
          <w:tcPr>
            <w:tcW w:type="dxa" w:w="27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20"/>
              </w:rPr>
              <w:t>Date</w:t>
            </w:r>
          </w:p>
        </w:tc>
        <w:tc>
          <w:tcPr>
            <w:tcW w:type="dxa" w:w="66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20"/>
              </w:rPr>
              <w:t>17 August 2026</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24272A"/>
                <w:sz w:val="20"/>
              </w:rPr>
              <w:t>Prepared by</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24272A"/>
                <w:sz w:val="20"/>
              </w:rPr>
              <w:t>[Student Name]</w:t>
            </w:r>
          </w:p>
        </w:tc>
      </w:tr>
      <w:tr>
        <w:trPr>
          <w:cantSplit w:val="true"/>
        </w:trPr>
        <w:tc>
          <w:tcPr>
            <w:tcW w:type="dxa" w:w="27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20"/>
              </w:rPr>
              <w:t>Product</w:t>
            </w:r>
          </w:p>
        </w:tc>
        <w:tc>
          <w:tcPr>
            <w:tcW w:type="dxa" w:w="66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20"/>
              </w:rPr>
              <w:t>Kaching</w:t>
            </w:r>
          </w:p>
        </w:tc>
      </w:tr>
    </w:tbl>
    <w:p>
      <w:pPr>
        <w:spacing w:after="40"/>
      </w:pPr>
    </w:p>
    <w:p>
      <w:pPr>
        <w:keepNext w:val="0"/>
        <w:spacing w:before="0" w:after="80" w:line="264" w:lineRule="auto"/>
        <w:jc w:val="left"/>
      </w:pPr>
      <w:r>
        <w:rPr>
          <w:rFonts w:ascii="Calibri" w:hAnsi="Calibri"/>
          <w:b/>
          <w:i w:val="0"/>
          <w:color w:val="B33100"/>
          <w:sz w:val="22"/>
        </w:rPr>
        <w:t>Design baseline</w:t>
      </w:r>
    </w:p>
    <w:p>
      <w:pPr>
        <w:spacing w:after="160" w:line="280" w:lineRule="auto"/>
        <w:numPr>
          <w:ilvl w:val="0"/>
          <w:numId w:val="10"/>
        </w:numPr>
      </w:pPr>
      <w:r>
        <w:rPr>
          <w:rFonts w:ascii="Calibri" w:hAnsi="Calibri"/>
          <w:b w:val="0"/>
          <w:i w:val="0"/>
          <w:color w:val="24272A"/>
          <w:sz w:val="22"/>
        </w:rPr>
        <w:t>Current SRS containing FR-001 to FR-038, BR-001 to BR-020, and NFR-001 to NFR-011.</w:t>
      </w:r>
    </w:p>
    <w:p>
      <w:pPr>
        <w:spacing w:after="160" w:line="280" w:lineRule="auto"/>
        <w:numPr>
          <w:ilvl w:val="0"/>
          <w:numId w:val="10"/>
        </w:numPr>
      </w:pPr>
      <w:r>
        <w:rPr>
          <w:rFonts w:ascii="Calibri" w:hAnsi="Calibri"/>
          <w:b w:val="0"/>
          <w:i w:val="0"/>
          <w:color w:val="24272A"/>
          <w:sz w:val="22"/>
        </w:rPr>
        <w:t>Feature Inventory containing Feature-A to Feature-R.</w:t>
      </w:r>
    </w:p>
    <w:p>
      <w:pPr>
        <w:spacing w:after="160" w:line="280" w:lineRule="auto"/>
        <w:numPr>
          <w:ilvl w:val="0"/>
          <w:numId w:val="10"/>
        </w:numPr>
      </w:pPr>
      <w:r>
        <w:rPr>
          <w:rFonts w:ascii="Calibri" w:hAnsi="Calibri"/>
          <w:b w:val="0"/>
          <w:i w:val="0"/>
          <w:color w:val="24272A"/>
          <w:sz w:val="22"/>
        </w:rPr>
        <w:t>Approved additions for administration, barcode-based product entry, global catalog pricing, capacity, recovery, connectivity, and English-only user interface.</w:t>
      </w:r>
    </w:p>
    <w:p>
      <w:r>
        <w:br w:type="page"/>
      </w:r>
    </w:p>
    <w:p>
      <w:pPr>
        <w:pStyle w:val="Heading1"/>
        <w:keepNext/>
      </w:pPr>
      <w:r>
        <w:t>Document Control</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1200"/>
        <w:gridCol w:w="1700"/>
        <w:gridCol w:w="2100"/>
        <w:gridCol w:w="4360"/>
      </w:tblGrid>
      <w:tr>
        <w:trPr>
          <w:tblHeader w:val="true"/>
          <w:cantSplit w:val="true"/>
        </w:trPr>
        <w:tc>
          <w:tcPr>
            <w:tcW w:type="dxa" w:w="1200"/>
            <w:tcMar>
              <w:top w:w="80" w:type="dxa"/>
              <w:start w:w="120" w:type="dxa"/>
              <w:bottom w:w="80" w:type="dxa"/>
              <w:end w:w="120" w:type="dxa"/>
            </w:tcMar>
            <w:vAlign w:val="center"/>
            <w:shd w:fill="FFC72C"/>
          </w:tcPr>
          <w:p>
            <w:pPr>
              <w:spacing w:after="0"/>
              <w:jc w:val="left"/>
            </w:pPr>
            <w:r>
              <w:rPr>
                <w:rFonts w:ascii="Calibri" w:hAnsi="Calibri"/>
                <w:b/>
                <w:i w:val="0"/>
                <w:color w:val="24272A"/>
                <w:sz w:val="18"/>
              </w:rPr>
              <w:t>Version</w:t>
            </w:r>
          </w:p>
        </w:tc>
        <w:tc>
          <w:tcPr>
            <w:tcW w:type="dxa" w:w="1700"/>
            <w:tcMar>
              <w:top w:w="80" w:type="dxa"/>
              <w:start w:w="120" w:type="dxa"/>
              <w:bottom w:w="80" w:type="dxa"/>
              <w:end w:w="120" w:type="dxa"/>
            </w:tcMar>
            <w:vAlign w:val="center"/>
            <w:shd w:fill="FFC72C"/>
          </w:tcPr>
          <w:p>
            <w:pPr>
              <w:spacing w:after="0"/>
              <w:jc w:val="left"/>
            </w:pPr>
            <w:r>
              <w:rPr>
                <w:rFonts w:ascii="Calibri" w:hAnsi="Calibri"/>
                <w:b/>
                <w:i w:val="0"/>
                <w:color w:val="24272A"/>
                <w:sz w:val="18"/>
              </w:rPr>
              <w:t>Date</w:t>
            </w:r>
          </w:p>
        </w:tc>
        <w:tc>
          <w:tcPr>
            <w:tcW w:type="dxa" w:w="2100"/>
            <w:tcMar>
              <w:top w:w="80" w:type="dxa"/>
              <w:start w:w="120" w:type="dxa"/>
              <w:bottom w:w="80" w:type="dxa"/>
              <w:end w:w="120" w:type="dxa"/>
            </w:tcMar>
            <w:vAlign w:val="center"/>
            <w:shd w:fill="FFC72C"/>
          </w:tcPr>
          <w:p>
            <w:pPr>
              <w:spacing w:after="0"/>
              <w:jc w:val="left"/>
            </w:pPr>
            <w:r>
              <w:rPr>
                <w:rFonts w:ascii="Calibri" w:hAnsi="Calibri"/>
                <w:b/>
                <w:i w:val="0"/>
                <w:color w:val="24272A"/>
                <w:sz w:val="18"/>
              </w:rPr>
              <w:t>Author</w:t>
            </w:r>
          </w:p>
        </w:tc>
        <w:tc>
          <w:tcPr>
            <w:tcW w:type="dxa" w:w="4360"/>
            <w:tcMar>
              <w:top w:w="80" w:type="dxa"/>
              <w:start w:w="120" w:type="dxa"/>
              <w:bottom w:w="80" w:type="dxa"/>
              <w:end w:w="120" w:type="dxa"/>
            </w:tcMar>
            <w:vAlign w:val="center"/>
            <w:shd w:fill="FFC72C"/>
          </w:tcPr>
          <w:p>
            <w:pPr>
              <w:spacing w:after="0"/>
              <w:jc w:val="left"/>
            </w:pPr>
            <w:r>
              <w:rPr>
                <w:rFonts w:ascii="Calibri" w:hAnsi="Calibri"/>
                <w:b/>
                <w:i w:val="0"/>
                <w:color w:val="24272A"/>
                <w:sz w:val="18"/>
              </w:rPr>
              <w:t>Summary</w:t>
            </w:r>
          </w:p>
        </w:tc>
      </w:tr>
      <w:tr>
        <w:trPr>
          <w:cantSplit w:val="true"/>
        </w:trPr>
        <w:tc>
          <w:tcPr>
            <w:tcW w:type="dxa" w:w="1200"/>
            <w:tcMar>
              <w:top w:w="80" w:type="dxa"/>
              <w:start w:w="120" w:type="dxa"/>
              <w:bottom w:w="80" w:type="dxa"/>
              <w:end w:w="120" w:type="dxa"/>
            </w:tcMar>
            <w:vAlign w:val="center"/>
          </w:tcPr>
          <w:p>
            <w:pPr>
              <w:spacing w:after="0" w:line="252" w:lineRule="auto"/>
            </w:pPr>
            <w:r>
              <w:rPr>
                <w:rFonts w:ascii="Calibri" w:hAnsi="Calibri"/>
                <w:b w:val="0"/>
                <w:i w:val="0"/>
                <w:color w:val="24272A"/>
                <w:sz w:val="18"/>
              </w:rPr>
              <w:t>0.1</w:t>
            </w:r>
          </w:p>
        </w:tc>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4272A"/>
                <w:sz w:val="18"/>
              </w:rPr>
              <w:t>17 Aug 2026</w:t>
            </w:r>
          </w:p>
        </w:tc>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8"/>
              </w:rPr>
              <w:t>[Student Name]</w:t>
            </w:r>
          </w:p>
        </w:tc>
        <w:tc>
          <w:tcPr>
            <w:tcW w:type="dxa" w:w="4360"/>
            <w:tcMar>
              <w:top w:w="80" w:type="dxa"/>
              <w:start w:w="120" w:type="dxa"/>
              <w:bottom w:w="80" w:type="dxa"/>
              <w:end w:w="120" w:type="dxa"/>
            </w:tcMar>
            <w:vAlign w:val="center"/>
          </w:tcPr>
          <w:p>
            <w:pPr>
              <w:spacing w:after="0" w:line="252" w:lineRule="auto"/>
            </w:pPr>
            <w:r>
              <w:rPr>
                <w:rFonts w:ascii="Calibri" w:hAnsi="Calibri"/>
                <w:b w:val="0"/>
                <w:i w:val="0"/>
                <w:color w:val="24272A"/>
                <w:sz w:val="18"/>
              </w:rPr>
              <w:t>Initial system-level design based on the approved SRS and clarification decisions.</w:t>
            </w:r>
          </w:p>
        </w:tc>
      </w:tr>
    </w:tbl>
    <w:p>
      <w:pPr>
        <w:spacing w:after="40"/>
      </w:pPr>
    </w:p>
    <w:p>
      <w:pPr>
        <w:pStyle w:val="Heading1"/>
        <w:keepNext/>
      </w:pPr>
      <w:r>
        <w:t>Contents</w:t>
      </w:r>
    </w:p>
    <w:p>
      <w:pPr>
        <w:spacing w:after="160" w:line="280" w:lineRule="auto"/>
        <w:numPr>
          <w:ilvl w:val="0"/>
          <w:numId w:val="10"/>
        </w:numPr>
      </w:pPr>
      <w:r>
        <w:rPr>
          <w:rFonts w:ascii="Calibri" w:hAnsi="Calibri"/>
          <w:b w:val="0"/>
          <w:i w:val="0"/>
          <w:color w:val="24272A"/>
          <w:sz w:val="22"/>
        </w:rPr>
        <w:t>1. Introduction</w:t>
      </w:r>
    </w:p>
    <w:p>
      <w:pPr>
        <w:spacing w:after="160" w:line="280" w:lineRule="auto"/>
        <w:numPr>
          <w:ilvl w:val="0"/>
          <w:numId w:val="10"/>
        </w:numPr>
      </w:pPr>
      <w:r>
        <w:rPr>
          <w:rFonts w:ascii="Calibri" w:hAnsi="Calibri"/>
          <w:b w:val="0"/>
          <w:i w:val="0"/>
          <w:color w:val="24272A"/>
          <w:sz w:val="22"/>
        </w:rPr>
        <w:t>2. Architectural Drivers</w:t>
      </w:r>
    </w:p>
    <w:p>
      <w:pPr>
        <w:spacing w:after="160" w:line="280" w:lineRule="auto"/>
        <w:numPr>
          <w:ilvl w:val="0"/>
          <w:numId w:val="10"/>
        </w:numPr>
      </w:pPr>
      <w:r>
        <w:rPr>
          <w:rFonts w:ascii="Calibri" w:hAnsi="Calibri"/>
          <w:b w:val="0"/>
          <w:i w:val="0"/>
          <w:color w:val="24272A"/>
          <w:sz w:val="22"/>
        </w:rPr>
        <w:t>3. System Context</w:t>
      </w:r>
    </w:p>
    <w:p>
      <w:pPr>
        <w:spacing w:after="160" w:line="280" w:lineRule="auto"/>
        <w:numPr>
          <w:ilvl w:val="0"/>
          <w:numId w:val="10"/>
        </w:numPr>
      </w:pPr>
      <w:r>
        <w:rPr>
          <w:rFonts w:ascii="Calibri" w:hAnsi="Calibri"/>
          <w:b w:val="0"/>
          <w:i w:val="0"/>
          <w:color w:val="24272A"/>
          <w:sz w:val="22"/>
        </w:rPr>
        <w:t>4. Architecture Overview</w:t>
      </w:r>
    </w:p>
    <w:p>
      <w:pPr>
        <w:spacing w:after="160" w:line="280" w:lineRule="auto"/>
        <w:numPr>
          <w:ilvl w:val="0"/>
          <w:numId w:val="10"/>
        </w:numPr>
      </w:pPr>
      <w:r>
        <w:rPr>
          <w:rFonts w:ascii="Calibri" w:hAnsi="Calibri"/>
          <w:b w:val="0"/>
          <w:i w:val="0"/>
          <w:color w:val="24272A"/>
          <w:sz w:val="22"/>
        </w:rPr>
        <w:t>5. Deployment Architecture</w:t>
      </w:r>
    </w:p>
    <w:p>
      <w:pPr>
        <w:spacing w:after="160" w:line="280" w:lineRule="auto"/>
        <w:numPr>
          <w:ilvl w:val="0"/>
          <w:numId w:val="10"/>
        </w:numPr>
      </w:pPr>
      <w:r>
        <w:rPr>
          <w:rFonts w:ascii="Calibri" w:hAnsi="Calibri"/>
          <w:b w:val="0"/>
          <w:i w:val="0"/>
          <w:color w:val="24272A"/>
          <w:sz w:val="22"/>
        </w:rPr>
        <w:t>6. Application Structure</w:t>
      </w:r>
    </w:p>
    <w:p>
      <w:pPr>
        <w:spacing w:after="160" w:line="280" w:lineRule="auto"/>
        <w:numPr>
          <w:ilvl w:val="0"/>
          <w:numId w:val="10"/>
        </w:numPr>
      </w:pPr>
      <w:r>
        <w:rPr>
          <w:rFonts w:ascii="Calibri" w:hAnsi="Calibri"/>
          <w:b w:val="0"/>
          <w:i w:val="0"/>
          <w:color w:val="24272A"/>
          <w:sz w:val="22"/>
        </w:rPr>
        <w:t>7. Data Architecture</w:t>
      </w:r>
    </w:p>
    <w:p>
      <w:pPr>
        <w:spacing w:after="160" w:line="280" w:lineRule="auto"/>
        <w:numPr>
          <w:ilvl w:val="0"/>
          <w:numId w:val="10"/>
        </w:numPr>
      </w:pPr>
      <w:r>
        <w:rPr>
          <w:rFonts w:ascii="Calibri" w:hAnsi="Calibri"/>
          <w:b w:val="0"/>
          <w:i w:val="0"/>
          <w:color w:val="24272A"/>
          <w:sz w:val="22"/>
        </w:rPr>
        <w:t>8. Integration Design</w:t>
      </w:r>
    </w:p>
    <w:p>
      <w:pPr>
        <w:spacing w:after="160" w:line="280" w:lineRule="auto"/>
        <w:numPr>
          <w:ilvl w:val="0"/>
          <w:numId w:val="10"/>
        </w:numPr>
      </w:pPr>
      <w:r>
        <w:rPr>
          <w:rFonts w:ascii="Calibri" w:hAnsi="Calibri"/>
          <w:b w:val="0"/>
          <w:i w:val="0"/>
          <w:color w:val="24272A"/>
          <w:sz w:val="22"/>
        </w:rPr>
        <w:t>9. Security Design</w:t>
      </w:r>
    </w:p>
    <w:p>
      <w:pPr>
        <w:spacing w:after="160" w:line="280" w:lineRule="auto"/>
        <w:numPr>
          <w:ilvl w:val="0"/>
          <w:numId w:val="10"/>
        </w:numPr>
      </w:pPr>
      <w:r>
        <w:rPr>
          <w:rFonts w:ascii="Calibri" w:hAnsi="Calibri"/>
          <w:b w:val="0"/>
          <w:i w:val="0"/>
          <w:color w:val="24272A"/>
          <w:sz w:val="22"/>
        </w:rPr>
        <w:t>10. User Interface Standards</w:t>
      </w:r>
    </w:p>
    <w:p>
      <w:pPr>
        <w:spacing w:after="160" w:line="280" w:lineRule="auto"/>
        <w:numPr>
          <w:ilvl w:val="0"/>
          <w:numId w:val="10"/>
        </w:numPr>
      </w:pPr>
      <w:r>
        <w:rPr>
          <w:rFonts w:ascii="Calibri" w:hAnsi="Calibri"/>
          <w:b w:val="0"/>
          <w:i w:val="0"/>
          <w:color w:val="24272A"/>
          <w:sz w:val="22"/>
        </w:rPr>
        <w:t>11. Observability and Operations</w:t>
      </w:r>
    </w:p>
    <w:p>
      <w:pPr>
        <w:spacing w:after="160" w:line="280" w:lineRule="auto"/>
        <w:numPr>
          <w:ilvl w:val="0"/>
          <w:numId w:val="10"/>
        </w:numPr>
      </w:pPr>
      <w:r>
        <w:rPr>
          <w:rFonts w:ascii="Calibri" w:hAnsi="Calibri"/>
          <w:b w:val="0"/>
          <w:i w:val="0"/>
          <w:color w:val="24272A"/>
          <w:sz w:val="22"/>
        </w:rPr>
        <w:t>12. Performance, Availability, and Recovery</w:t>
      </w:r>
    </w:p>
    <w:p>
      <w:pPr>
        <w:spacing w:after="160" w:line="280" w:lineRule="auto"/>
        <w:numPr>
          <w:ilvl w:val="0"/>
          <w:numId w:val="10"/>
        </w:numPr>
      </w:pPr>
      <w:r>
        <w:rPr>
          <w:rFonts w:ascii="Calibri" w:hAnsi="Calibri"/>
          <w:b w:val="0"/>
          <w:i w:val="0"/>
          <w:color w:val="24272A"/>
          <w:sz w:val="22"/>
        </w:rPr>
        <w:t>13. Development and Delivery</w:t>
      </w:r>
    </w:p>
    <w:p>
      <w:pPr>
        <w:spacing w:after="160" w:line="280" w:lineRule="auto"/>
        <w:numPr>
          <w:ilvl w:val="0"/>
          <w:numId w:val="10"/>
        </w:numPr>
      </w:pPr>
      <w:r>
        <w:rPr>
          <w:rFonts w:ascii="Calibri" w:hAnsi="Calibri"/>
          <w:b w:val="0"/>
          <w:i w:val="0"/>
          <w:color w:val="24272A"/>
          <w:sz w:val="22"/>
        </w:rPr>
        <w:t>14. System Test Strategy</w:t>
      </w:r>
    </w:p>
    <w:p>
      <w:pPr>
        <w:spacing w:after="160" w:line="280" w:lineRule="auto"/>
        <w:numPr>
          <w:ilvl w:val="0"/>
          <w:numId w:val="10"/>
        </w:numPr>
      </w:pPr>
      <w:r>
        <w:rPr>
          <w:rFonts w:ascii="Calibri" w:hAnsi="Calibri"/>
          <w:b w:val="0"/>
          <w:i w:val="0"/>
          <w:color w:val="24272A"/>
          <w:sz w:val="22"/>
        </w:rPr>
        <w:t>15. Feature Allocation</w:t>
      </w:r>
    </w:p>
    <w:p>
      <w:pPr>
        <w:spacing w:after="160" w:line="280" w:lineRule="auto"/>
        <w:numPr>
          <w:ilvl w:val="0"/>
          <w:numId w:val="10"/>
        </w:numPr>
      </w:pPr>
      <w:r>
        <w:rPr>
          <w:rFonts w:ascii="Calibri" w:hAnsi="Calibri"/>
          <w:b w:val="0"/>
          <w:i w:val="0"/>
          <w:color w:val="24272A"/>
          <w:sz w:val="22"/>
        </w:rPr>
        <w:t>16. Key Design Decisions and Risks</w:t>
      </w:r>
    </w:p>
    <w:p>
      <w:pPr>
        <w:spacing w:after="160" w:line="280" w:lineRule="auto"/>
        <w:numPr>
          <w:ilvl w:val="0"/>
          <w:numId w:val="10"/>
        </w:numPr>
      </w:pPr>
      <w:r>
        <w:rPr>
          <w:rFonts w:ascii="Calibri" w:hAnsi="Calibri"/>
          <w:b w:val="0"/>
          <w:i w:val="0"/>
          <w:color w:val="24272A"/>
          <w:sz w:val="22"/>
        </w:rPr>
        <w:t>17. Required Upstream SRS Amendments</w:t>
      </w:r>
    </w:p>
    <w:p>
      <w:pPr>
        <w:spacing w:after="160" w:line="280" w:lineRule="auto"/>
        <w:numPr>
          <w:ilvl w:val="0"/>
          <w:numId w:val="10"/>
        </w:numPr>
      </w:pPr>
      <w:r>
        <w:rPr>
          <w:rFonts w:ascii="Calibri" w:hAnsi="Calibri"/>
          <w:b w:val="0"/>
          <w:i w:val="0"/>
          <w:color w:val="24272A"/>
          <w:sz w:val="22"/>
        </w:rPr>
        <w:t>18. References</w:t>
      </w:r>
    </w:p>
    <w:p>
      <w:pPr>
        <w:pStyle w:val="Heading1"/>
        <w:keepNext/>
      </w:pPr>
      <w:r>
        <w:t>1. Introduction</w:t>
      </w:r>
    </w:p>
    <w:p>
      <w:pPr>
        <w:pStyle w:val="Heading2"/>
        <w:keepNext/>
      </w:pPr>
      <w:r>
        <w:t>1.1 Purpose</w:t>
      </w:r>
    </w:p>
    <w:p>
      <w:pPr>
        <w:keepNext w:val="0"/>
        <w:spacing w:before="0" w:after="120" w:line="264" w:lineRule="auto"/>
        <w:jc w:val="left"/>
      </w:pPr>
      <w:r>
        <w:rPr>
          <w:rFonts w:ascii="Calibri" w:hAnsi="Calibri"/>
          <w:b w:val="0"/>
          <w:i w:val="0"/>
          <w:color w:val="24272A"/>
          <w:sz w:val="22"/>
        </w:rPr>
        <w:t>This SDS defines the system-level design for Kaching, a multi-store point-of-sale application. It translates the approved requirements and feature inventory into a coherent technical architecture. It intentionally stops short of screen-by-screen, class-level, and endpoint-level feature specifications, which belong in later feature design documents.</w:t>
      </w:r>
    </w:p>
    <w:p>
      <w:pPr>
        <w:pStyle w:val="Heading2"/>
        <w:keepNext/>
      </w:pPr>
      <w:r>
        <w:t>1.2 Scope</w:t>
      </w:r>
    </w:p>
    <w:p>
      <w:pPr>
        <w:keepNext w:val="0"/>
        <w:spacing w:before="0" w:after="120" w:line="264" w:lineRule="auto"/>
        <w:jc w:val="left"/>
      </w:pPr>
      <w:r>
        <w:rPr>
          <w:rFonts w:ascii="Calibri" w:hAnsi="Calibri"/>
          <w:b w:val="0"/>
          <w:i w:val="0"/>
          <w:color w:val="24272A"/>
          <w:sz w:val="22"/>
        </w:rPr>
        <w:t>Kaching supports counter checkout, order-level discounts, Thai VAT-inclusive totals, cash and credit-card payments, durable sale recording, receipt printing, asynchronous inventory updates, daily sales reporting, product and price maintenance, operational exception monitoring, auditing, and administration of users, stores, and terminals.</w:t>
      </w:r>
    </w:p>
    <w:p>
      <w:pPr>
        <w:pStyle w:val="Heading2"/>
        <w:keepNext/>
      </w:pPr>
      <w:r>
        <w:t>1.3 Exclusions</w:t>
      </w:r>
    </w:p>
    <w:p>
      <w:pPr>
        <w:spacing w:after="160" w:line="280" w:lineRule="auto"/>
        <w:numPr>
          <w:ilvl w:val="0"/>
          <w:numId w:val="10"/>
        </w:numPr>
      </w:pPr>
      <w:r>
        <w:rPr>
          <w:rFonts w:ascii="Calibri" w:hAnsi="Calibri"/>
          <w:b w:val="0"/>
          <w:i w:val="0"/>
          <w:color w:val="24272A"/>
          <w:sz w:val="22"/>
        </w:rPr>
        <w:t>Returns, refunds, and refund receipts.</w:t>
      </w:r>
    </w:p>
    <w:p>
      <w:pPr>
        <w:spacing w:after="160" w:line="280" w:lineRule="auto"/>
        <w:numPr>
          <w:ilvl w:val="0"/>
          <w:numId w:val="10"/>
        </w:numPr>
      </w:pPr>
      <w:r>
        <w:rPr>
          <w:rFonts w:ascii="Calibri" w:hAnsi="Calibri"/>
          <w:b w:val="0"/>
          <w:i w:val="0"/>
          <w:color w:val="24272A"/>
          <w:sz w:val="22"/>
        </w:rPr>
        <w:t>Customer Service Counter integration.</w:t>
      </w:r>
    </w:p>
    <w:p>
      <w:pPr>
        <w:spacing w:after="160" w:line="280" w:lineRule="auto"/>
        <w:numPr>
          <w:ilvl w:val="0"/>
          <w:numId w:val="10"/>
        </w:numPr>
      </w:pPr>
      <w:r>
        <w:rPr>
          <w:rFonts w:ascii="Calibri" w:hAnsi="Calibri"/>
          <w:b w:val="0"/>
          <w:i w:val="0"/>
          <w:color w:val="24272A"/>
          <w:sz w:val="22"/>
        </w:rPr>
        <w:t>Split payments.</w:t>
      </w:r>
    </w:p>
    <w:p>
      <w:pPr>
        <w:spacing w:after="160" w:line="280" w:lineRule="auto"/>
        <w:numPr>
          <w:ilvl w:val="0"/>
          <w:numId w:val="10"/>
        </w:numPr>
      </w:pPr>
      <w:r>
        <w:rPr>
          <w:rFonts w:ascii="Calibri" w:hAnsi="Calibri"/>
          <w:b w:val="0"/>
          <w:i w:val="0"/>
          <w:color w:val="24272A"/>
          <w:sz w:val="22"/>
        </w:rPr>
        <w:t>Synchronous inventory-availability checking.</w:t>
      </w:r>
    </w:p>
    <w:p>
      <w:pPr>
        <w:spacing w:after="160" w:line="280" w:lineRule="auto"/>
        <w:numPr>
          <w:ilvl w:val="0"/>
          <w:numId w:val="10"/>
        </w:numPr>
      </w:pPr>
      <w:r>
        <w:rPr>
          <w:rFonts w:ascii="Calibri" w:hAnsi="Calibri"/>
          <w:b w:val="0"/>
          <w:i w:val="0"/>
          <w:color w:val="24272A"/>
          <w:sz w:val="22"/>
        </w:rPr>
        <w:t>Offline sale processing when a terminal cannot reach the Kaching backend.</w:t>
      </w:r>
    </w:p>
    <w:p>
      <w:pPr>
        <w:pStyle w:val="Heading2"/>
        <w:keepNext/>
      </w:pPr>
      <w:r>
        <w:t>1.4 Intended Audience</w:t>
      </w:r>
    </w:p>
    <w:p>
      <w:pPr>
        <w:keepNext w:val="0"/>
        <w:spacing w:before="0" w:after="120" w:line="264" w:lineRule="auto"/>
        <w:jc w:val="left"/>
      </w:pPr>
      <w:r>
        <w:rPr>
          <w:rFonts w:ascii="Calibri" w:hAnsi="Calibri"/>
          <w:b w:val="0"/>
          <w:i w:val="0"/>
          <w:color w:val="24272A"/>
          <w:sz w:val="22"/>
        </w:rPr>
        <w:t>The intended readers are software engineers, architects, database designers, testers, DevOps engineers, security reviewers, instructors, and future feature-design authors.</w:t>
      </w:r>
    </w:p>
    <w:p>
      <w:pPr>
        <w:pStyle w:val="Heading2"/>
        <w:keepNext/>
      </w:pPr>
      <w:r>
        <w:t>1.5 Terms</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1800"/>
        <w:gridCol w:w="7560"/>
      </w:tblGrid>
      <w:tr>
        <w:trPr>
          <w:tblHeader w:val="true"/>
          <w:cantSplit w:val="true"/>
        </w:trPr>
        <w:tc>
          <w:tcPr>
            <w:tcW w:type="dxa" w:w="1800"/>
            <w:tcMar>
              <w:top w:w="80" w:type="dxa"/>
              <w:start w:w="120" w:type="dxa"/>
              <w:bottom w:w="80" w:type="dxa"/>
              <w:end w:w="120" w:type="dxa"/>
            </w:tcMar>
            <w:vAlign w:val="center"/>
            <w:shd w:fill="FFC72C"/>
          </w:tcPr>
          <w:p>
            <w:pPr>
              <w:spacing w:after="0"/>
              <w:jc w:val="left"/>
            </w:pPr>
            <w:r>
              <w:rPr>
                <w:rFonts w:ascii="Calibri" w:hAnsi="Calibri"/>
                <w:b/>
                <w:i w:val="0"/>
                <w:color w:val="24272A"/>
                <w:sz w:val="19"/>
              </w:rPr>
              <w:t>Term</w:t>
            </w:r>
          </w:p>
        </w:tc>
        <w:tc>
          <w:tcPr>
            <w:tcW w:type="dxa" w:w="7560"/>
            <w:tcMar>
              <w:top w:w="80" w:type="dxa"/>
              <w:start w:w="120" w:type="dxa"/>
              <w:bottom w:w="80" w:type="dxa"/>
              <w:end w:w="120" w:type="dxa"/>
            </w:tcMar>
            <w:vAlign w:val="center"/>
            <w:shd w:fill="FFC72C"/>
          </w:tcPr>
          <w:p>
            <w:pPr>
              <w:spacing w:after="0"/>
              <w:jc w:val="left"/>
            </w:pPr>
            <w:r>
              <w:rPr>
                <w:rFonts w:ascii="Calibri" w:hAnsi="Calibri"/>
                <w:b/>
                <w:i w:val="0"/>
                <w:color w:val="24272A"/>
                <w:sz w:val="19"/>
              </w:rPr>
              <w:t>Meaning</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9"/>
              </w:rPr>
              <w:t>PSP</w:t>
            </w:r>
          </w:p>
        </w:tc>
        <w:tc>
          <w:tcPr>
            <w:tcW w:type="dxa" w:w="7560"/>
            <w:tcMar>
              <w:top w:w="80" w:type="dxa"/>
              <w:start w:w="120" w:type="dxa"/>
              <w:bottom w:w="80" w:type="dxa"/>
              <w:end w:w="120" w:type="dxa"/>
            </w:tcMar>
            <w:vAlign w:val="center"/>
          </w:tcPr>
          <w:p>
            <w:pPr>
              <w:spacing w:after="0" w:line="252" w:lineRule="auto"/>
            </w:pPr>
            <w:r>
              <w:rPr>
                <w:rFonts w:ascii="Calibri" w:hAnsi="Calibri"/>
                <w:b w:val="0"/>
                <w:i w:val="0"/>
                <w:color w:val="24272A"/>
                <w:sz w:val="19"/>
              </w:rPr>
              <w:t>Payment Service Provider, represented by K-Bank in this design.</w:t>
            </w:r>
          </w:p>
        </w:tc>
      </w:tr>
      <w:tr>
        <w:trPr>
          <w:cantSplit w:val="true"/>
        </w:trPr>
        <w:tc>
          <w:tcPr>
            <w:tcW w:type="dxa" w:w="1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9"/>
              </w:rPr>
              <w:t>ECR</w:t>
            </w:r>
          </w:p>
        </w:tc>
        <w:tc>
          <w:tcPr>
            <w:tcW w:type="dxa" w:w="75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9"/>
              </w:rPr>
              <w:t>Electronic cash register protocol used to send a payment amount to a card terminal and receive a result.</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9"/>
              </w:rPr>
              <w:t>Outbox</w:t>
            </w:r>
          </w:p>
        </w:tc>
        <w:tc>
          <w:tcPr>
            <w:tcW w:type="dxa" w:w="7560"/>
            <w:tcMar>
              <w:top w:w="80" w:type="dxa"/>
              <w:start w:w="120" w:type="dxa"/>
              <w:bottom w:w="80" w:type="dxa"/>
              <w:end w:w="120" w:type="dxa"/>
            </w:tcMar>
            <w:vAlign w:val="center"/>
          </w:tcPr>
          <w:p>
            <w:pPr>
              <w:spacing w:after="0" w:line="252" w:lineRule="auto"/>
            </w:pPr>
            <w:r>
              <w:rPr>
                <w:rFonts w:ascii="Calibri" w:hAnsi="Calibri"/>
                <w:b w:val="0"/>
                <w:i w:val="0"/>
                <w:color w:val="24272A"/>
                <w:sz w:val="19"/>
              </w:rPr>
              <w:t>A database record written in the same transaction as a completed sale and later published asynchronously.</w:t>
            </w:r>
          </w:p>
        </w:tc>
      </w:tr>
      <w:tr>
        <w:trPr>
          <w:cantSplit w:val="true"/>
        </w:trPr>
        <w:tc>
          <w:tcPr>
            <w:tcW w:type="dxa" w:w="1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9"/>
              </w:rPr>
              <w:t>Peripheral Gateway</w:t>
            </w:r>
          </w:p>
        </w:tc>
        <w:tc>
          <w:tcPr>
            <w:tcW w:type="dxa" w:w="75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9"/>
              </w:rPr>
              <w:t>A terminal-side Node.js service that connects the browser workflow to the card machine and receipt printer.</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9"/>
              </w:rPr>
              <w:t>Business date</w:t>
            </w:r>
          </w:p>
        </w:tc>
        <w:tc>
          <w:tcPr>
            <w:tcW w:type="dxa" w:w="7560"/>
            <w:tcMar>
              <w:top w:w="80" w:type="dxa"/>
              <w:start w:w="120" w:type="dxa"/>
              <w:bottom w:w="80" w:type="dxa"/>
              <w:end w:w="120" w:type="dxa"/>
            </w:tcMar>
            <w:vAlign w:val="center"/>
          </w:tcPr>
          <w:p>
            <w:pPr>
              <w:spacing w:after="0" w:line="252" w:lineRule="auto"/>
            </w:pPr>
            <w:r>
              <w:rPr>
                <w:rFonts w:ascii="Calibri" w:hAnsi="Calibri"/>
                <w:b w:val="0"/>
                <w:i w:val="0"/>
                <w:color w:val="24272A"/>
                <w:sz w:val="19"/>
              </w:rPr>
              <w:t>The calendar date in Asia/Bangkok used for store reporting.</w:t>
            </w:r>
          </w:p>
        </w:tc>
      </w:tr>
    </w:tbl>
    <w:p>
      <w:pPr>
        <w:spacing w:after="40"/>
      </w:pPr>
    </w:p>
    <w:p>
      <w:pPr>
        <w:pStyle w:val="Heading1"/>
        <w:keepNext/>
      </w:pPr>
      <w:r>
        <w:t>2. Architectural Drivers</w:t>
      </w:r>
    </w:p>
    <w:p>
      <w:pPr>
        <w:pStyle w:val="Heading2"/>
        <w:keepNext/>
      </w:pPr>
      <w:r>
        <w:t>2.1 Business and Design Goals</w:t>
      </w:r>
    </w:p>
    <w:p>
      <w:pPr>
        <w:spacing w:after="160" w:line="280" w:lineRule="auto"/>
        <w:numPr>
          <w:ilvl w:val="0"/>
          <w:numId w:val="10"/>
        </w:numPr>
      </w:pPr>
      <w:r>
        <w:rPr>
          <w:rFonts w:ascii="Calibri" w:hAnsi="Calibri"/>
          <w:b w:val="0"/>
          <w:i w:val="0"/>
          <w:color w:val="24272A"/>
          <w:sz w:val="22"/>
        </w:rPr>
        <w:t>Keep checkout fast and simple for store staff.</w:t>
      </w:r>
    </w:p>
    <w:p>
      <w:pPr>
        <w:spacing w:after="160" w:line="280" w:lineRule="auto"/>
        <w:numPr>
          <w:ilvl w:val="0"/>
          <w:numId w:val="10"/>
        </w:numPr>
      </w:pPr>
      <w:r>
        <w:rPr>
          <w:rFonts w:ascii="Calibri" w:hAnsi="Calibri"/>
          <w:b w:val="0"/>
          <w:i w:val="0"/>
          <w:color w:val="24272A"/>
          <w:sz w:val="22"/>
        </w:rPr>
        <w:t>Prevent duplicate card charges when a payment outcome is uncertain.</w:t>
      </w:r>
    </w:p>
    <w:p>
      <w:pPr>
        <w:spacing w:after="160" w:line="280" w:lineRule="auto"/>
        <w:numPr>
          <w:ilvl w:val="0"/>
          <w:numId w:val="10"/>
        </w:numPr>
      </w:pPr>
      <w:r>
        <w:rPr>
          <w:rFonts w:ascii="Calibri" w:hAnsi="Calibri"/>
          <w:b w:val="0"/>
          <w:i w:val="0"/>
          <w:color w:val="24272A"/>
          <w:sz w:val="22"/>
        </w:rPr>
        <w:t>Guarantee that every completed sale has a durable inventory-update record.</w:t>
      </w:r>
    </w:p>
    <w:p>
      <w:pPr>
        <w:spacing w:after="160" w:line="280" w:lineRule="auto"/>
        <w:numPr>
          <w:ilvl w:val="0"/>
          <w:numId w:val="10"/>
        </w:numPr>
      </w:pPr>
      <w:r>
        <w:rPr>
          <w:rFonts w:ascii="Calibri" w:hAnsi="Calibri"/>
          <w:b w:val="0"/>
          <w:i w:val="0"/>
          <w:color w:val="24272A"/>
          <w:sz w:val="22"/>
        </w:rPr>
        <w:t>Allow inventory processing to continue asynchronously when the Inventory Service is unavailable.</w:t>
      </w:r>
    </w:p>
    <w:p>
      <w:pPr>
        <w:spacing w:after="160" w:line="280" w:lineRule="auto"/>
        <w:numPr>
          <w:ilvl w:val="0"/>
          <w:numId w:val="10"/>
        </w:numPr>
      </w:pPr>
      <w:r>
        <w:rPr>
          <w:rFonts w:ascii="Calibri" w:hAnsi="Calibri"/>
          <w:b w:val="0"/>
          <w:i w:val="0"/>
          <w:color w:val="24272A"/>
          <w:sz w:val="22"/>
        </w:rPr>
        <w:t>Support multiple stores and terminals from one centrally managed application.</w:t>
      </w:r>
    </w:p>
    <w:p>
      <w:pPr>
        <w:spacing w:after="160" w:line="280" w:lineRule="auto"/>
        <w:numPr>
          <w:ilvl w:val="0"/>
          <w:numId w:val="10"/>
        </w:numPr>
      </w:pPr>
      <w:r>
        <w:rPr>
          <w:rFonts w:ascii="Calibri" w:hAnsi="Calibri"/>
          <w:b w:val="0"/>
          <w:i w:val="0"/>
          <w:color w:val="24272A"/>
          <w:sz w:val="22"/>
        </w:rPr>
        <w:t>Use a design that is realistic for production while remaining understandable and maintainable as a student project.</w:t>
      </w:r>
    </w:p>
    <w:p>
      <w:pPr>
        <w:pStyle w:val="Heading2"/>
        <w:keepNext/>
      </w:pPr>
      <w:r>
        <w:t>2.2 Fixed Constraints and Assumptions</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100"/>
        <w:gridCol w:w="7260"/>
      </w:tblGrid>
      <w:tr>
        <w:trPr>
          <w:tblHeader w:val="true"/>
          <w:cantSplit w:val="true"/>
        </w:trPr>
        <w:tc>
          <w:tcPr>
            <w:tcW w:type="dxa" w:w="2100"/>
            <w:tcMar>
              <w:top w:w="80" w:type="dxa"/>
              <w:start w:w="120" w:type="dxa"/>
              <w:bottom w:w="80" w:type="dxa"/>
              <w:end w:w="120" w:type="dxa"/>
            </w:tcMar>
            <w:vAlign w:val="center"/>
            <w:shd w:fill="FFC72C"/>
          </w:tcPr>
          <w:p>
            <w:pPr>
              <w:spacing w:after="0"/>
              <w:jc w:val="left"/>
            </w:pPr>
            <w:r>
              <w:rPr>
                <w:rFonts w:ascii="Calibri" w:hAnsi="Calibri"/>
                <w:b/>
                <w:i w:val="0"/>
                <w:color w:val="24272A"/>
                <w:sz w:val="18"/>
              </w:rPr>
              <w:t>Area</w:t>
            </w:r>
          </w:p>
        </w:tc>
        <w:tc>
          <w:tcPr>
            <w:tcW w:type="dxa" w:w="7260"/>
            <w:tcMar>
              <w:top w:w="80" w:type="dxa"/>
              <w:start w:w="120" w:type="dxa"/>
              <w:bottom w:w="80" w:type="dxa"/>
              <w:end w:w="120" w:type="dxa"/>
            </w:tcMar>
            <w:vAlign w:val="center"/>
            <w:shd w:fill="FFC72C"/>
          </w:tcPr>
          <w:p>
            <w:pPr>
              <w:spacing w:after="0"/>
              <w:jc w:val="left"/>
            </w:pPr>
            <w:r>
              <w:rPr>
                <w:rFonts w:ascii="Calibri" w:hAnsi="Calibri"/>
                <w:b/>
                <w:i w:val="0"/>
                <w:color w:val="24272A"/>
                <w:sz w:val="18"/>
              </w:rPr>
              <w:t>Decision</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8"/>
              </w:rPr>
              <w:t>Frontend</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24272A"/>
                <w:sz w:val="18"/>
              </w:rPr>
              <w:t>React, TypeScript, and Vite.</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Backend</w:t>
            </w:r>
          </w:p>
        </w:tc>
        <w:tc>
          <w:tcPr>
            <w:tcW w:type="dxa" w:w="72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Node.js, Express, and TypeScript.</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8"/>
              </w:rPr>
              <w:t>Persistence</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24272A"/>
                <w:sz w:val="18"/>
              </w:rPr>
              <w:t>PostgreSQL accessed through Prisma ORM.</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Hosting</w:t>
            </w:r>
          </w:p>
        </w:tc>
        <w:tc>
          <w:tcPr>
            <w:tcW w:type="dxa" w:w="72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Centralized Google Cloud deployment using containerized services and Cloud SQL.</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8"/>
              </w:rPr>
              <w:t>Messaging</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24272A"/>
                <w:sz w:val="18"/>
              </w:rPr>
              <w:t>RabbitMQ with durable queues and publisher confirmations.</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Connectivity</w:t>
            </w:r>
          </w:p>
        </w:tc>
        <w:tc>
          <w:tcPr>
            <w:tcW w:type="dxa" w:w="72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A terminal must reach the Kaching backend to start or complete a sale.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8"/>
              </w:rPr>
              <w:t>Integrations</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24272A"/>
                <w:sz w:val="18"/>
              </w:rPr>
              <w:t>Production-style interfaces for K-Bank, the card machine, receipt printer, and Inventory Service.</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Language</w:t>
            </w:r>
          </w:p>
        </w:tc>
        <w:tc>
          <w:tcPr>
            <w:tcW w:type="dxa" w:w="72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English-only user interface; Thai currency, VAT, and Asia/Bangkok business time.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8"/>
              </w:rPr>
              <w:t>Catalog</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24272A"/>
                <w:sz w:val="18"/>
              </w:rPr>
              <w:t>One global product catalog and one global selling price per product.</w:t>
            </w:r>
          </w:p>
        </w:tc>
      </w:tr>
    </w:tbl>
    <w:p>
      <w:pPr>
        <w:spacing w:after="40"/>
      </w:pPr>
    </w:p>
    <w:p>
      <w:pPr>
        <w:pStyle w:val="Heading2"/>
        <w:keepNext/>
      </w:pPr>
      <w:r>
        <w:t>2.3 Quality and Capacity Targets</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400"/>
        <w:gridCol w:w="6960"/>
      </w:tblGrid>
      <w:tr>
        <w:trPr>
          <w:tblHeader w:val="true"/>
          <w:cantSplit w:val="true"/>
        </w:trPr>
        <w:tc>
          <w:tcPr>
            <w:tcW w:type="dxa" w:w="2400"/>
            <w:tcMar>
              <w:top w:w="80" w:type="dxa"/>
              <w:start w:w="120" w:type="dxa"/>
              <w:bottom w:w="80" w:type="dxa"/>
              <w:end w:w="120" w:type="dxa"/>
            </w:tcMar>
            <w:vAlign w:val="center"/>
            <w:shd w:fill="FFC72C"/>
          </w:tcPr>
          <w:p>
            <w:pPr>
              <w:spacing w:after="0"/>
              <w:jc w:val="left"/>
            </w:pPr>
            <w:r>
              <w:rPr>
                <w:rFonts w:ascii="Calibri" w:hAnsi="Calibri"/>
                <w:b/>
                <w:i w:val="0"/>
                <w:color w:val="24272A"/>
                <w:sz w:val="18"/>
              </w:rPr>
              <w:t>Quality area</w:t>
            </w:r>
          </w:p>
        </w:tc>
        <w:tc>
          <w:tcPr>
            <w:tcW w:type="dxa" w:w="6960"/>
            <w:tcMar>
              <w:top w:w="80" w:type="dxa"/>
              <w:start w:w="120" w:type="dxa"/>
              <w:bottom w:w="80" w:type="dxa"/>
              <w:end w:w="120" w:type="dxa"/>
            </w:tcMar>
            <w:vAlign w:val="center"/>
            <w:shd w:fill="FFC72C"/>
          </w:tcPr>
          <w:p>
            <w:pPr>
              <w:spacing w:after="0"/>
              <w:jc w:val="left"/>
            </w:pPr>
            <w:r>
              <w:rPr>
                <w:rFonts w:ascii="Calibri" w:hAnsi="Calibri"/>
                <w:b/>
                <w:i w:val="0"/>
                <w:color w:val="24272A"/>
                <w:sz w:val="18"/>
              </w:rPr>
              <w:t>Target</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24272A"/>
                <w:sz w:val="18"/>
              </w:rPr>
              <w:t>Scale</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24272A"/>
                <w:sz w:val="18"/>
              </w:rPr>
              <w:t>20 stores, 10 active terminals per store, and 200 concurrent users.</w:t>
            </w:r>
          </w:p>
        </w:tc>
      </w:tr>
      <w:tr>
        <w:trPr>
          <w:cantSplit w:val="true"/>
        </w:trPr>
        <w:tc>
          <w:tcPr>
            <w:tcW w:type="dxa" w:w="24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Throughput</w:t>
            </w:r>
          </w:p>
        </w:tc>
        <w:tc>
          <w:tcPr>
            <w:tcW w:type="dxa" w:w="69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At least 20 completed sales per second across the organization.</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24272A"/>
                <w:sz w:val="18"/>
              </w:rPr>
              <w:t>Checkout response</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24272A"/>
                <w:sz w:val="18"/>
              </w:rPr>
              <w:t>95 percent of non-external checkout actions complete within 2 seconds.</w:t>
            </w:r>
          </w:p>
        </w:tc>
      </w:tr>
      <w:tr>
        <w:trPr>
          <w:cantSplit w:val="true"/>
        </w:trPr>
        <w:tc>
          <w:tcPr>
            <w:tcW w:type="dxa" w:w="24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Availability</w:t>
            </w:r>
          </w:p>
        </w:tc>
        <w:tc>
          <w:tcPr>
            <w:tcW w:type="dxa" w:w="69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99.5 percent monthly availability for the Kaching backend.</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24272A"/>
                <w:sz w:val="18"/>
              </w:rPr>
              <w:t>Recovery point</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24272A"/>
                <w:sz w:val="18"/>
              </w:rPr>
              <w:t>RPO of 15 minutes.</w:t>
            </w:r>
          </w:p>
        </w:tc>
      </w:tr>
      <w:tr>
        <w:trPr>
          <w:cantSplit w:val="true"/>
        </w:trPr>
        <w:tc>
          <w:tcPr>
            <w:tcW w:type="dxa" w:w="24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Recovery time</w:t>
            </w:r>
          </w:p>
        </w:tc>
        <w:tc>
          <w:tcPr>
            <w:tcW w:type="dxa" w:w="69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RTO of 4 hours.</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24272A"/>
                <w:sz w:val="18"/>
              </w:rPr>
              <w:t>Display</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24272A"/>
                <w:sz w:val="18"/>
              </w:rPr>
              <w:t>Desktop and touchscreen friendly at 1280 x 720 or higher.</w:t>
            </w:r>
          </w:p>
        </w:tc>
      </w:tr>
      <w:tr>
        <w:trPr>
          <w:cantSplit w:val="true"/>
        </w:trPr>
        <w:tc>
          <w:tcPr>
            <w:tcW w:type="dxa" w:w="24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Accessibility</w:t>
            </w:r>
          </w:p>
        </w:tc>
        <w:tc>
          <w:tcPr>
            <w:tcW w:type="dxa" w:w="69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WCAG 2.1 AA color contrast and keyboard-operable workflows.</w:t>
            </w:r>
          </w:p>
        </w:tc>
      </w:tr>
    </w:tbl>
    <w:p>
      <w:pPr>
        <w:spacing w:after="40"/>
      </w:pPr>
    </w:p>
    <w:p>
      <w:pPr>
        <w:pStyle w:val="Heading1"/>
        <w:keepNext/>
      </w:pPr>
      <w:r>
        <w:t>3. System Context</w:t>
      </w:r>
    </w:p>
    <w:p>
      <w:pPr>
        <w:keepNext w:val="0"/>
        <w:spacing w:before="0" w:after="120" w:line="264" w:lineRule="auto"/>
        <w:jc w:val="left"/>
      </w:pPr>
      <w:r>
        <w:rPr>
          <w:rFonts w:ascii="Calibri" w:hAnsi="Calibri"/>
          <w:b w:val="0"/>
          <w:i w:val="0"/>
          <w:color w:val="24272A"/>
          <w:sz w:val="22"/>
        </w:rPr>
        <w:t>Kaching is the system of record for checkout transactions and their payment status. It does not own inventory balances or cardholder data. The Inventory Service owns stock balances, while K-Bank and the card machine own sensitive payment processing.</w:t>
      </w:r>
    </w:p>
    <w:p>
      <w:r>
        <w:drawing>
          <wp:inline xmlns:a="http://schemas.openxmlformats.org/drawingml/2006/main" xmlns:pic="http://schemas.openxmlformats.org/drawingml/2006/picture">
            <wp:extent cx="5806440" cy="3465965"/>
            <wp:docPr id="1" name="Picture 1" title="Kaching logical architecture" descr="Diagram showing POS users, React web application, terminal peripheral gateway, Express API, background worker, PostgreSQL, RabbitMQ, K-Bank PSP, receipt printer, and Inventory Servic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06440" cy="3465965"/>
                    </a:xfrm>
                    <a:prstGeom prst="rect"/>
                  </pic:spPr>
                </pic:pic>
              </a:graphicData>
            </a:graphic>
          </wp:inline>
        </w:drawing>
      </w:r>
    </w:p>
    <w:p>
      <w:pPr>
        <w:keepNext w:val="0"/>
        <w:spacing w:before="0" w:after="200" w:line="264" w:lineRule="auto"/>
        <w:jc w:val="center"/>
      </w:pPr>
      <w:r>
        <w:rPr>
          <w:rFonts w:ascii="Calibri" w:hAnsi="Calibri"/>
          <w:b w:val="0"/>
          <w:i/>
          <w:color w:val="62676D"/>
          <w:sz w:val="18"/>
        </w:rPr>
        <w:t>Figure 1. Kaching logical architecture</w:t>
      </w:r>
    </w:p>
    <w:p>
      <w:pPr>
        <w:pStyle w:val="Heading2"/>
        <w:keepNext/>
      </w:pPr>
      <w:r>
        <w:t>3.1 External Actors and Systems</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1800"/>
        <w:gridCol w:w="4100"/>
        <w:gridCol w:w="3460"/>
      </w:tblGrid>
      <w:tr>
        <w:trPr>
          <w:tblHeader w:val="true"/>
          <w:cantSplit w:val="true"/>
        </w:trPr>
        <w:tc>
          <w:tcPr>
            <w:tcW w:type="dxa" w:w="1800"/>
            <w:tcMar>
              <w:top w:w="80" w:type="dxa"/>
              <w:start w:w="120" w:type="dxa"/>
              <w:bottom w:w="80" w:type="dxa"/>
              <w:end w:w="120" w:type="dxa"/>
            </w:tcMar>
            <w:vAlign w:val="center"/>
            <w:shd w:fill="FFC72C"/>
          </w:tcPr>
          <w:p>
            <w:pPr>
              <w:spacing w:after="0"/>
              <w:jc w:val="left"/>
            </w:pPr>
            <w:r>
              <w:rPr>
                <w:rFonts w:ascii="Calibri" w:hAnsi="Calibri"/>
                <w:b/>
                <w:i w:val="0"/>
                <w:color w:val="24272A"/>
                <w:sz w:val="17"/>
              </w:rPr>
              <w:t>Actor or system</w:t>
            </w:r>
          </w:p>
        </w:tc>
        <w:tc>
          <w:tcPr>
            <w:tcW w:type="dxa" w:w="4100"/>
            <w:tcMar>
              <w:top w:w="80" w:type="dxa"/>
              <w:start w:w="120" w:type="dxa"/>
              <w:bottom w:w="80" w:type="dxa"/>
              <w:end w:w="120" w:type="dxa"/>
            </w:tcMar>
            <w:vAlign w:val="center"/>
            <w:shd w:fill="FFC72C"/>
          </w:tcPr>
          <w:p>
            <w:pPr>
              <w:spacing w:after="0"/>
              <w:jc w:val="left"/>
            </w:pPr>
            <w:r>
              <w:rPr>
                <w:rFonts w:ascii="Calibri" w:hAnsi="Calibri"/>
                <w:b/>
                <w:i w:val="0"/>
                <w:color w:val="24272A"/>
                <w:sz w:val="17"/>
              </w:rPr>
              <w:t>Responsibility</w:t>
            </w:r>
          </w:p>
        </w:tc>
        <w:tc>
          <w:tcPr>
            <w:tcW w:type="dxa" w:w="3460"/>
            <w:tcMar>
              <w:top w:w="80" w:type="dxa"/>
              <w:start w:w="120" w:type="dxa"/>
              <w:bottom w:w="80" w:type="dxa"/>
              <w:end w:w="120" w:type="dxa"/>
            </w:tcMar>
            <w:vAlign w:val="center"/>
            <w:shd w:fill="FFC72C"/>
          </w:tcPr>
          <w:p>
            <w:pPr>
              <w:spacing w:after="0"/>
              <w:jc w:val="left"/>
            </w:pPr>
            <w:r>
              <w:rPr>
                <w:rFonts w:ascii="Calibri" w:hAnsi="Calibri"/>
                <w:b/>
                <w:i w:val="0"/>
                <w:color w:val="24272A"/>
                <w:sz w:val="17"/>
              </w:rPr>
              <w:t>Interaction</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7"/>
              </w:rPr>
              <w:t>Cashier</w:t>
            </w:r>
          </w:p>
        </w:tc>
        <w:tc>
          <w:tcPr>
            <w:tcW w:type="dxa" w:w="4100"/>
            <w:tcMar>
              <w:top w:w="80" w:type="dxa"/>
              <w:start w:w="120" w:type="dxa"/>
              <w:bottom w:w="80" w:type="dxa"/>
              <w:end w:w="120" w:type="dxa"/>
            </w:tcMar>
            <w:vAlign w:val="center"/>
          </w:tcPr>
          <w:p>
            <w:pPr>
              <w:spacing w:after="0" w:line="252" w:lineRule="auto"/>
            </w:pPr>
            <w:r>
              <w:rPr>
                <w:rFonts w:ascii="Calibri" w:hAnsi="Calibri"/>
                <w:b w:val="0"/>
                <w:i w:val="0"/>
                <w:color w:val="24272A"/>
                <w:sz w:val="17"/>
              </w:rPr>
              <w:t>Operates checkout and payment workflows.</w:t>
            </w:r>
          </w:p>
        </w:tc>
        <w:tc>
          <w:tcPr>
            <w:tcW w:type="dxa" w:w="3460"/>
            <w:tcMar>
              <w:top w:w="80" w:type="dxa"/>
              <w:start w:w="120" w:type="dxa"/>
              <w:bottom w:w="80" w:type="dxa"/>
              <w:end w:w="120" w:type="dxa"/>
            </w:tcMar>
            <w:vAlign w:val="center"/>
          </w:tcPr>
          <w:p>
            <w:pPr>
              <w:spacing w:after="0" w:line="252" w:lineRule="auto"/>
            </w:pPr>
            <w:r>
              <w:rPr>
                <w:rFonts w:ascii="Calibri" w:hAnsi="Calibri"/>
                <w:b w:val="0"/>
                <w:i w:val="0"/>
                <w:color w:val="24272A"/>
                <w:sz w:val="17"/>
              </w:rPr>
              <w:t>React web application</w:t>
            </w:r>
          </w:p>
        </w:tc>
      </w:tr>
      <w:tr>
        <w:trPr>
          <w:cantSplit w:val="true"/>
        </w:trPr>
        <w:tc>
          <w:tcPr>
            <w:tcW w:type="dxa" w:w="1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Manager</w:t>
            </w:r>
          </w:p>
        </w:tc>
        <w:tc>
          <w:tcPr>
            <w:tcW w:type="dxa" w:w="4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Views assigned-store summaries and maintains authorized product data.</w:t>
            </w:r>
          </w:p>
        </w:tc>
        <w:tc>
          <w:tcPr>
            <w:tcW w:type="dxa" w:w="3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React web application</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7"/>
              </w:rPr>
              <w:t>Administrator</w:t>
            </w:r>
          </w:p>
        </w:tc>
        <w:tc>
          <w:tcPr>
            <w:tcW w:type="dxa" w:w="4100"/>
            <w:tcMar>
              <w:top w:w="80" w:type="dxa"/>
              <w:start w:w="120" w:type="dxa"/>
              <w:bottom w:w="80" w:type="dxa"/>
              <w:end w:w="120" w:type="dxa"/>
            </w:tcMar>
            <w:vAlign w:val="center"/>
          </w:tcPr>
          <w:p>
            <w:pPr>
              <w:spacing w:after="0" w:line="252" w:lineRule="auto"/>
            </w:pPr>
            <w:r>
              <w:rPr>
                <w:rFonts w:ascii="Calibri" w:hAnsi="Calibri"/>
                <w:b w:val="0"/>
                <w:i w:val="0"/>
                <w:color w:val="24272A"/>
                <w:sz w:val="17"/>
              </w:rPr>
              <w:t>Maintains users, roles, stores, terminals, and cross-store access.</w:t>
            </w:r>
          </w:p>
        </w:tc>
        <w:tc>
          <w:tcPr>
            <w:tcW w:type="dxa" w:w="3460"/>
            <w:tcMar>
              <w:top w:w="80" w:type="dxa"/>
              <w:start w:w="120" w:type="dxa"/>
              <w:bottom w:w="80" w:type="dxa"/>
              <w:end w:w="120" w:type="dxa"/>
            </w:tcMar>
            <w:vAlign w:val="center"/>
          </w:tcPr>
          <w:p>
            <w:pPr>
              <w:spacing w:after="0" w:line="252" w:lineRule="auto"/>
            </w:pPr>
            <w:r>
              <w:rPr>
                <w:rFonts w:ascii="Calibri" w:hAnsi="Calibri"/>
                <w:b w:val="0"/>
                <w:i w:val="0"/>
                <w:color w:val="24272A"/>
                <w:sz w:val="17"/>
              </w:rPr>
              <w:t>React web application</w:t>
            </w:r>
          </w:p>
        </w:tc>
      </w:tr>
      <w:tr>
        <w:trPr>
          <w:cantSplit w:val="true"/>
        </w:trPr>
        <w:tc>
          <w:tcPr>
            <w:tcW w:type="dxa" w:w="1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Head-Office Manager</w:t>
            </w:r>
          </w:p>
        </w:tc>
        <w:tc>
          <w:tcPr>
            <w:tcW w:type="dxa" w:w="4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Views selected-store and consolidated reports.</w:t>
            </w:r>
          </w:p>
        </w:tc>
        <w:tc>
          <w:tcPr>
            <w:tcW w:type="dxa" w:w="3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React web application</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7"/>
              </w:rPr>
              <w:t>K-Bank card machine and PSP</w:t>
            </w:r>
          </w:p>
        </w:tc>
        <w:tc>
          <w:tcPr>
            <w:tcW w:type="dxa" w:w="4100"/>
            <w:tcMar>
              <w:top w:w="80" w:type="dxa"/>
              <w:start w:w="120" w:type="dxa"/>
              <w:bottom w:w="80" w:type="dxa"/>
              <w:end w:w="120" w:type="dxa"/>
            </w:tcMar>
            <w:vAlign w:val="center"/>
          </w:tcPr>
          <w:p>
            <w:pPr>
              <w:spacing w:after="0" w:line="252" w:lineRule="auto"/>
            </w:pPr>
            <w:r>
              <w:rPr>
                <w:rFonts w:ascii="Calibri" w:hAnsi="Calibri"/>
                <w:b w:val="0"/>
                <w:i w:val="0"/>
                <w:color w:val="24272A"/>
                <w:sz w:val="17"/>
              </w:rPr>
              <w:t>Authorizes card payment and supports transaction-status queries.</w:t>
            </w:r>
          </w:p>
        </w:tc>
        <w:tc>
          <w:tcPr>
            <w:tcW w:type="dxa" w:w="3460"/>
            <w:tcMar>
              <w:top w:w="80" w:type="dxa"/>
              <w:start w:w="120" w:type="dxa"/>
              <w:bottom w:w="80" w:type="dxa"/>
              <w:end w:w="120" w:type="dxa"/>
            </w:tcMar>
            <w:vAlign w:val="center"/>
          </w:tcPr>
          <w:p>
            <w:pPr>
              <w:spacing w:after="0" w:line="252" w:lineRule="auto"/>
            </w:pPr>
            <w:r>
              <w:rPr>
                <w:rFonts w:ascii="Calibri" w:hAnsi="Calibri"/>
                <w:b w:val="0"/>
                <w:i w:val="0"/>
                <w:color w:val="24272A"/>
                <w:sz w:val="17"/>
              </w:rPr>
              <w:t>Peripheral Gateway and PSP adapter</w:t>
            </w:r>
          </w:p>
        </w:tc>
      </w:tr>
      <w:tr>
        <w:trPr>
          <w:cantSplit w:val="true"/>
        </w:trPr>
        <w:tc>
          <w:tcPr>
            <w:tcW w:type="dxa" w:w="1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Receipt printer</w:t>
            </w:r>
          </w:p>
        </w:tc>
        <w:tc>
          <w:tcPr>
            <w:tcW w:type="dxa" w:w="4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Prints sales receipts.</w:t>
            </w:r>
          </w:p>
        </w:tc>
        <w:tc>
          <w:tcPr>
            <w:tcW w:type="dxa" w:w="3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Peripheral Gateway</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7"/>
              </w:rPr>
              <w:t>Inventory Service</w:t>
            </w:r>
          </w:p>
        </w:tc>
        <w:tc>
          <w:tcPr>
            <w:tcW w:type="dxa" w:w="4100"/>
            <w:tcMar>
              <w:top w:w="80" w:type="dxa"/>
              <w:start w:w="120" w:type="dxa"/>
              <w:bottom w:w="80" w:type="dxa"/>
              <w:end w:w="120" w:type="dxa"/>
            </w:tcMar>
            <w:vAlign w:val="center"/>
          </w:tcPr>
          <w:p>
            <w:pPr>
              <w:spacing w:after="0" w:line="252" w:lineRule="auto"/>
            </w:pPr>
            <w:r>
              <w:rPr>
                <w:rFonts w:ascii="Calibri" w:hAnsi="Calibri"/>
                <w:b w:val="0"/>
                <w:i w:val="0"/>
                <w:color w:val="24272A"/>
                <w:sz w:val="17"/>
              </w:rPr>
              <w:t>Consumes completed-sale messages and adjusts stock.</w:t>
            </w:r>
          </w:p>
        </w:tc>
        <w:tc>
          <w:tcPr>
            <w:tcW w:type="dxa" w:w="3460"/>
            <w:tcMar>
              <w:top w:w="80" w:type="dxa"/>
              <w:start w:w="120" w:type="dxa"/>
              <w:bottom w:w="80" w:type="dxa"/>
              <w:end w:w="120" w:type="dxa"/>
            </w:tcMar>
            <w:vAlign w:val="center"/>
          </w:tcPr>
          <w:p>
            <w:pPr>
              <w:spacing w:after="0" w:line="252" w:lineRule="auto"/>
            </w:pPr>
            <w:r>
              <w:rPr>
                <w:rFonts w:ascii="Calibri" w:hAnsi="Calibri"/>
                <w:b w:val="0"/>
                <w:i w:val="0"/>
                <w:color w:val="24272A"/>
                <w:sz w:val="17"/>
              </w:rPr>
              <w:t>RabbitMQ</w:t>
            </w:r>
          </w:p>
        </w:tc>
      </w:tr>
    </w:tbl>
    <w:p>
      <w:pPr>
        <w:spacing w:after="40"/>
      </w:pPr>
    </w:p>
    <w:p>
      <w:pPr>
        <w:pStyle w:val="Heading1"/>
        <w:keepNext/>
      </w:pPr>
      <w:r>
        <w:t>4. Architecture Overview</w:t>
      </w:r>
    </w:p>
    <w:p>
      <w:pPr>
        <w:pStyle w:val="Heading2"/>
        <w:keepNext/>
      </w:pPr>
      <w:r>
        <w:t>4.1 Architectural Style</w:t>
      </w:r>
    </w:p>
    <w:p>
      <w:pPr>
        <w:keepNext w:val="0"/>
        <w:spacing w:before="0" w:after="120" w:line="264" w:lineRule="auto"/>
        <w:jc w:val="left"/>
      </w:pPr>
      <w:r>
        <w:rPr>
          <w:rFonts w:ascii="Calibri" w:hAnsi="Calibri"/>
          <w:b w:val="0"/>
          <w:i w:val="0"/>
          <w:color w:val="24272A"/>
          <w:sz w:val="22"/>
        </w:rPr>
        <w:t>Kaching uses a modular monolith for the business API, plus a separately deployed background worker and terminal-side Peripheral Gateway. This avoids premature microservice complexity while preserving clear module boundaries and independent scaling for asynchronous work.</w:t>
      </w:r>
    </w:p>
    <w:tbl>
      <w:tblPr>
        <w:tblW w:type="dxa" w:w="9360"/>
        <w:jc w:val="left"/>
        <w:tblLayout w:type="fixed"/>
        <w:tblLook w:firstColumn="1" w:firstRow="1" w:lastColumn="0" w:lastRow="0" w:noHBand="0" w:noVBand="1" w:val="04A0"/>
        <w:tblInd w:w="120" w:type="dxa"/>
        <w:tblBorders>
          <w:top w:val="single" w:sz="10" w:color="B33100"/>
          <w:left w:val="single" w:sz="10" w:color="B33100"/>
          <w:bottom w:val="single" w:sz="10" w:color="B33100"/>
          <w:right w:val="single" w:sz="10" w:color="B33100"/>
          <w:insideH w:val="single" w:sz="10" w:color="B33100"/>
          <w:insideV w:val="single" w:sz="10" w:color="B33100"/>
        </w:tblBorders>
      </w:tblPr>
      <w:tblGrid>
        <w:gridCol w:w="9360"/>
      </w:tblGrid>
      <w:tr>
        <w:tc>
          <w:tcPr>
            <w:tcW w:type="dxa" w:w="9360"/>
            <w:tcMar>
              <w:top w:w="80" w:type="dxa"/>
              <w:start w:w="120" w:type="dxa"/>
              <w:bottom w:w="80" w:type="dxa"/>
              <w:end w:w="120" w:type="dxa"/>
            </w:tcMar>
            <w:vAlign w:val="center"/>
            <w:shd w:fill="FFF8DA"/>
          </w:tcPr>
          <w:p>
            <w:pPr>
              <w:spacing w:after="60"/>
            </w:pPr>
            <w:r>
              <w:rPr>
                <w:rFonts w:ascii="Calibri" w:hAnsi="Calibri"/>
                <w:b/>
                <w:i w:val="0"/>
                <w:color w:val="B33100"/>
                <w:sz w:val="22"/>
              </w:rPr>
              <w:t xml:space="preserve">Primary design rule: </w:t>
            </w:r>
            <w:r>
              <w:rPr>
                <w:rFonts w:ascii="Calibri" w:hAnsi="Calibri"/>
                <w:b w:val="0"/>
                <w:i w:val="0"/>
                <w:color w:val="24272A"/>
                <w:sz w:val="22"/>
              </w:rPr>
              <w:t>PostgreSQL is the source of truth. External calls must never be used as substitutes for durable local state, and a completed sale must be committed atomically with its inventory outbox record.</w:t>
            </w:r>
          </w:p>
        </w:tc>
      </w:tr>
    </w:tbl>
    <w:p>
      <w:pPr>
        <w:spacing w:after="40"/>
      </w:pPr>
    </w:p>
    <w:p>
      <w:pPr>
        <w:pStyle w:val="Heading2"/>
        <w:keepNext/>
      </w:pPr>
      <w:r>
        <w:t>4.2 Major Runtime Components</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1900"/>
        <w:gridCol w:w="2600"/>
        <w:gridCol w:w="4860"/>
      </w:tblGrid>
      <w:tr>
        <w:trPr>
          <w:tblHeader w:val="true"/>
          <w:cantSplit w:val="true"/>
        </w:trPr>
        <w:tc>
          <w:tcPr>
            <w:tcW w:type="dxa" w:w="1900"/>
            <w:tcMar>
              <w:top w:w="80" w:type="dxa"/>
              <w:start w:w="120" w:type="dxa"/>
              <w:bottom w:w="80" w:type="dxa"/>
              <w:end w:w="120" w:type="dxa"/>
            </w:tcMar>
            <w:vAlign w:val="center"/>
            <w:shd w:fill="FFC72C"/>
          </w:tcPr>
          <w:p>
            <w:pPr>
              <w:spacing w:after="0"/>
              <w:jc w:val="left"/>
            </w:pPr>
            <w:r>
              <w:rPr>
                <w:rFonts w:ascii="Calibri" w:hAnsi="Calibri"/>
                <w:b/>
                <w:i w:val="0"/>
                <w:color w:val="24272A"/>
                <w:sz w:val="17"/>
              </w:rPr>
              <w:t>Component</w:t>
            </w:r>
          </w:p>
        </w:tc>
        <w:tc>
          <w:tcPr>
            <w:tcW w:type="dxa" w:w="2600"/>
            <w:tcMar>
              <w:top w:w="80" w:type="dxa"/>
              <w:start w:w="120" w:type="dxa"/>
              <w:bottom w:w="80" w:type="dxa"/>
              <w:end w:w="120" w:type="dxa"/>
            </w:tcMar>
            <w:vAlign w:val="center"/>
            <w:shd w:fill="FFC72C"/>
          </w:tcPr>
          <w:p>
            <w:pPr>
              <w:spacing w:after="0"/>
              <w:jc w:val="left"/>
            </w:pPr>
            <w:r>
              <w:rPr>
                <w:rFonts w:ascii="Calibri" w:hAnsi="Calibri"/>
                <w:b/>
                <w:i w:val="0"/>
                <w:color w:val="24272A"/>
                <w:sz w:val="17"/>
              </w:rPr>
              <w:t>Deployment</w:t>
            </w:r>
          </w:p>
        </w:tc>
        <w:tc>
          <w:tcPr>
            <w:tcW w:type="dxa" w:w="4860"/>
            <w:tcMar>
              <w:top w:w="80" w:type="dxa"/>
              <w:start w:w="120" w:type="dxa"/>
              <w:bottom w:w="80" w:type="dxa"/>
              <w:end w:w="120" w:type="dxa"/>
            </w:tcMar>
            <w:vAlign w:val="center"/>
            <w:shd w:fill="FFC72C"/>
          </w:tcPr>
          <w:p>
            <w:pPr>
              <w:spacing w:after="0"/>
              <w:jc w:val="left"/>
            </w:pPr>
            <w:r>
              <w:rPr>
                <w:rFonts w:ascii="Calibri" w:hAnsi="Calibri"/>
                <w:b/>
                <w:i w:val="0"/>
                <w:color w:val="24272A"/>
                <w:sz w:val="17"/>
              </w:rPr>
              <w:t>Responsibility</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4272A"/>
                <w:sz w:val="17"/>
              </w:rPr>
              <w:t>React Web</w:t>
            </w:r>
          </w:p>
        </w:tc>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4272A"/>
                <w:sz w:val="17"/>
              </w:rPr>
              <w:t>Browser UI</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24272A"/>
                <w:sz w:val="17"/>
              </w:rPr>
              <w:t>Checkout, administration, reporting, and operational monitoring.</w:t>
            </w:r>
          </w:p>
        </w:tc>
      </w:tr>
      <w:tr>
        <w:trPr>
          <w:cantSplit w:val="true"/>
        </w:trPr>
        <w:tc>
          <w:tcPr>
            <w:tcW w:type="dxa" w:w="19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Kaching API</w:t>
            </w:r>
          </w:p>
        </w:tc>
        <w:tc>
          <w:tcPr>
            <w:tcW w:type="dxa" w:w="26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Cloud Run service</w:t>
            </w:r>
          </w:p>
        </w:tc>
        <w:tc>
          <w:tcPr>
            <w:tcW w:type="dxa" w:w="48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Authentication, authorization, business rules, REST API, sale finalization, reporting, and integration coordination.</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4272A"/>
                <w:sz w:val="17"/>
              </w:rPr>
              <w:t>Background Worker</w:t>
            </w:r>
          </w:p>
        </w:tc>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4272A"/>
                <w:sz w:val="17"/>
              </w:rPr>
              <w:t>Cloud Run worker service or worker pool</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24272A"/>
                <w:sz w:val="17"/>
              </w:rPr>
              <w:t>Outbox publication, message retry, card-payment reconciliation, and scheduled operational checks.</w:t>
            </w:r>
          </w:p>
        </w:tc>
      </w:tr>
      <w:tr>
        <w:trPr>
          <w:cantSplit w:val="true"/>
        </w:trPr>
        <w:tc>
          <w:tcPr>
            <w:tcW w:type="dxa" w:w="19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Peripheral Gateway</w:t>
            </w:r>
          </w:p>
        </w:tc>
        <w:tc>
          <w:tcPr>
            <w:tcW w:type="dxa" w:w="26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Node.js service on each POS terminal</w:t>
            </w:r>
          </w:p>
        </w:tc>
        <w:tc>
          <w:tcPr>
            <w:tcW w:type="dxa" w:w="48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Secure local access to card machine, barcode scanner, and receipt printer.</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4272A"/>
                <w:sz w:val="17"/>
              </w:rPr>
              <w:t>PostgreSQL</w:t>
            </w:r>
          </w:p>
        </w:tc>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4272A"/>
                <w:sz w:val="17"/>
              </w:rPr>
              <w:t>Cloud SQL</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24272A"/>
                <w:sz w:val="17"/>
              </w:rPr>
              <w:t>Authoritative transactional data, audit records, and outbox.</w:t>
            </w:r>
          </w:p>
        </w:tc>
      </w:tr>
      <w:tr>
        <w:trPr>
          <w:cantSplit w:val="true"/>
        </w:trPr>
        <w:tc>
          <w:tcPr>
            <w:tcW w:type="dxa" w:w="19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RabbitMQ</w:t>
            </w:r>
          </w:p>
        </w:tc>
        <w:tc>
          <w:tcPr>
            <w:tcW w:type="dxa" w:w="26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Managed quorum cluster</w:t>
            </w:r>
          </w:p>
        </w:tc>
        <w:tc>
          <w:tcPr>
            <w:tcW w:type="dxa" w:w="48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Durable at-least-once delivery of inventory events.</w:t>
            </w:r>
          </w:p>
        </w:tc>
      </w:tr>
    </w:tbl>
    <w:p>
      <w:pPr>
        <w:spacing w:after="40"/>
      </w:pPr>
    </w:p>
    <w:p>
      <w:pPr>
        <w:pStyle w:val="Heading2"/>
        <w:keepNext/>
      </w:pPr>
      <w:r>
        <w:t>4.3 Layering and Dependency Rules</w:t>
      </w:r>
    </w:p>
    <w:p>
      <w:pPr>
        <w:spacing w:after="160" w:line="280" w:lineRule="auto"/>
        <w:numPr>
          <w:ilvl w:val="0"/>
          <w:numId w:val="10"/>
        </w:numPr>
      </w:pPr>
      <w:r>
        <w:rPr>
          <w:rFonts w:ascii="Calibri" w:hAnsi="Calibri"/>
          <w:b w:val="0"/>
          <w:i w:val="0"/>
          <w:color w:val="24272A"/>
          <w:sz w:val="22"/>
        </w:rPr>
        <w:t>Presentation code may call application services only through typed API clients.</w:t>
      </w:r>
    </w:p>
    <w:p>
      <w:pPr>
        <w:spacing w:after="160" w:line="280" w:lineRule="auto"/>
        <w:numPr>
          <w:ilvl w:val="0"/>
          <w:numId w:val="10"/>
        </w:numPr>
      </w:pPr>
      <w:r>
        <w:rPr>
          <w:rFonts w:ascii="Calibri" w:hAnsi="Calibri"/>
          <w:b w:val="0"/>
          <w:i w:val="0"/>
          <w:color w:val="24272A"/>
          <w:sz w:val="22"/>
        </w:rPr>
        <w:t>Express route handlers perform transport concerns and delegate business work to application services.</w:t>
      </w:r>
    </w:p>
    <w:p>
      <w:pPr>
        <w:spacing w:after="160" w:line="280" w:lineRule="auto"/>
        <w:numPr>
          <w:ilvl w:val="0"/>
          <w:numId w:val="10"/>
        </w:numPr>
      </w:pPr>
      <w:r>
        <w:rPr>
          <w:rFonts w:ascii="Calibri" w:hAnsi="Calibri"/>
          <w:b w:val="0"/>
          <w:i w:val="0"/>
          <w:color w:val="24272A"/>
          <w:sz w:val="22"/>
        </w:rPr>
        <w:t>Domain services contain rules and state transitions without depending directly on Express or RabbitMQ.</w:t>
      </w:r>
    </w:p>
    <w:p>
      <w:pPr>
        <w:spacing w:after="160" w:line="280" w:lineRule="auto"/>
        <w:numPr>
          <w:ilvl w:val="0"/>
          <w:numId w:val="10"/>
        </w:numPr>
      </w:pPr>
      <w:r>
        <w:rPr>
          <w:rFonts w:ascii="Calibri" w:hAnsi="Calibri"/>
          <w:b w:val="0"/>
          <w:i w:val="0"/>
          <w:color w:val="24272A"/>
          <w:sz w:val="22"/>
        </w:rPr>
        <w:t>Repositories isolate Prisma persistence operations.</w:t>
      </w:r>
    </w:p>
    <w:p>
      <w:pPr>
        <w:spacing w:after="160" w:line="280" w:lineRule="auto"/>
        <w:numPr>
          <w:ilvl w:val="0"/>
          <w:numId w:val="10"/>
        </w:numPr>
      </w:pPr>
      <w:r>
        <w:rPr>
          <w:rFonts w:ascii="Calibri" w:hAnsi="Calibri"/>
          <w:b w:val="0"/>
          <w:i w:val="0"/>
          <w:color w:val="24272A"/>
          <w:sz w:val="22"/>
        </w:rPr>
        <w:t>Integration adapters isolate K-Bank, terminal, printer, and RabbitMQ-specific contracts.</w:t>
      </w:r>
    </w:p>
    <w:p>
      <w:pPr>
        <w:spacing w:after="160" w:line="280" w:lineRule="auto"/>
        <w:numPr>
          <w:ilvl w:val="0"/>
          <w:numId w:val="10"/>
        </w:numPr>
      </w:pPr>
      <w:r>
        <w:rPr>
          <w:rFonts w:ascii="Calibri" w:hAnsi="Calibri"/>
          <w:b w:val="0"/>
          <w:i w:val="0"/>
          <w:color w:val="24272A"/>
          <w:sz w:val="22"/>
        </w:rPr>
        <w:t>Modules may exchange identifiers and documented interfaces, but must not query another module's tables directly through ad hoc SQL.</w:t>
      </w:r>
    </w:p>
    <w:p>
      <w:pPr>
        <w:pStyle w:val="Heading2"/>
        <w:keepNext/>
      </w:pPr>
      <w:r>
        <w:t>4.4 Suggested Backend Modules</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500"/>
        <w:gridCol w:w="6860"/>
      </w:tblGrid>
      <w:tr>
        <w:trPr>
          <w:tblHeader w:val="true"/>
          <w:cantSplit w:val="true"/>
        </w:trPr>
        <w:tc>
          <w:tcPr>
            <w:tcW w:type="dxa" w:w="2500"/>
            <w:tcMar>
              <w:top w:w="80" w:type="dxa"/>
              <w:start w:w="120" w:type="dxa"/>
              <w:bottom w:w="80" w:type="dxa"/>
              <w:end w:w="120" w:type="dxa"/>
            </w:tcMar>
            <w:vAlign w:val="center"/>
            <w:shd w:fill="FFC72C"/>
          </w:tcPr>
          <w:p>
            <w:pPr>
              <w:spacing w:after="0"/>
              <w:jc w:val="left"/>
            </w:pPr>
            <w:r>
              <w:rPr>
                <w:rFonts w:ascii="Calibri" w:hAnsi="Calibri"/>
                <w:b/>
                <w:i w:val="0"/>
                <w:color w:val="24272A"/>
                <w:sz w:val="18"/>
              </w:rPr>
              <w:t>Module</w:t>
            </w:r>
          </w:p>
        </w:tc>
        <w:tc>
          <w:tcPr>
            <w:tcW w:type="dxa" w:w="6860"/>
            <w:tcMar>
              <w:top w:w="80" w:type="dxa"/>
              <w:start w:w="120" w:type="dxa"/>
              <w:bottom w:w="80" w:type="dxa"/>
              <w:end w:w="120" w:type="dxa"/>
            </w:tcMar>
            <w:vAlign w:val="center"/>
            <w:shd w:fill="FFC72C"/>
          </w:tcPr>
          <w:p>
            <w:pPr>
              <w:spacing w:after="0"/>
              <w:jc w:val="left"/>
            </w:pPr>
            <w:r>
              <w:rPr>
                <w:rFonts w:ascii="Calibri" w:hAnsi="Calibri"/>
                <w:b/>
                <w:i w:val="0"/>
                <w:color w:val="24272A"/>
                <w:sz w:val="18"/>
              </w:rPr>
              <w:t>Core responsibilities</w:t>
            </w:r>
          </w:p>
        </w:tc>
      </w:tr>
      <w:tr>
        <w:trPr>
          <w:cantSplit w:val="true"/>
        </w:trPr>
        <w:tc>
          <w:tcPr>
            <w:tcW w:type="dxa" w:w="2500"/>
            <w:tcMar>
              <w:top w:w="80" w:type="dxa"/>
              <w:start w:w="120" w:type="dxa"/>
              <w:bottom w:w="80" w:type="dxa"/>
              <w:end w:w="120" w:type="dxa"/>
            </w:tcMar>
            <w:vAlign w:val="center"/>
          </w:tcPr>
          <w:p>
            <w:pPr>
              <w:spacing w:after="0" w:line="252" w:lineRule="auto"/>
            </w:pPr>
            <w:r>
              <w:rPr>
                <w:rFonts w:ascii="Calibri" w:hAnsi="Calibri"/>
                <w:b w:val="0"/>
                <w:i w:val="0"/>
                <w:color w:val="24272A"/>
                <w:sz w:val="18"/>
              </w:rPr>
              <w:t>identity</w:t>
            </w:r>
          </w:p>
        </w:tc>
        <w:tc>
          <w:tcPr>
            <w:tcW w:type="dxa" w:w="6860"/>
            <w:tcMar>
              <w:top w:w="80" w:type="dxa"/>
              <w:start w:w="120" w:type="dxa"/>
              <w:bottom w:w="80" w:type="dxa"/>
              <w:end w:w="120" w:type="dxa"/>
            </w:tcMar>
            <w:vAlign w:val="center"/>
          </w:tcPr>
          <w:p>
            <w:pPr>
              <w:spacing w:after="0" w:line="252" w:lineRule="auto"/>
            </w:pPr>
            <w:r>
              <w:rPr>
                <w:rFonts w:ascii="Calibri" w:hAnsi="Calibri"/>
                <w:b w:val="0"/>
                <w:i w:val="0"/>
                <w:color w:val="24272A"/>
                <w:sz w:val="18"/>
              </w:rPr>
              <w:t>Authentication, users, roles, store assignments, and session management.</w:t>
            </w:r>
          </w:p>
        </w:tc>
      </w:tr>
      <w:tr>
        <w:trPr>
          <w:cantSplit w:val="true"/>
        </w:trPr>
        <w:tc>
          <w:tcPr>
            <w:tcW w:type="dxa" w:w="25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organization</w:t>
            </w:r>
          </w:p>
        </w:tc>
        <w:tc>
          <w:tcPr>
            <w:tcW w:type="dxa" w:w="68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Stores, terminals, terminal registration, and operational context.</w:t>
            </w:r>
          </w:p>
        </w:tc>
      </w:tr>
      <w:tr>
        <w:trPr>
          <w:cantSplit w:val="true"/>
        </w:trPr>
        <w:tc>
          <w:tcPr>
            <w:tcW w:type="dxa" w:w="2500"/>
            <w:tcMar>
              <w:top w:w="80" w:type="dxa"/>
              <w:start w:w="120" w:type="dxa"/>
              <w:bottom w:w="80" w:type="dxa"/>
              <w:end w:w="120" w:type="dxa"/>
            </w:tcMar>
            <w:vAlign w:val="center"/>
          </w:tcPr>
          <w:p>
            <w:pPr>
              <w:spacing w:after="0" w:line="252" w:lineRule="auto"/>
            </w:pPr>
            <w:r>
              <w:rPr>
                <w:rFonts w:ascii="Calibri" w:hAnsi="Calibri"/>
                <w:b w:val="0"/>
                <w:i w:val="0"/>
                <w:color w:val="24272A"/>
                <w:sz w:val="18"/>
              </w:rPr>
              <w:t>catalog</w:t>
            </w:r>
          </w:p>
        </w:tc>
        <w:tc>
          <w:tcPr>
            <w:tcW w:type="dxa" w:w="6860"/>
            <w:tcMar>
              <w:top w:w="80" w:type="dxa"/>
              <w:start w:w="120" w:type="dxa"/>
              <w:bottom w:w="80" w:type="dxa"/>
              <w:end w:w="120" w:type="dxa"/>
            </w:tcMar>
            <w:vAlign w:val="center"/>
          </w:tcPr>
          <w:p>
            <w:pPr>
              <w:spacing w:after="0" w:line="252" w:lineRule="auto"/>
            </w:pPr>
            <w:r>
              <w:rPr>
                <w:rFonts w:ascii="Calibri" w:hAnsi="Calibri"/>
                <w:b w:val="0"/>
                <w:i w:val="0"/>
                <w:color w:val="24272A"/>
                <w:sz w:val="18"/>
              </w:rPr>
              <w:t>Global products, barcodes, prices, VAT configuration, and product search.</w:t>
            </w:r>
          </w:p>
        </w:tc>
      </w:tr>
      <w:tr>
        <w:trPr>
          <w:cantSplit w:val="true"/>
        </w:trPr>
        <w:tc>
          <w:tcPr>
            <w:tcW w:type="dxa" w:w="25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sales</w:t>
            </w:r>
          </w:p>
        </w:tc>
        <w:tc>
          <w:tcPr>
            <w:tcW w:type="dxa" w:w="68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Open carts, sale items, totals, discounts, cancellation, and sale state.</w:t>
            </w:r>
          </w:p>
        </w:tc>
      </w:tr>
      <w:tr>
        <w:trPr>
          <w:cantSplit w:val="true"/>
        </w:trPr>
        <w:tc>
          <w:tcPr>
            <w:tcW w:type="dxa" w:w="2500"/>
            <w:tcMar>
              <w:top w:w="80" w:type="dxa"/>
              <w:start w:w="120" w:type="dxa"/>
              <w:bottom w:w="80" w:type="dxa"/>
              <w:end w:w="120" w:type="dxa"/>
            </w:tcMar>
            <w:vAlign w:val="center"/>
          </w:tcPr>
          <w:p>
            <w:pPr>
              <w:spacing w:after="0" w:line="252" w:lineRule="auto"/>
            </w:pPr>
            <w:r>
              <w:rPr>
                <w:rFonts w:ascii="Calibri" w:hAnsi="Calibri"/>
                <w:b w:val="0"/>
                <w:i w:val="0"/>
                <w:color w:val="24272A"/>
                <w:sz w:val="18"/>
              </w:rPr>
              <w:t>payments</w:t>
            </w:r>
          </w:p>
        </w:tc>
        <w:tc>
          <w:tcPr>
            <w:tcW w:type="dxa" w:w="6860"/>
            <w:tcMar>
              <w:top w:w="80" w:type="dxa"/>
              <w:start w:w="120" w:type="dxa"/>
              <w:bottom w:w="80" w:type="dxa"/>
              <w:end w:w="120" w:type="dxa"/>
            </w:tcMar>
            <w:vAlign w:val="center"/>
          </w:tcPr>
          <w:p>
            <w:pPr>
              <w:spacing w:after="0" w:line="252" w:lineRule="auto"/>
            </w:pPr>
            <w:r>
              <w:rPr>
                <w:rFonts w:ascii="Calibri" w:hAnsi="Calibri"/>
                <w:b w:val="0"/>
                <w:i w:val="0"/>
                <w:color w:val="24272A"/>
                <w:sz w:val="18"/>
              </w:rPr>
              <w:t>Cash, card attempts, PSP adapters, uncertain outcomes, and reconciliation.</w:t>
            </w:r>
          </w:p>
        </w:tc>
      </w:tr>
      <w:tr>
        <w:trPr>
          <w:cantSplit w:val="true"/>
        </w:trPr>
        <w:tc>
          <w:tcPr>
            <w:tcW w:type="dxa" w:w="25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receipts</w:t>
            </w:r>
          </w:p>
        </w:tc>
        <w:tc>
          <w:tcPr>
            <w:tcW w:type="dxa" w:w="68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Receipt payload generation, print attempts, and reprints.</w:t>
            </w:r>
          </w:p>
        </w:tc>
      </w:tr>
      <w:tr>
        <w:trPr>
          <w:cantSplit w:val="true"/>
        </w:trPr>
        <w:tc>
          <w:tcPr>
            <w:tcW w:type="dxa" w:w="2500"/>
            <w:tcMar>
              <w:top w:w="80" w:type="dxa"/>
              <w:start w:w="120" w:type="dxa"/>
              <w:bottom w:w="80" w:type="dxa"/>
              <w:end w:w="120" w:type="dxa"/>
            </w:tcMar>
            <w:vAlign w:val="center"/>
          </w:tcPr>
          <w:p>
            <w:pPr>
              <w:spacing w:after="0" w:line="252" w:lineRule="auto"/>
            </w:pPr>
            <w:r>
              <w:rPr>
                <w:rFonts w:ascii="Calibri" w:hAnsi="Calibri"/>
                <w:b w:val="0"/>
                <w:i w:val="0"/>
                <w:color w:val="24272A"/>
                <w:sz w:val="18"/>
              </w:rPr>
              <w:t>inventoryIntegration</w:t>
            </w:r>
          </w:p>
        </w:tc>
        <w:tc>
          <w:tcPr>
            <w:tcW w:type="dxa" w:w="6860"/>
            <w:tcMar>
              <w:top w:w="80" w:type="dxa"/>
              <w:start w:w="120" w:type="dxa"/>
              <w:bottom w:w="80" w:type="dxa"/>
              <w:end w:w="120" w:type="dxa"/>
            </w:tcMar>
            <w:vAlign w:val="center"/>
          </w:tcPr>
          <w:p>
            <w:pPr>
              <w:spacing w:after="0" w:line="252" w:lineRule="auto"/>
            </w:pPr>
            <w:r>
              <w:rPr>
                <w:rFonts w:ascii="Calibri" w:hAnsi="Calibri"/>
                <w:b w:val="0"/>
                <w:i w:val="0"/>
                <w:color w:val="24272A"/>
                <w:sz w:val="18"/>
              </w:rPr>
              <w:t>Outbox records, RabbitMQ publication, retry, and status.</w:t>
            </w:r>
          </w:p>
        </w:tc>
      </w:tr>
      <w:tr>
        <w:trPr>
          <w:cantSplit w:val="true"/>
        </w:trPr>
        <w:tc>
          <w:tcPr>
            <w:tcW w:type="dxa" w:w="25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reporting</w:t>
            </w:r>
          </w:p>
        </w:tc>
        <w:tc>
          <w:tcPr>
            <w:tcW w:type="dxa" w:w="68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Store-level and consolidated daily summaries.</w:t>
            </w:r>
          </w:p>
        </w:tc>
      </w:tr>
      <w:tr>
        <w:trPr>
          <w:cantSplit w:val="true"/>
        </w:trPr>
        <w:tc>
          <w:tcPr>
            <w:tcW w:type="dxa" w:w="2500"/>
            <w:tcMar>
              <w:top w:w="80" w:type="dxa"/>
              <w:start w:w="120" w:type="dxa"/>
              <w:bottom w:w="80" w:type="dxa"/>
              <w:end w:w="120" w:type="dxa"/>
            </w:tcMar>
            <w:vAlign w:val="center"/>
          </w:tcPr>
          <w:p>
            <w:pPr>
              <w:spacing w:after="0" w:line="252" w:lineRule="auto"/>
            </w:pPr>
            <w:r>
              <w:rPr>
                <w:rFonts w:ascii="Calibri" w:hAnsi="Calibri"/>
                <w:b w:val="0"/>
                <w:i w:val="0"/>
                <w:color w:val="24272A"/>
                <w:sz w:val="18"/>
              </w:rPr>
              <w:t>operations</w:t>
            </w:r>
          </w:p>
        </w:tc>
        <w:tc>
          <w:tcPr>
            <w:tcW w:type="dxa" w:w="6860"/>
            <w:tcMar>
              <w:top w:w="80" w:type="dxa"/>
              <w:start w:w="120" w:type="dxa"/>
              <w:bottom w:w="80" w:type="dxa"/>
              <w:end w:w="120" w:type="dxa"/>
            </w:tcMar>
            <w:vAlign w:val="center"/>
          </w:tcPr>
          <w:p>
            <w:pPr>
              <w:spacing w:after="0" w:line="252" w:lineRule="auto"/>
            </w:pPr>
            <w:r>
              <w:rPr>
                <w:rFonts w:ascii="Calibri" w:hAnsi="Calibri"/>
                <w:b w:val="0"/>
                <w:i w:val="0"/>
                <w:color w:val="24272A"/>
                <w:sz w:val="18"/>
              </w:rPr>
              <w:t>Exception queues, system-health information, and recovery actions.</w:t>
            </w:r>
          </w:p>
        </w:tc>
      </w:tr>
      <w:tr>
        <w:trPr>
          <w:cantSplit w:val="true"/>
        </w:trPr>
        <w:tc>
          <w:tcPr>
            <w:tcW w:type="dxa" w:w="25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audit</w:t>
            </w:r>
          </w:p>
        </w:tc>
        <w:tc>
          <w:tcPr>
            <w:tcW w:type="dxa" w:w="68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Append-only security and business audit events.</w:t>
            </w:r>
          </w:p>
        </w:tc>
      </w:tr>
    </w:tbl>
    <w:p>
      <w:pPr>
        <w:spacing w:after="40"/>
      </w:pPr>
    </w:p>
    <w:p>
      <w:pPr>
        <w:pStyle w:val="Heading1"/>
        <w:keepNext/>
      </w:pPr>
      <w:r>
        <w:t>5. Deployment Architecture</w:t>
      </w:r>
    </w:p>
    <w:p>
      <w:r>
        <w:drawing>
          <wp:inline xmlns:a="http://schemas.openxmlformats.org/drawingml/2006/main" xmlns:pic="http://schemas.openxmlformats.org/drawingml/2006/picture">
            <wp:extent cx="5806440" cy="3465965"/>
            <wp:docPr id="2" name="Picture 2" title="Kaching production deployment" descr="Diagram showing store browser and peripherals connected to Google Cloud frontend, Cloud Run API and worker, Cloud SQL, managed operations services, K-Bank, RabbitMQ, and Inventory Service."/>
            <wp:cNvGraphicFramePr>
              <a:graphicFrameLocks noChangeAspect="1"/>
            </wp:cNvGraphicFramePr>
            <a:graphic>
              <a:graphicData uri="http://schemas.openxmlformats.org/drawingml/2006/picture">
                <pic:pic>
                  <pic:nvPicPr>
                    <pic:cNvPr id="0" name="deployment.png"/>
                    <pic:cNvPicPr/>
                  </pic:nvPicPr>
                  <pic:blipFill>
                    <a:blip r:embed="rId11"/>
                    <a:stretch>
                      <a:fillRect/>
                    </a:stretch>
                  </pic:blipFill>
                  <pic:spPr>
                    <a:xfrm>
                      <a:off x="0" y="0"/>
                      <a:ext cx="5806440" cy="3465965"/>
                    </a:xfrm>
                    <a:prstGeom prst="rect"/>
                  </pic:spPr>
                </pic:pic>
              </a:graphicData>
            </a:graphic>
          </wp:inline>
        </w:drawing>
      </w:r>
    </w:p>
    <w:p>
      <w:pPr>
        <w:keepNext w:val="0"/>
        <w:spacing w:before="0" w:after="200" w:line="264" w:lineRule="auto"/>
        <w:jc w:val="center"/>
      </w:pPr>
      <w:r>
        <w:rPr>
          <w:rFonts w:ascii="Calibri" w:hAnsi="Calibri"/>
          <w:b w:val="0"/>
          <w:i/>
          <w:color w:val="62676D"/>
          <w:sz w:val="18"/>
        </w:rPr>
        <w:t>Figure 2. Production deployment topology</w:t>
      </w:r>
    </w:p>
    <w:p>
      <w:pPr>
        <w:pStyle w:val="Heading2"/>
        <w:keepNext/>
      </w:pPr>
      <w:r>
        <w:t>5.1 Production Topology</w:t>
      </w:r>
    </w:p>
    <w:p>
      <w:pPr>
        <w:spacing w:after="160" w:line="280" w:lineRule="auto"/>
        <w:numPr>
          <w:ilvl w:val="0"/>
          <w:numId w:val="10"/>
        </w:numPr>
      </w:pPr>
      <w:r>
        <w:rPr>
          <w:rFonts w:ascii="Calibri" w:hAnsi="Calibri"/>
          <w:b w:val="0"/>
          <w:i w:val="0"/>
          <w:color w:val="24272A"/>
          <w:sz w:val="22"/>
        </w:rPr>
        <w:t>The Vite production build is served as static assets over HTTPS using Google Cloud static hosting and CDN capabilities.</w:t>
      </w:r>
    </w:p>
    <w:p>
      <w:pPr>
        <w:spacing w:after="160" w:line="280" w:lineRule="auto"/>
        <w:numPr>
          <w:ilvl w:val="0"/>
          <w:numId w:val="10"/>
        </w:numPr>
      </w:pPr>
      <w:r>
        <w:rPr>
          <w:rFonts w:ascii="Calibri" w:hAnsi="Calibri"/>
          <w:b w:val="0"/>
          <w:i w:val="0"/>
          <w:color w:val="24272A"/>
          <w:sz w:val="22"/>
        </w:rPr>
        <w:t>The Express API runs in stateless containers on Cloud Run and scales horizontally.</w:t>
      </w:r>
    </w:p>
    <w:p>
      <w:pPr>
        <w:spacing w:after="160" w:line="280" w:lineRule="auto"/>
        <w:numPr>
          <w:ilvl w:val="0"/>
          <w:numId w:val="10"/>
        </w:numPr>
      </w:pPr>
      <w:r>
        <w:rPr>
          <w:rFonts w:ascii="Calibri" w:hAnsi="Calibri"/>
          <w:b w:val="0"/>
          <w:i w:val="0"/>
          <w:color w:val="24272A"/>
          <w:sz w:val="22"/>
        </w:rPr>
        <w:t>The background worker runs separately so message publication and reconciliation cannot consume checkout request capacity.</w:t>
      </w:r>
    </w:p>
    <w:p>
      <w:pPr>
        <w:spacing w:after="160" w:line="280" w:lineRule="auto"/>
        <w:numPr>
          <w:ilvl w:val="0"/>
          <w:numId w:val="10"/>
        </w:numPr>
      </w:pPr>
      <w:r>
        <w:rPr>
          <w:rFonts w:ascii="Calibri" w:hAnsi="Calibri"/>
          <w:b w:val="0"/>
          <w:i w:val="0"/>
          <w:color w:val="24272A"/>
          <w:sz w:val="22"/>
        </w:rPr>
        <w:t>Cloud SQL for PostgreSQL uses regional high availability, automated backups, and point-in-time recovery.</w:t>
      </w:r>
    </w:p>
    <w:p>
      <w:pPr>
        <w:spacing w:after="160" w:line="280" w:lineRule="auto"/>
        <w:numPr>
          <w:ilvl w:val="0"/>
          <w:numId w:val="10"/>
        </w:numPr>
      </w:pPr>
      <w:r>
        <w:rPr>
          <w:rFonts w:ascii="Calibri" w:hAnsi="Calibri"/>
          <w:b w:val="0"/>
          <w:i w:val="0"/>
          <w:color w:val="24272A"/>
          <w:sz w:val="22"/>
        </w:rPr>
        <w:t>RabbitMQ runs as a managed, TLS-protected, three-node quorum cluster in or near the selected GCP region.</w:t>
      </w:r>
    </w:p>
    <w:p>
      <w:pPr>
        <w:spacing w:after="160" w:line="280" w:lineRule="auto"/>
        <w:numPr>
          <w:ilvl w:val="0"/>
          <w:numId w:val="10"/>
        </w:numPr>
      </w:pPr>
      <w:r>
        <w:rPr>
          <w:rFonts w:ascii="Calibri" w:hAnsi="Calibri"/>
          <w:b w:val="0"/>
          <w:i w:val="0"/>
          <w:color w:val="24272A"/>
          <w:sz w:val="22"/>
        </w:rPr>
        <w:t>Each POS terminal runs a registered Peripheral Gateway with a terminal-specific certificate and outbound network access only.</w:t>
      </w:r>
    </w:p>
    <w:p>
      <w:pPr>
        <w:pStyle w:val="Heading2"/>
        <w:keepNext/>
      </w:pPr>
      <w:r>
        <w:t>5.2 Environment Separation</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1800"/>
        <w:gridCol w:w="4300"/>
        <w:gridCol w:w="3260"/>
      </w:tblGrid>
      <w:tr>
        <w:trPr>
          <w:tblHeader w:val="true"/>
          <w:cantSplit w:val="true"/>
        </w:trPr>
        <w:tc>
          <w:tcPr>
            <w:tcW w:type="dxa" w:w="1800"/>
            <w:tcMar>
              <w:top w:w="80" w:type="dxa"/>
              <w:start w:w="120" w:type="dxa"/>
              <w:bottom w:w="80" w:type="dxa"/>
              <w:end w:w="120" w:type="dxa"/>
            </w:tcMar>
            <w:vAlign w:val="center"/>
            <w:shd w:fill="FFC72C"/>
          </w:tcPr>
          <w:p>
            <w:pPr>
              <w:spacing w:after="0"/>
              <w:jc w:val="left"/>
            </w:pPr>
            <w:r>
              <w:rPr>
                <w:rFonts w:ascii="Calibri" w:hAnsi="Calibri"/>
                <w:b/>
                <w:i w:val="0"/>
                <w:color w:val="24272A"/>
                <w:sz w:val="18"/>
              </w:rPr>
              <w:t>Environment</w:t>
            </w:r>
          </w:p>
        </w:tc>
        <w:tc>
          <w:tcPr>
            <w:tcW w:type="dxa" w:w="4300"/>
            <w:tcMar>
              <w:top w:w="80" w:type="dxa"/>
              <w:start w:w="120" w:type="dxa"/>
              <w:bottom w:w="80" w:type="dxa"/>
              <w:end w:w="120" w:type="dxa"/>
            </w:tcMar>
            <w:vAlign w:val="center"/>
            <w:shd w:fill="FFC72C"/>
          </w:tcPr>
          <w:p>
            <w:pPr>
              <w:spacing w:after="0"/>
              <w:jc w:val="left"/>
            </w:pPr>
            <w:r>
              <w:rPr>
                <w:rFonts w:ascii="Calibri" w:hAnsi="Calibri"/>
                <w:b/>
                <w:i w:val="0"/>
                <w:color w:val="24272A"/>
                <w:sz w:val="18"/>
              </w:rPr>
              <w:t>Purpose</w:t>
            </w:r>
          </w:p>
        </w:tc>
        <w:tc>
          <w:tcPr>
            <w:tcW w:type="dxa" w:w="3260"/>
            <w:tcMar>
              <w:top w:w="80" w:type="dxa"/>
              <w:start w:w="120" w:type="dxa"/>
              <w:bottom w:w="80" w:type="dxa"/>
              <w:end w:w="120" w:type="dxa"/>
            </w:tcMar>
            <w:vAlign w:val="center"/>
            <w:shd w:fill="FFC72C"/>
          </w:tcPr>
          <w:p>
            <w:pPr>
              <w:spacing w:after="0"/>
              <w:jc w:val="left"/>
            </w:pPr>
            <w:r>
              <w:rPr>
                <w:rFonts w:ascii="Calibri" w:hAnsi="Calibri"/>
                <w:b/>
                <w:i w:val="0"/>
                <w:color w:val="24272A"/>
                <w:sz w:val="18"/>
              </w:rPr>
              <w:t>Data policy</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8"/>
              </w:rPr>
              <w:t>Development</w:t>
            </w:r>
          </w:p>
        </w:tc>
        <w:tc>
          <w:tcPr>
            <w:tcW w:type="dxa" w:w="4300"/>
            <w:tcMar>
              <w:top w:w="80" w:type="dxa"/>
              <w:start w:w="120" w:type="dxa"/>
              <w:bottom w:w="80" w:type="dxa"/>
              <w:end w:w="120" w:type="dxa"/>
            </w:tcMar>
            <w:vAlign w:val="center"/>
          </w:tcPr>
          <w:p>
            <w:pPr>
              <w:spacing w:after="0" w:line="252" w:lineRule="auto"/>
            </w:pPr>
            <w:r>
              <w:rPr>
                <w:rFonts w:ascii="Calibri" w:hAnsi="Calibri"/>
                <w:b w:val="0"/>
                <w:i w:val="0"/>
                <w:color w:val="24272A"/>
                <w:sz w:val="18"/>
              </w:rPr>
              <w:t>Local implementation and automated tests using Docker Compose.</w:t>
            </w:r>
          </w:p>
        </w:tc>
        <w:tc>
          <w:tcPr>
            <w:tcW w:type="dxa" w:w="3260"/>
            <w:tcMar>
              <w:top w:w="80" w:type="dxa"/>
              <w:start w:w="120" w:type="dxa"/>
              <w:bottom w:w="80" w:type="dxa"/>
              <w:end w:w="120" w:type="dxa"/>
            </w:tcMar>
            <w:vAlign w:val="center"/>
          </w:tcPr>
          <w:p>
            <w:pPr>
              <w:spacing w:after="0" w:line="252" w:lineRule="auto"/>
            </w:pPr>
            <w:r>
              <w:rPr>
                <w:rFonts w:ascii="Calibri" w:hAnsi="Calibri"/>
                <w:b w:val="0"/>
                <w:i w:val="0"/>
                <w:color w:val="24272A"/>
                <w:sz w:val="18"/>
              </w:rPr>
              <w:t>Synthetic data only.</w:t>
            </w:r>
          </w:p>
        </w:tc>
      </w:tr>
      <w:tr>
        <w:trPr>
          <w:cantSplit w:val="true"/>
        </w:trPr>
        <w:tc>
          <w:tcPr>
            <w:tcW w:type="dxa" w:w="1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Staging</w:t>
            </w:r>
          </w:p>
        </w:tc>
        <w:tc>
          <w:tcPr>
            <w:tcW w:type="dxa" w:w="43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Production-like integration, acceptance, load, and recovery testing.</w:t>
            </w:r>
          </w:p>
        </w:tc>
        <w:tc>
          <w:tcPr>
            <w:tcW w:type="dxa" w:w="32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Masked or synthetic data only.</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8"/>
              </w:rPr>
              <w:t>Production</w:t>
            </w:r>
          </w:p>
        </w:tc>
        <w:tc>
          <w:tcPr>
            <w:tcW w:type="dxa" w:w="4300"/>
            <w:tcMar>
              <w:top w:w="80" w:type="dxa"/>
              <w:start w:w="120" w:type="dxa"/>
              <w:bottom w:w="80" w:type="dxa"/>
              <w:end w:w="120" w:type="dxa"/>
            </w:tcMar>
            <w:vAlign w:val="center"/>
          </w:tcPr>
          <w:p>
            <w:pPr>
              <w:spacing w:after="0" w:line="252" w:lineRule="auto"/>
            </w:pPr>
            <w:r>
              <w:rPr>
                <w:rFonts w:ascii="Calibri" w:hAnsi="Calibri"/>
                <w:b w:val="0"/>
                <w:i w:val="0"/>
                <w:color w:val="24272A"/>
                <w:sz w:val="18"/>
              </w:rPr>
              <w:t>Live store operations.</w:t>
            </w:r>
          </w:p>
        </w:tc>
        <w:tc>
          <w:tcPr>
            <w:tcW w:type="dxa" w:w="3260"/>
            <w:tcMar>
              <w:top w:w="80" w:type="dxa"/>
              <w:start w:w="120" w:type="dxa"/>
              <w:bottom w:w="80" w:type="dxa"/>
              <w:end w:w="120" w:type="dxa"/>
            </w:tcMar>
            <w:vAlign w:val="center"/>
          </w:tcPr>
          <w:p>
            <w:pPr>
              <w:spacing w:after="0" w:line="252" w:lineRule="auto"/>
            </w:pPr>
            <w:r>
              <w:rPr>
                <w:rFonts w:ascii="Calibri" w:hAnsi="Calibri"/>
                <w:b w:val="0"/>
                <w:i w:val="0"/>
                <w:color w:val="24272A"/>
                <w:sz w:val="18"/>
              </w:rPr>
              <w:t>Production data with restricted access and backup controls.</w:t>
            </w:r>
          </w:p>
        </w:tc>
      </w:tr>
    </w:tbl>
    <w:p>
      <w:pPr>
        <w:spacing w:after="40"/>
      </w:pPr>
    </w:p>
    <w:p>
      <w:pPr>
        <w:pStyle w:val="Heading2"/>
        <w:keepNext/>
      </w:pPr>
      <w:r>
        <w:t>5.3 Connectivity Behavior</w:t>
      </w:r>
    </w:p>
    <w:p>
      <w:pPr>
        <w:keepNext w:val="0"/>
        <w:spacing w:before="0" w:after="120" w:line="264" w:lineRule="auto"/>
        <w:jc w:val="left"/>
      </w:pPr>
      <w:r>
        <w:rPr>
          <w:rFonts w:ascii="Calibri" w:hAnsi="Calibri"/>
          <w:b w:val="0"/>
          <w:i w:val="0"/>
          <w:color w:val="24272A"/>
          <w:sz w:val="22"/>
        </w:rPr>
        <w:t>Kaching does not support offline checkout. If a terminal loses connectivity to the API, the web application shall disable sale start and completion actions, preserve any already displayed cart in memory for operator reference, and show a clear reconnect status. The cart is not treated as durable until the backend confirms it.</w:t>
      </w:r>
    </w:p>
    <w:p>
      <w:pPr>
        <w:pStyle w:val="Heading1"/>
        <w:keepNext/>
      </w:pPr>
      <w:r>
        <w:t>6. Application Structure</w:t>
      </w:r>
    </w:p>
    <w:p>
      <w:pPr>
        <w:pStyle w:val="Heading2"/>
        <w:keepNext/>
      </w:pPr>
      <w:r>
        <w:t>6.1 Frontend Structure</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000"/>
        <w:gridCol w:w="7360"/>
      </w:tblGrid>
      <w:tr>
        <w:trPr>
          <w:tblHeader w:val="true"/>
          <w:cantSplit w:val="true"/>
        </w:trPr>
        <w:tc>
          <w:tcPr>
            <w:tcW w:type="dxa" w:w="2000"/>
            <w:tcMar>
              <w:top w:w="80" w:type="dxa"/>
              <w:start w:w="120" w:type="dxa"/>
              <w:bottom w:w="80" w:type="dxa"/>
              <w:end w:w="120" w:type="dxa"/>
            </w:tcMar>
            <w:vAlign w:val="center"/>
            <w:shd w:fill="FFC72C"/>
          </w:tcPr>
          <w:p>
            <w:pPr>
              <w:spacing w:after="0"/>
              <w:jc w:val="left"/>
            </w:pPr>
            <w:r>
              <w:rPr>
                <w:rFonts w:ascii="Calibri" w:hAnsi="Calibri"/>
                <w:b/>
                <w:i w:val="0"/>
                <w:color w:val="24272A"/>
                <w:sz w:val="18"/>
              </w:rPr>
              <w:t>Area</w:t>
            </w:r>
          </w:p>
        </w:tc>
        <w:tc>
          <w:tcPr>
            <w:tcW w:type="dxa" w:w="7360"/>
            <w:tcMar>
              <w:top w:w="80" w:type="dxa"/>
              <w:start w:w="120" w:type="dxa"/>
              <w:bottom w:w="80" w:type="dxa"/>
              <w:end w:w="120" w:type="dxa"/>
            </w:tcMar>
            <w:vAlign w:val="center"/>
            <w:shd w:fill="FFC72C"/>
          </w:tcPr>
          <w:p>
            <w:pPr>
              <w:spacing w:after="0"/>
              <w:jc w:val="left"/>
            </w:pPr>
            <w:r>
              <w:rPr>
                <w:rFonts w:ascii="Calibri" w:hAnsi="Calibri"/>
                <w:b/>
                <w:i w:val="0"/>
                <w:color w:val="24272A"/>
                <w:sz w:val="18"/>
              </w:rPr>
              <w:t>Design</w:t>
            </w:r>
          </w:p>
        </w:tc>
      </w:tr>
      <w:tr>
        <w:trPr>
          <w:cantSplit w:val="true"/>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4272A"/>
                <w:sz w:val="18"/>
              </w:rPr>
              <w:t>Framework</w:t>
            </w:r>
          </w:p>
        </w:tc>
        <w:tc>
          <w:tcPr>
            <w:tcW w:type="dxa" w:w="7360"/>
            <w:tcMar>
              <w:top w:w="80" w:type="dxa"/>
              <w:start w:w="120" w:type="dxa"/>
              <w:bottom w:w="80" w:type="dxa"/>
              <w:end w:w="120" w:type="dxa"/>
            </w:tcMar>
            <w:vAlign w:val="center"/>
          </w:tcPr>
          <w:p>
            <w:pPr>
              <w:spacing w:after="0" w:line="252" w:lineRule="auto"/>
            </w:pPr>
            <w:r>
              <w:rPr>
                <w:rFonts w:ascii="Calibri" w:hAnsi="Calibri"/>
                <w:b w:val="0"/>
                <w:i w:val="0"/>
                <w:color w:val="24272A"/>
                <w:sz w:val="18"/>
              </w:rPr>
              <w:t>React with TypeScript and Vite.</w:t>
            </w:r>
          </w:p>
        </w:tc>
      </w:tr>
      <w:tr>
        <w:trPr>
          <w:cantSplit w:val="true"/>
        </w:trPr>
        <w:tc>
          <w:tcPr>
            <w:tcW w:type="dxa" w:w="20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Routing</w:t>
            </w:r>
          </w:p>
        </w:tc>
        <w:tc>
          <w:tcPr>
            <w:tcW w:type="dxa" w:w="73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Role-aware routes for checkout, catalog, reports, operations, and administration.</w:t>
            </w:r>
          </w:p>
        </w:tc>
      </w:tr>
      <w:tr>
        <w:trPr>
          <w:cantSplit w:val="true"/>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4272A"/>
                <w:sz w:val="18"/>
              </w:rPr>
              <w:t>State</w:t>
            </w:r>
          </w:p>
        </w:tc>
        <w:tc>
          <w:tcPr>
            <w:tcW w:type="dxa" w:w="7360"/>
            <w:tcMar>
              <w:top w:w="80" w:type="dxa"/>
              <w:start w:w="120" w:type="dxa"/>
              <w:bottom w:w="80" w:type="dxa"/>
              <w:end w:w="120" w:type="dxa"/>
            </w:tcMar>
            <w:vAlign w:val="center"/>
          </w:tcPr>
          <w:p>
            <w:pPr>
              <w:spacing w:after="0" w:line="252" w:lineRule="auto"/>
            </w:pPr>
            <w:r>
              <w:rPr>
                <w:rFonts w:ascii="Calibri" w:hAnsi="Calibri"/>
                <w:b w:val="0"/>
                <w:i w:val="0"/>
                <w:color w:val="24272A"/>
                <w:sz w:val="18"/>
              </w:rPr>
              <w:t>Server state through a query/cache layer; local component state for transient UI input.</w:t>
            </w:r>
          </w:p>
        </w:tc>
      </w:tr>
      <w:tr>
        <w:trPr>
          <w:cantSplit w:val="true"/>
        </w:trPr>
        <w:tc>
          <w:tcPr>
            <w:tcW w:type="dxa" w:w="20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Forms</w:t>
            </w:r>
          </w:p>
        </w:tc>
        <w:tc>
          <w:tcPr>
            <w:tcW w:type="dxa" w:w="73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Schema-based client validation matched to API contracts.</w:t>
            </w:r>
          </w:p>
        </w:tc>
      </w:tr>
      <w:tr>
        <w:trPr>
          <w:cantSplit w:val="true"/>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4272A"/>
                <w:sz w:val="18"/>
              </w:rPr>
              <w:t>Money</w:t>
            </w:r>
          </w:p>
        </w:tc>
        <w:tc>
          <w:tcPr>
            <w:tcW w:type="dxa" w:w="7360"/>
            <w:tcMar>
              <w:top w:w="80" w:type="dxa"/>
              <w:start w:w="120" w:type="dxa"/>
              <w:bottom w:w="80" w:type="dxa"/>
              <w:end w:w="120" w:type="dxa"/>
            </w:tcMar>
            <w:vAlign w:val="center"/>
          </w:tcPr>
          <w:p>
            <w:pPr>
              <w:spacing w:after="0" w:line="252" w:lineRule="auto"/>
            </w:pPr>
            <w:r>
              <w:rPr>
                <w:rFonts w:ascii="Calibri" w:hAnsi="Calibri"/>
                <w:b w:val="0"/>
                <w:i w:val="0"/>
                <w:color w:val="24272A"/>
                <w:sz w:val="18"/>
              </w:rPr>
              <w:t>API monetary values are decimal strings; the UI formats them as THB and never uses binary floating-point for financial calculations.</w:t>
            </w:r>
          </w:p>
        </w:tc>
      </w:tr>
      <w:tr>
        <w:trPr>
          <w:cantSplit w:val="true"/>
        </w:trPr>
        <w:tc>
          <w:tcPr>
            <w:tcW w:type="dxa" w:w="20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Errors</w:t>
            </w:r>
          </w:p>
        </w:tc>
        <w:tc>
          <w:tcPr>
            <w:tcW w:type="dxa" w:w="73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Inline validation for correctable input and persistent banners/dialogs for transaction-state or integration errors.</w:t>
            </w:r>
          </w:p>
        </w:tc>
      </w:tr>
      <w:tr>
        <w:trPr>
          <w:cantSplit w:val="true"/>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4272A"/>
                <w:sz w:val="18"/>
              </w:rPr>
              <w:t>Accessibility</w:t>
            </w:r>
          </w:p>
        </w:tc>
        <w:tc>
          <w:tcPr>
            <w:tcW w:type="dxa" w:w="7360"/>
            <w:tcMar>
              <w:top w:w="80" w:type="dxa"/>
              <w:start w:w="120" w:type="dxa"/>
              <w:bottom w:w="80" w:type="dxa"/>
              <w:end w:w="120" w:type="dxa"/>
            </w:tcMar>
            <w:vAlign w:val="center"/>
          </w:tcPr>
          <w:p>
            <w:pPr>
              <w:spacing w:after="0" w:line="252" w:lineRule="auto"/>
            </w:pPr>
            <w:r>
              <w:rPr>
                <w:rFonts w:ascii="Calibri" w:hAnsi="Calibri"/>
                <w:b w:val="0"/>
                <w:i w:val="0"/>
                <w:color w:val="24272A"/>
                <w:sz w:val="18"/>
              </w:rPr>
              <w:t>Keyboard navigation, visible focus, touch targets of at least 44 by 44 CSS pixels, and announced status changes.</w:t>
            </w:r>
          </w:p>
        </w:tc>
      </w:tr>
    </w:tbl>
    <w:p>
      <w:pPr>
        <w:spacing w:after="40"/>
      </w:pPr>
    </w:p>
    <w:p>
      <w:pPr>
        <w:pStyle w:val="Heading2"/>
        <w:keepNext/>
      </w:pPr>
      <w:r>
        <w:t>6.2 REST API Convention</w:t>
      </w:r>
    </w:p>
    <w:p>
      <w:pPr>
        <w:spacing w:after="160" w:line="280" w:lineRule="auto"/>
        <w:numPr>
          <w:ilvl w:val="0"/>
          <w:numId w:val="10"/>
        </w:numPr>
      </w:pPr>
      <w:r>
        <w:rPr>
          <w:rFonts w:ascii="Calibri" w:hAnsi="Calibri"/>
          <w:b w:val="0"/>
          <w:i w:val="0"/>
          <w:color w:val="24272A"/>
          <w:sz w:val="22"/>
        </w:rPr>
        <w:t>Base path: /api/v1.</w:t>
      </w:r>
    </w:p>
    <w:p>
      <w:pPr>
        <w:spacing w:after="160" w:line="280" w:lineRule="auto"/>
        <w:numPr>
          <w:ilvl w:val="0"/>
          <w:numId w:val="10"/>
        </w:numPr>
      </w:pPr>
      <w:r>
        <w:rPr>
          <w:rFonts w:ascii="Calibri" w:hAnsi="Calibri"/>
          <w:b w:val="0"/>
          <w:i w:val="0"/>
          <w:color w:val="24272A"/>
          <w:sz w:val="22"/>
        </w:rPr>
        <w:t>JSON property names: camelCase.</w:t>
      </w:r>
    </w:p>
    <w:p>
      <w:pPr>
        <w:spacing w:after="160" w:line="280" w:lineRule="auto"/>
        <w:numPr>
          <w:ilvl w:val="0"/>
          <w:numId w:val="10"/>
        </w:numPr>
      </w:pPr>
      <w:r>
        <w:rPr>
          <w:rFonts w:ascii="Calibri" w:hAnsi="Calibri"/>
          <w:b w:val="0"/>
          <w:i w:val="0"/>
          <w:color w:val="24272A"/>
          <w:sz w:val="22"/>
        </w:rPr>
        <w:t>Timestamps: ISO 8601 in UTC; business-date interpretation uses the store timezone.</w:t>
      </w:r>
    </w:p>
    <w:p>
      <w:pPr>
        <w:spacing w:after="160" w:line="280" w:lineRule="auto"/>
        <w:numPr>
          <w:ilvl w:val="0"/>
          <w:numId w:val="10"/>
        </w:numPr>
      </w:pPr>
      <w:r>
        <w:rPr>
          <w:rFonts w:ascii="Calibri" w:hAnsi="Calibri"/>
          <w:b w:val="0"/>
          <w:i w:val="0"/>
          <w:color w:val="24272A"/>
          <w:sz w:val="22"/>
        </w:rPr>
        <w:t>Money: decimal strings with two fractional digits, for example "1250.00".</w:t>
      </w:r>
    </w:p>
    <w:p>
      <w:pPr>
        <w:spacing w:after="160" w:line="280" w:lineRule="auto"/>
        <w:numPr>
          <w:ilvl w:val="0"/>
          <w:numId w:val="10"/>
        </w:numPr>
      </w:pPr>
      <w:r>
        <w:rPr>
          <w:rFonts w:ascii="Calibri" w:hAnsi="Calibri"/>
          <w:b w:val="0"/>
          <w:i w:val="0"/>
          <w:color w:val="24272A"/>
          <w:sz w:val="22"/>
        </w:rPr>
        <w:t>Errors: a consistent problem-detail object containing code, title, message, fieldErrors, correlationId, and retryable.</w:t>
      </w:r>
    </w:p>
    <w:p>
      <w:pPr>
        <w:spacing w:after="160" w:line="280" w:lineRule="auto"/>
        <w:numPr>
          <w:ilvl w:val="0"/>
          <w:numId w:val="10"/>
        </w:numPr>
      </w:pPr>
      <w:r>
        <w:rPr>
          <w:rFonts w:ascii="Calibri" w:hAnsi="Calibri"/>
          <w:b w:val="0"/>
          <w:i w:val="0"/>
          <w:color w:val="24272A"/>
          <w:sz w:val="22"/>
        </w:rPr>
        <w:t>Idempotency: Idempotency-Key is mandatory for payment-attempt creation and sale finalization.</w:t>
      </w:r>
    </w:p>
    <w:p>
      <w:pPr>
        <w:spacing w:after="160" w:line="280" w:lineRule="auto"/>
        <w:numPr>
          <w:ilvl w:val="0"/>
          <w:numId w:val="10"/>
        </w:numPr>
      </w:pPr>
      <w:r>
        <w:rPr>
          <w:rFonts w:ascii="Calibri" w:hAnsi="Calibri"/>
          <w:b w:val="0"/>
          <w:i w:val="0"/>
          <w:color w:val="24272A"/>
          <w:sz w:val="22"/>
        </w:rPr>
        <w:t>Concurrency: mutable aggregate requests include a version value; stale updates return HTTP 409.</w:t>
      </w:r>
    </w:p>
    <w:p>
      <w:pPr>
        <w:spacing w:after="160" w:line="280" w:lineRule="auto"/>
        <w:numPr>
          <w:ilvl w:val="0"/>
          <w:numId w:val="10"/>
        </w:numPr>
      </w:pPr>
      <w:r>
        <w:rPr>
          <w:rFonts w:ascii="Calibri" w:hAnsi="Calibri"/>
          <w:b w:val="0"/>
          <w:i w:val="0"/>
          <w:color w:val="24272A"/>
          <w:sz w:val="22"/>
        </w:rPr>
        <w:t>Documentation: OpenAPI 3.1 is generated and checked in CI.</w:t>
      </w:r>
    </w:p>
    <w:p>
      <w:pPr>
        <w:keepNext w:val="0"/>
        <w:spacing w:before="0" w:after="0" w:line="264" w:lineRule="auto"/>
        <w:jc w:val="left"/>
      </w:pPr>
      <w:r>
        <w:rPr>
          <w:rFonts w:ascii="Calibri" w:hAnsi="Calibri"/>
          <w:b w:val="0"/>
          <w:i w:val="0"/>
          <w:color w:val="24272A"/>
          <w:sz w:val="22"/>
        </w:rPr>
      </w:r>
    </w:p>
    <w:p>
      <w:pPr>
        <w:pStyle w:val="Heading2"/>
        <w:keepNext/>
      </w:pPr>
      <w:r>
        <w:t>6.3 API Resource Outline</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400"/>
        <w:gridCol w:w="6960"/>
      </w:tblGrid>
      <w:tr>
        <w:trPr>
          <w:tblHeader w:val="true"/>
          <w:cantSplit w:val="true"/>
        </w:trPr>
        <w:tc>
          <w:tcPr>
            <w:tcW w:type="dxa" w:w="2400"/>
            <w:tcMar>
              <w:top w:w="80" w:type="dxa"/>
              <w:start w:w="120" w:type="dxa"/>
              <w:bottom w:w="80" w:type="dxa"/>
              <w:end w:w="120" w:type="dxa"/>
            </w:tcMar>
            <w:vAlign w:val="center"/>
            <w:shd w:fill="FFC72C"/>
          </w:tcPr>
          <w:p>
            <w:pPr>
              <w:spacing w:after="0"/>
              <w:jc w:val="left"/>
            </w:pPr>
            <w:r>
              <w:rPr>
                <w:rFonts w:ascii="Calibri" w:hAnsi="Calibri"/>
                <w:b/>
                <w:i w:val="0"/>
                <w:color w:val="24272A"/>
                <w:sz w:val="17"/>
              </w:rPr>
              <w:t>Resource area</w:t>
            </w:r>
          </w:p>
        </w:tc>
        <w:tc>
          <w:tcPr>
            <w:tcW w:type="dxa" w:w="6960"/>
            <w:tcMar>
              <w:top w:w="80" w:type="dxa"/>
              <w:start w:w="120" w:type="dxa"/>
              <w:bottom w:w="80" w:type="dxa"/>
              <w:end w:w="120" w:type="dxa"/>
            </w:tcMar>
            <w:vAlign w:val="center"/>
            <w:shd w:fill="FFC72C"/>
          </w:tcPr>
          <w:p>
            <w:pPr>
              <w:spacing w:after="0"/>
              <w:jc w:val="left"/>
            </w:pPr>
            <w:r>
              <w:rPr>
                <w:rFonts w:ascii="Calibri" w:hAnsi="Calibri"/>
                <w:b/>
                <w:i w:val="0"/>
                <w:color w:val="24272A"/>
                <w:sz w:val="17"/>
              </w:rPr>
              <w:t>Representative endpoints</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24272A"/>
                <w:sz w:val="17"/>
              </w:rPr>
              <w:t>Authentication</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24272A"/>
                <w:sz w:val="17"/>
              </w:rPr>
              <w:t>POST /auth/login, POST /auth/refresh, POST /auth/logout, GET /me</w:t>
            </w:r>
          </w:p>
        </w:tc>
      </w:tr>
      <w:tr>
        <w:trPr>
          <w:cantSplit w:val="true"/>
        </w:trPr>
        <w:tc>
          <w:tcPr>
            <w:tcW w:type="dxa" w:w="24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Sales</w:t>
            </w:r>
          </w:p>
        </w:tc>
        <w:tc>
          <w:tcPr>
            <w:tcW w:type="dxa" w:w="69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POST /sales, GET /sales/{id}, PATCH /sales/{id}/items, POST /sales/{id}/cancel, POST /sales/{id}/finalize</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24272A"/>
                <w:sz w:val="17"/>
              </w:rPr>
              <w:t>Payments</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24272A"/>
                <w:sz w:val="17"/>
              </w:rPr>
              <w:t>POST /sales/{id}/payment-attempts, POST /payment-attempts/{id}/terminal-result, GET /payment-attempts/{id}</w:t>
            </w:r>
          </w:p>
        </w:tc>
      </w:tr>
      <w:tr>
        <w:trPr>
          <w:cantSplit w:val="true"/>
        </w:trPr>
        <w:tc>
          <w:tcPr>
            <w:tcW w:type="dxa" w:w="24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Catalog</w:t>
            </w:r>
          </w:p>
        </w:tc>
        <w:tc>
          <w:tcPr>
            <w:tcW w:type="dxa" w:w="69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GET /products, POST /products, PATCH /products/{id}</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24272A"/>
                <w:sz w:val="17"/>
              </w:rPr>
              <w:t>Reports</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24272A"/>
                <w:sz w:val="17"/>
              </w:rPr>
              <w:t>GET /reports/daily-sales?date=&amp;storeId=, GET /reports/daily-sales/consolidated?date=</w:t>
            </w:r>
          </w:p>
        </w:tc>
      </w:tr>
      <w:tr>
        <w:trPr>
          <w:cantSplit w:val="true"/>
        </w:trPr>
        <w:tc>
          <w:tcPr>
            <w:tcW w:type="dxa" w:w="24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Operations</w:t>
            </w:r>
          </w:p>
        </w:tc>
        <w:tc>
          <w:tcPr>
            <w:tcW w:type="dxa" w:w="69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GET /operations/payment-recovery, GET /operations/inventory-outbox</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24272A"/>
                <w:sz w:val="17"/>
              </w:rPr>
              <w:t>Administration</w:t>
            </w:r>
          </w:p>
        </w:tc>
        <w:tc>
          <w:tcPr>
            <w:tcW w:type="dxa" w:w="6960"/>
            <w:tcMar>
              <w:top w:w="80" w:type="dxa"/>
              <w:start w:w="120" w:type="dxa"/>
              <w:bottom w:w="80" w:type="dxa"/>
              <w:end w:w="120" w:type="dxa"/>
            </w:tcMar>
            <w:vAlign w:val="center"/>
          </w:tcPr>
          <w:p>
            <w:pPr>
              <w:spacing w:after="0" w:line="252" w:lineRule="auto"/>
            </w:pPr>
            <w:r>
              <w:rPr>
                <w:rFonts w:ascii="Calibri" w:hAnsi="Calibri"/>
                <w:b w:val="0"/>
                <w:i w:val="0"/>
                <w:color w:val="24272A"/>
                <w:sz w:val="17"/>
              </w:rPr>
              <w:t>Users, role assignments, stores, and terminals under /admin.</w:t>
            </w:r>
          </w:p>
        </w:tc>
      </w:tr>
    </w:tbl>
    <w:p>
      <w:pPr>
        <w:spacing w:after="40"/>
      </w:pPr>
    </w:p>
    <w:p>
      <w:pPr>
        <w:pStyle w:val="Heading1"/>
        <w:keepNext/>
      </w:pPr>
      <w:r>
        <w:t>7. Data Architecture</w:t>
      </w:r>
    </w:p>
    <w:p>
      <w:r>
        <w:drawing>
          <wp:inline xmlns:a="http://schemas.openxmlformats.org/drawingml/2006/main" xmlns:pic="http://schemas.openxmlformats.org/drawingml/2006/picture">
            <wp:extent cx="5806440" cy="3560885"/>
            <wp:docPr id="3" name="Picture 3" title="Kaching high-level data model" descr="Entity relationship overview for users, assignments, stores, terminals, products, sales, sale items, payment attempts, inventory outbox, receipt prints, and audit events."/>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5806440" cy="3560885"/>
                    </a:xfrm>
                    <a:prstGeom prst="rect"/>
                  </pic:spPr>
                </pic:pic>
              </a:graphicData>
            </a:graphic>
          </wp:inline>
        </w:drawing>
      </w:r>
    </w:p>
    <w:p>
      <w:pPr>
        <w:keepNext w:val="0"/>
        <w:spacing w:before="0" w:after="200" w:line="264" w:lineRule="auto"/>
        <w:jc w:val="center"/>
      </w:pPr>
      <w:r>
        <w:rPr>
          <w:rFonts w:ascii="Calibri" w:hAnsi="Calibri"/>
          <w:b w:val="0"/>
          <w:i/>
          <w:color w:val="62676D"/>
          <w:sz w:val="18"/>
        </w:rPr>
        <w:t>Figure 3. High-level data model</w:t>
      </w:r>
    </w:p>
    <w:p>
      <w:pPr>
        <w:pStyle w:val="Heading2"/>
        <w:keepNext/>
      </w:pPr>
      <w:r>
        <w:t>7.1 Core Entity Design</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100"/>
        <w:gridCol w:w="7260"/>
      </w:tblGrid>
      <w:tr>
        <w:trPr>
          <w:tblHeader w:val="true"/>
          <w:cantSplit w:val="true"/>
        </w:trPr>
        <w:tc>
          <w:tcPr>
            <w:tcW w:type="dxa" w:w="2100"/>
            <w:tcMar>
              <w:top w:w="80" w:type="dxa"/>
              <w:start w:w="120" w:type="dxa"/>
              <w:bottom w:w="80" w:type="dxa"/>
              <w:end w:w="120" w:type="dxa"/>
            </w:tcMar>
            <w:vAlign w:val="center"/>
            <w:shd w:fill="FFC72C"/>
          </w:tcPr>
          <w:p>
            <w:pPr>
              <w:spacing w:after="0"/>
              <w:jc w:val="left"/>
            </w:pPr>
            <w:r>
              <w:rPr>
                <w:rFonts w:ascii="Calibri" w:hAnsi="Calibri"/>
                <w:b/>
                <w:i w:val="0"/>
                <w:color w:val="24272A"/>
                <w:sz w:val="17"/>
              </w:rPr>
              <w:t>Entity</w:t>
            </w:r>
          </w:p>
        </w:tc>
        <w:tc>
          <w:tcPr>
            <w:tcW w:type="dxa" w:w="7260"/>
            <w:tcMar>
              <w:top w:w="80" w:type="dxa"/>
              <w:start w:w="120" w:type="dxa"/>
              <w:bottom w:w="80" w:type="dxa"/>
              <w:end w:w="120" w:type="dxa"/>
            </w:tcMar>
            <w:vAlign w:val="center"/>
            <w:shd w:fill="FFC72C"/>
          </w:tcPr>
          <w:p>
            <w:pPr>
              <w:spacing w:after="0"/>
              <w:jc w:val="left"/>
            </w:pPr>
            <w:r>
              <w:rPr>
                <w:rFonts w:ascii="Calibri" w:hAnsi="Calibri"/>
                <w:b/>
                <w:i w:val="0"/>
                <w:color w:val="24272A"/>
                <w:sz w:val="17"/>
              </w:rPr>
              <w:t>Key design notes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7"/>
              </w:rPr>
              <w:t>User</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24272A"/>
                <w:sz w:val="17"/>
              </w:rPr>
              <w:t>Authentication identity, active status, and security metadata. Roles and store scope are assigned separately.</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Store</w:t>
            </w:r>
          </w:p>
        </w:tc>
        <w:tc>
          <w:tcPr>
            <w:tcW w:type="dxa" w:w="72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Stable code, name, active status, and Asia/Bangkok timezone.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7"/>
              </w:rPr>
              <w:t>Terminal</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24272A"/>
                <w:sz w:val="17"/>
              </w:rPr>
              <w:t>Belongs to one store and has a unique registration identity and active status.</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Product</w:t>
            </w:r>
          </w:p>
        </w:tc>
        <w:tc>
          <w:tcPr>
            <w:tcW w:type="dxa" w:w="72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Global SKU, barcode, name, VAT rate or category, VAT-inclusive price, and active status.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7"/>
              </w:rPr>
              <w:t>Sale</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24272A"/>
                <w:sz w:val="17"/>
              </w:rPr>
              <w:t>Authoritative transaction aggregate with subtotal, discount, VAT, total, state, store, terminal, cashier, timestamps, and version.</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SaleItem</w:t>
            </w:r>
          </w:p>
        </w:tc>
        <w:tc>
          <w:tcPr>
            <w:tcW w:type="dxa" w:w="72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Snapshots SKU, name, unit price, VAT information, quantity, and line amount so history is unaffected by later catalog changes.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7"/>
              </w:rPr>
              <w:t>PaymentAttempt</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24272A"/>
                <w:sz w:val="17"/>
              </w:rPr>
              <w:t>Unique merchant reference, method, requested amount, PSP reference, status, timestamps, and reconciliation metadata.</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InventoryOutbox</w:t>
            </w:r>
          </w:p>
        </w:tc>
        <w:tc>
          <w:tcPr>
            <w:tcW w:type="dxa" w:w="72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Unique event ID, sale ID, event version, payload, state, attempt count, next attempt time, and last error.</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7"/>
              </w:rPr>
              <w:t>ReceiptPrint</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24272A"/>
                <w:sz w:val="17"/>
              </w:rPr>
              <w:t>Print and reprint attempts, terminal, user, outcome, and error details without card data.</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AuditEvent</w:t>
            </w:r>
          </w:p>
        </w:tc>
        <w:tc>
          <w:tcPr>
            <w:tcW w:type="dxa" w:w="72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Append-only actor, action, target, store, terminal, timestamp, correlation ID, and non-sensitive details.</w:t>
            </w:r>
          </w:p>
        </w:tc>
      </w:tr>
    </w:tbl>
    <w:p>
      <w:pPr>
        <w:spacing w:after="40"/>
      </w:pPr>
    </w:p>
    <w:p>
      <w:pPr>
        <w:pStyle w:val="Heading2"/>
        <w:keepNext/>
      </w:pPr>
      <w:r>
        <w:t>7.2 Identifier and Monetary Strategy</w:t>
      </w:r>
    </w:p>
    <w:p>
      <w:pPr>
        <w:spacing w:after="160" w:line="280" w:lineRule="auto"/>
        <w:numPr>
          <w:ilvl w:val="0"/>
          <w:numId w:val="10"/>
        </w:numPr>
      </w:pPr>
      <w:r>
        <w:rPr>
          <w:rFonts w:ascii="Calibri" w:hAnsi="Calibri"/>
          <w:b w:val="0"/>
          <w:i w:val="0"/>
          <w:color w:val="24272A"/>
          <w:sz w:val="22"/>
        </w:rPr>
        <w:t>Use UUID primary keys for distributed uniqueness across stores and terminals.</w:t>
      </w:r>
    </w:p>
    <w:p>
      <w:pPr>
        <w:spacing w:after="160" w:line="280" w:lineRule="auto"/>
        <w:numPr>
          <w:ilvl w:val="0"/>
          <w:numId w:val="10"/>
        </w:numPr>
      </w:pPr>
      <w:r>
        <w:rPr>
          <w:rFonts w:ascii="Calibri" w:hAnsi="Calibri"/>
          <w:b w:val="0"/>
          <w:i w:val="0"/>
          <w:color w:val="24272A"/>
          <w:sz w:val="22"/>
        </w:rPr>
        <w:t>Optionally expose a human-readable sale number containing store code, business date, terminal code, and sequence, while retaining UUID as the technical key.</w:t>
      </w:r>
    </w:p>
    <w:p>
      <w:pPr>
        <w:spacing w:after="160" w:line="280" w:lineRule="auto"/>
        <w:numPr>
          <w:ilvl w:val="0"/>
          <w:numId w:val="10"/>
        </w:numPr>
      </w:pPr>
      <w:r>
        <w:rPr>
          <w:rFonts w:ascii="Calibri" w:hAnsi="Calibri"/>
          <w:b w:val="0"/>
          <w:i w:val="0"/>
          <w:color w:val="24272A"/>
          <w:sz w:val="22"/>
        </w:rPr>
        <w:t>Use PostgreSQL NUMERIC and Prisma Decimal for money. JavaScript number is not used for persisted financial calculations.</w:t>
      </w:r>
    </w:p>
    <w:p>
      <w:pPr>
        <w:spacing w:after="160" w:line="280" w:lineRule="auto"/>
        <w:numPr>
          <w:ilvl w:val="0"/>
          <w:numId w:val="10"/>
        </w:numPr>
      </w:pPr>
      <w:r>
        <w:rPr>
          <w:rFonts w:ascii="Calibri" w:hAnsi="Calibri"/>
          <w:b w:val="0"/>
          <w:i w:val="0"/>
          <w:color w:val="24272A"/>
          <w:sz w:val="22"/>
        </w:rPr>
        <w:t>Round percentage-derived discounts to two decimal places using commercial half-up rounding unless Thai statutory tax guidance requires a different rule.</w:t>
      </w:r>
    </w:p>
    <w:p>
      <w:pPr>
        <w:spacing w:after="160" w:line="280" w:lineRule="auto"/>
        <w:numPr>
          <w:ilvl w:val="0"/>
          <w:numId w:val="10"/>
        </w:numPr>
      </w:pPr>
      <w:r>
        <w:rPr>
          <w:rFonts w:ascii="Calibri" w:hAnsi="Calibri"/>
          <w:b w:val="0"/>
          <w:i w:val="0"/>
          <w:color w:val="24272A"/>
          <w:sz w:val="22"/>
        </w:rPr>
        <w:t>Persist the VAT rate and calculated VAT portion used by the sale so historical receipts remain reproducible.</w:t>
      </w:r>
    </w:p>
    <w:p>
      <w:pPr>
        <w:pStyle w:val="Heading2"/>
        <w:keepNext/>
      </w:pPr>
      <w:r>
        <w:t>7.3 Sale State Model</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600"/>
        <w:gridCol w:w="4000"/>
        <w:gridCol w:w="2760"/>
      </w:tblGrid>
      <w:tr>
        <w:trPr>
          <w:tblHeader w:val="true"/>
          <w:cantSplit w:val="true"/>
        </w:trPr>
        <w:tc>
          <w:tcPr>
            <w:tcW w:type="dxa" w:w="2600"/>
            <w:tcMar>
              <w:top w:w="80" w:type="dxa"/>
              <w:start w:w="120" w:type="dxa"/>
              <w:bottom w:w="80" w:type="dxa"/>
              <w:end w:w="120" w:type="dxa"/>
            </w:tcMar>
            <w:vAlign w:val="center"/>
            <w:shd w:fill="FFC72C"/>
          </w:tcPr>
          <w:p>
            <w:pPr>
              <w:spacing w:after="0"/>
              <w:jc w:val="left"/>
            </w:pPr>
            <w:r>
              <w:rPr>
                <w:rFonts w:ascii="Calibri" w:hAnsi="Calibri"/>
                <w:b/>
                <w:i w:val="0"/>
                <w:color w:val="24272A"/>
                <w:sz w:val="16"/>
              </w:rPr>
              <w:t>State</w:t>
            </w:r>
          </w:p>
        </w:tc>
        <w:tc>
          <w:tcPr>
            <w:tcW w:type="dxa" w:w="4000"/>
            <w:tcMar>
              <w:top w:w="80" w:type="dxa"/>
              <w:start w:w="120" w:type="dxa"/>
              <w:bottom w:w="80" w:type="dxa"/>
              <w:end w:w="120" w:type="dxa"/>
            </w:tcMar>
            <w:vAlign w:val="center"/>
            <w:shd w:fill="FFC72C"/>
          </w:tcPr>
          <w:p>
            <w:pPr>
              <w:spacing w:after="0"/>
              <w:jc w:val="left"/>
            </w:pPr>
            <w:r>
              <w:rPr>
                <w:rFonts w:ascii="Calibri" w:hAnsi="Calibri"/>
                <w:b/>
                <w:i w:val="0"/>
                <w:color w:val="24272A"/>
                <w:sz w:val="16"/>
              </w:rPr>
              <w:t>Meaning</w:t>
            </w:r>
          </w:p>
        </w:tc>
        <w:tc>
          <w:tcPr>
            <w:tcW w:type="dxa" w:w="2760"/>
            <w:tcMar>
              <w:top w:w="80" w:type="dxa"/>
              <w:start w:w="120" w:type="dxa"/>
              <w:bottom w:w="80" w:type="dxa"/>
              <w:end w:w="120" w:type="dxa"/>
            </w:tcMar>
            <w:vAlign w:val="center"/>
            <w:shd w:fill="FFC72C"/>
          </w:tcPr>
          <w:p>
            <w:pPr>
              <w:spacing w:after="0"/>
              <w:jc w:val="left"/>
            </w:pPr>
            <w:r>
              <w:rPr>
                <w:rFonts w:ascii="Calibri" w:hAnsi="Calibri"/>
                <w:b/>
                <w:i w:val="0"/>
                <w:color w:val="24272A"/>
                <w:sz w:val="16"/>
              </w:rPr>
              <w:t>Allowed next states</w:t>
            </w:r>
          </w:p>
        </w:tc>
      </w:tr>
      <w:tr>
        <w:trPr>
          <w:cantSplit w:val="true"/>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4272A"/>
                <w:sz w:val="16"/>
              </w:rPr>
              <w:t>OPEN</w:t>
            </w:r>
          </w:p>
        </w:tc>
        <w:tc>
          <w:tcPr>
            <w:tcW w:type="dxa" w:w="4000"/>
            <w:tcMar>
              <w:top w:w="80" w:type="dxa"/>
              <w:start w:w="120" w:type="dxa"/>
              <w:bottom w:w="80" w:type="dxa"/>
              <w:end w:w="120" w:type="dxa"/>
            </w:tcMar>
            <w:vAlign w:val="center"/>
          </w:tcPr>
          <w:p>
            <w:pPr>
              <w:spacing w:after="0" w:line="252" w:lineRule="auto"/>
            </w:pPr>
            <w:r>
              <w:rPr>
                <w:rFonts w:ascii="Calibri" w:hAnsi="Calibri"/>
                <w:b w:val="0"/>
                <w:i w:val="0"/>
                <w:color w:val="24272A"/>
                <w:sz w:val="16"/>
              </w:rPr>
              <w:t>Cart may be edited or cancelled.</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24272A"/>
                <w:sz w:val="16"/>
              </w:rPr>
              <w:t>PAYMENT_PENDING, CANCELLED</w:t>
            </w:r>
          </w:p>
        </w:tc>
      </w:tr>
      <w:tr>
        <w:trPr>
          <w:cantSplit w:val="true"/>
        </w:trPr>
        <w:tc>
          <w:tcPr>
            <w:tcW w:type="dxa" w:w="26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PAYMENT_PENDING</w:t>
            </w:r>
          </w:p>
        </w:tc>
        <w:tc>
          <w:tcPr>
            <w:tcW w:type="dxa" w:w="40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A cash confirmation or card attempt is in progress.</w:t>
            </w:r>
          </w:p>
        </w:tc>
        <w:tc>
          <w:tcPr>
            <w:tcW w:type="dxa" w:w="27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OPEN, PAYMENT_RECOVERY_PENDING, COMPLETED, CANCELLED where safe</w:t>
            </w:r>
          </w:p>
        </w:tc>
      </w:tr>
      <w:tr>
        <w:trPr>
          <w:cantSplit w:val="true"/>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4272A"/>
                <w:sz w:val="16"/>
              </w:rPr>
              <w:t>PAYMENT_RECOVERY_PENDING</w:t>
            </w:r>
          </w:p>
        </w:tc>
        <w:tc>
          <w:tcPr>
            <w:tcW w:type="dxa" w:w="4000"/>
            <w:tcMar>
              <w:top w:w="80" w:type="dxa"/>
              <w:start w:w="120" w:type="dxa"/>
              <w:bottom w:w="80" w:type="dxa"/>
              <w:end w:w="120" w:type="dxa"/>
            </w:tcMar>
            <w:vAlign w:val="center"/>
          </w:tcPr>
          <w:p>
            <w:pPr>
              <w:spacing w:after="0" w:line="252" w:lineRule="auto"/>
            </w:pPr>
            <w:r>
              <w:rPr>
                <w:rFonts w:ascii="Calibri" w:hAnsi="Calibri"/>
                <w:b w:val="0"/>
                <w:i w:val="0"/>
                <w:color w:val="24272A"/>
                <w:sz w:val="16"/>
              </w:rPr>
              <w:t>Card result is uncertain or approved payment cannot be finalized.</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24272A"/>
                <w:sz w:val="16"/>
              </w:rPr>
              <w:t>PAYMENT_PENDING, COMPLETED</w:t>
            </w:r>
          </w:p>
        </w:tc>
      </w:tr>
      <w:tr>
        <w:trPr>
          <w:cantSplit w:val="true"/>
        </w:trPr>
        <w:tc>
          <w:tcPr>
            <w:tcW w:type="dxa" w:w="26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COMPLETED</w:t>
            </w:r>
          </w:p>
        </w:tc>
        <w:tc>
          <w:tcPr>
            <w:tcW w:type="dxa" w:w="40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Payment succeeded and sale plus outbox were committed atomically.</w:t>
            </w:r>
          </w:p>
        </w:tc>
        <w:tc>
          <w:tcPr>
            <w:tcW w:type="dxa" w:w="27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None</w:t>
            </w:r>
          </w:p>
        </w:tc>
      </w:tr>
      <w:tr>
        <w:trPr>
          <w:cantSplit w:val="true"/>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4272A"/>
                <w:sz w:val="16"/>
              </w:rPr>
              <w:t>CANCELLED</w:t>
            </w:r>
          </w:p>
        </w:tc>
        <w:tc>
          <w:tcPr>
            <w:tcW w:type="dxa" w:w="4000"/>
            <w:tcMar>
              <w:top w:w="80" w:type="dxa"/>
              <w:start w:w="120" w:type="dxa"/>
              <w:bottom w:w="80" w:type="dxa"/>
              <w:end w:w="120" w:type="dxa"/>
            </w:tcMar>
            <w:vAlign w:val="center"/>
          </w:tcPr>
          <w:p>
            <w:pPr>
              <w:spacing w:after="0" w:line="252" w:lineRule="auto"/>
            </w:pPr>
            <w:r>
              <w:rPr>
                <w:rFonts w:ascii="Calibri" w:hAnsi="Calibri"/>
                <w:b w:val="0"/>
                <w:i w:val="0"/>
                <w:color w:val="24272A"/>
                <w:sz w:val="16"/>
              </w:rPr>
              <w:t>Sale was cancelled before completion.</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24272A"/>
                <w:sz w:val="16"/>
              </w:rPr>
              <w:t>None</w:t>
            </w:r>
          </w:p>
        </w:tc>
      </w:tr>
    </w:tbl>
    <w:p>
      <w:pPr>
        <w:spacing w:after="40"/>
      </w:pPr>
    </w:p>
    <w:p>
      <w:pPr>
        <w:pStyle w:val="Heading2"/>
        <w:keepNext/>
      </w:pPr>
      <w:r>
        <w:t>7.4 Transaction Boundaries</w:t>
      </w:r>
    </w:p>
    <w:tbl>
      <w:tblPr>
        <w:tblW w:type="dxa" w:w="9360"/>
        <w:jc w:val="left"/>
        <w:tblLayout w:type="fixed"/>
        <w:tblLook w:firstColumn="1" w:firstRow="1" w:lastColumn="0" w:lastRow="0" w:noHBand="0" w:noVBand="1" w:val="04A0"/>
        <w:tblInd w:w="120" w:type="dxa"/>
        <w:tblBorders>
          <w:top w:val="single" w:sz="10" w:color="B33100"/>
          <w:left w:val="single" w:sz="10" w:color="B33100"/>
          <w:bottom w:val="single" w:sz="10" w:color="B33100"/>
          <w:right w:val="single" w:sz="10" w:color="B33100"/>
          <w:insideH w:val="single" w:sz="10" w:color="B33100"/>
          <w:insideV w:val="single" w:sz="10" w:color="B33100"/>
        </w:tblBorders>
      </w:tblPr>
      <w:tblGrid>
        <w:gridCol w:w="9360"/>
      </w:tblGrid>
      <w:tr>
        <w:tc>
          <w:tcPr>
            <w:tcW w:type="dxa" w:w="9360"/>
            <w:tcMar>
              <w:top w:w="80" w:type="dxa"/>
              <w:start w:w="120" w:type="dxa"/>
              <w:bottom w:w="80" w:type="dxa"/>
              <w:end w:w="120" w:type="dxa"/>
            </w:tcMar>
            <w:vAlign w:val="center"/>
            <w:shd w:fill="FFF8DA"/>
          </w:tcPr>
          <w:p>
            <w:pPr>
              <w:spacing w:after="60"/>
            </w:pPr>
            <w:r>
              <w:rPr>
                <w:rFonts w:ascii="Calibri" w:hAnsi="Calibri"/>
                <w:b/>
                <w:i w:val="0"/>
                <w:color w:val="B33100"/>
                <w:sz w:val="22"/>
              </w:rPr>
              <w:t xml:space="preserve">Sale finalization transaction: </w:t>
            </w:r>
            <w:r>
              <w:rPr>
                <w:rFonts w:ascii="Calibri" w:hAnsi="Calibri"/>
                <w:b w:val="0"/>
                <w:i w:val="0"/>
                <w:color w:val="24272A"/>
                <w:sz w:val="22"/>
              </w:rPr>
              <w:t>In one PostgreSQL transaction, validate the current aggregate version and payment state, mark the sale COMPLETED, insert the inventory outbox record, and append required audit data. A failure rolls back the complete operation.</w:t>
            </w:r>
          </w:p>
        </w:tc>
      </w:tr>
    </w:tbl>
    <w:p>
      <w:pPr>
        <w:spacing w:after="40"/>
      </w:pPr>
    </w:p>
    <w:p>
      <w:pPr>
        <w:keepNext w:val="0"/>
        <w:spacing w:before="0" w:after="120" w:line="264" w:lineRule="auto"/>
        <w:jc w:val="left"/>
      </w:pPr>
      <w:r>
        <w:rPr>
          <w:rFonts w:ascii="Calibri" w:hAnsi="Calibri"/>
          <w:b w:val="0"/>
          <w:i w:val="0"/>
          <w:color w:val="24272A"/>
          <w:sz w:val="22"/>
        </w:rPr>
        <w:t>The system creates and commits a pending card PaymentAttempt before it sends any request to the terminal or PSP. This durable reference supports recovery when the external result arrives but local sale finalization fails.</w:t>
      </w:r>
    </w:p>
    <w:p>
      <w:pPr>
        <w:pStyle w:val="Heading1"/>
        <w:keepNext/>
      </w:pPr>
      <w:r>
        <w:t>8. Integration Design</w:t>
      </w:r>
    </w:p>
    <w:p>
      <w:pPr>
        <w:pStyle w:val="Heading2"/>
        <w:keepNext/>
      </w:pPr>
      <w:r>
        <w:t>8.1 K-Bank Card Payment</w:t>
      </w:r>
    </w:p>
    <w:p>
      <w:pPr>
        <w:keepNext w:val="0"/>
        <w:spacing w:before="0" w:after="120" w:line="264" w:lineRule="auto"/>
        <w:jc w:val="left"/>
      </w:pPr>
      <w:r>
        <w:rPr>
          <w:rFonts w:ascii="Calibri" w:hAnsi="Calibri"/>
          <w:b w:val="0"/>
          <w:i w:val="0"/>
          <w:color w:val="24272A"/>
          <w:sz w:val="22"/>
        </w:rPr>
        <w:t>The production integration is isolated behind PaymentTerminalAdapter and PaymentProviderAdapter interfaces. Exact message formats, certificates, endpoints, terminal protocols, timeout values, and settlement procedures must follow the contracted K-Bank specification and certification process. The SDS does not invent provider-specific fields.</w:t>
      </w:r>
    </w:p>
    <w:p>
      <w:pPr>
        <w:spacing w:after="160" w:line="280" w:lineRule="auto"/>
        <w:numPr>
          <w:ilvl w:val="0"/>
          <w:numId w:val="12"/>
        </w:numPr>
      </w:pPr>
      <w:r>
        <w:rPr>
          <w:rFonts w:ascii="Calibri" w:hAnsi="Calibri"/>
          <w:b w:val="0"/>
          <w:i w:val="0"/>
          <w:color w:val="24272A"/>
          <w:sz w:val="22"/>
        </w:rPr>
        <w:t>API creates a durable PaymentAttempt with a unique merchant reference.</w:t>
      </w:r>
    </w:p>
    <w:p>
      <w:pPr>
        <w:spacing w:after="160" w:line="280" w:lineRule="auto"/>
        <w:numPr>
          <w:ilvl w:val="0"/>
          <w:numId w:val="12"/>
        </w:numPr>
      </w:pPr>
      <w:r>
        <w:rPr>
          <w:rFonts w:ascii="Calibri" w:hAnsi="Calibri"/>
          <w:b w:val="0"/>
          <w:i w:val="0"/>
          <w:color w:val="24272A"/>
          <w:sz w:val="22"/>
        </w:rPr>
        <w:t>The web application sends a signed payment instruction to the registered local Peripheral Gateway.</w:t>
      </w:r>
    </w:p>
    <w:p>
      <w:pPr>
        <w:spacing w:after="160" w:line="280" w:lineRule="auto"/>
        <w:numPr>
          <w:ilvl w:val="0"/>
          <w:numId w:val="12"/>
        </w:numPr>
      </w:pPr>
      <w:r>
        <w:rPr>
          <w:rFonts w:ascii="Calibri" w:hAnsi="Calibri"/>
          <w:b w:val="0"/>
          <w:i w:val="0"/>
          <w:color w:val="24272A"/>
          <w:sz w:val="22"/>
        </w:rPr>
        <w:t>The gateway sends amount and reference to the card machine through the approved ECR protocol.</w:t>
      </w:r>
    </w:p>
    <w:p>
      <w:pPr>
        <w:spacing w:after="160" w:line="280" w:lineRule="auto"/>
        <w:numPr>
          <w:ilvl w:val="0"/>
          <w:numId w:val="12"/>
        </w:numPr>
      </w:pPr>
      <w:r>
        <w:rPr>
          <w:rFonts w:ascii="Calibri" w:hAnsi="Calibri"/>
          <w:b w:val="0"/>
          <w:i w:val="0"/>
          <w:color w:val="24272A"/>
          <w:sz w:val="22"/>
        </w:rPr>
        <w:t>The gateway returns the terminal result and provider reference to the API over an authenticated channel.</w:t>
      </w:r>
    </w:p>
    <w:p>
      <w:pPr>
        <w:spacing w:after="160" w:line="280" w:lineRule="auto"/>
        <w:numPr>
          <w:ilvl w:val="0"/>
          <w:numId w:val="12"/>
        </w:numPr>
      </w:pPr>
      <w:r>
        <w:rPr>
          <w:rFonts w:ascii="Calibri" w:hAnsi="Calibri"/>
          <w:b w:val="0"/>
          <w:i w:val="0"/>
          <w:color w:val="24272A"/>
          <w:sz w:val="22"/>
        </w:rPr>
        <w:t>The API records the result and finalizes an approved sale atomically with the inventory outbox.</w:t>
      </w:r>
    </w:p>
    <w:p>
      <w:pPr>
        <w:spacing w:after="160" w:line="280" w:lineRule="auto"/>
        <w:numPr>
          <w:ilvl w:val="0"/>
          <w:numId w:val="12"/>
        </w:numPr>
      </w:pPr>
      <w:r>
        <w:rPr>
          <w:rFonts w:ascii="Calibri" w:hAnsi="Calibri"/>
          <w:b w:val="0"/>
          <w:i w:val="0"/>
          <w:color w:val="24272A"/>
          <w:sz w:val="22"/>
        </w:rPr>
        <w:t>On timeout or disconnection, the attempt becomes unresolved and the worker queries K-Bank using the original merchant reference.</w:t>
      </w:r>
    </w:p>
    <w:p>
      <w:pPr>
        <w:spacing w:after="160" w:line="280" w:lineRule="auto"/>
        <w:numPr>
          <w:ilvl w:val="0"/>
          <w:numId w:val="12"/>
        </w:numPr>
      </w:pPr>
      <w:r>
        <w:rPr>
          <w:rFonts w:ascii="Calibri" w:hAnsi="Calibri"/>
          <w:b w:val="0"/>
          <w:i w:val="0"/>
          <w:color w:val="24272A"/>
          <w:sz w:val="22"/>
        </w:rPr>
        <w:t>No new card attempt or cash payment is permitted until the uncertain result is resolved.</w:t>
      </w:r>
    </w:p>
    <w:p>
      <w:pPr>
        <w:pStyle w:val="Heading2"/>
        <w:keepNext/>
      </w:pPr>
      <w:r>
        <w:t>8.2 Peripheral Gateway</w:t>
      </w:r>
    </w:p>
    <w:p>
      <w:pPr>
        <w:spacing w:after="160" w:line="280" w:lineRule="auto"/>
        <w:numPr>
          <w:ilvl w:val="0"/>
          <w:numId w:val="10"/>
        </w:numPr>
      </w:pPr>
      <w:r>
        <w:rPr>
          <w:rFonts w:ascii="Calibri" w:hAnsi="Calibri"/>
          <w:b w:val="0"/>
          <w:i w:val="0"/>
          <w:color w:val="24272A"/>
          <w:sz w:val="22"/>
        </w:rPr>
        <w:t>Runs as a managed Node.js and TypeScript service on each registered POS terminal.</w:t>
      </w:r>
    </w:p>
    <w:p>
      <w:pPr>
        <w:spacing w:after="160" w:line="280" w:lineRule="auto"/>
        <w:numPr>
          <w:ilvl w:val="0"/>
          <w:numId w:val="10"/>
        </w:numPr>
      </w:pPr>
      <w:r>
        <w:rPr>
          <w:rFonts w:ascii="Calibri" w:hAnsi="Calibri"/>
          <w:b w:val="0"/>
          <w:i w:val="0"/>
          <w:color w:val="24272A"/>
          <w:sz w:val="22"/>
        </w:rPr>
        <w:t>Exposes only a loopback TLS endpoint to the local browser and validates short-lived signed instructions from the API.</w:t>
      </w:r>
    </w:p>
    <w:p>
      <w:pPr>
        <w:spacing w:after="160" w:line="280" w:lineRule="auto"/>
        <w:numPr>
          <w:ilvl w:val="0"/>
          <w:numId w:val="10"/>
        </w:numPr>
      </w:pPr>
      <w:r>
        <w:rPr>
          <w:rFonts w:ascii="Calibri" w:hAnsi="Calibri"/>
          <w:b w:val="0"/>
          <w:i w:val="0"/>
          <w:color w:val="24272A"/>
          <w:sz w:val="22"/>
        </w:rPr>
        <w:t>Uses a terminal-specific certificate and refuses instructions for another terminal or store.</w:t>
      </w:r>
    </w:p>
    <w:p>
      <w:pPr>
        <w:spacing w:after="160" w:line="280" w:lineRule="auto"/>
        <w:numPr>
          <w:ilvl w:val="0"/>
          <w:numId w:val="10"/>
        </w:numPr>
      </w:pPr>
      <w:r>
        <w:rPr>
          <w:rFonts w:ascii="Calibri" w:hAnsi="Calibri"/>
          <w:b w:val="0"/>
          <w:i w:val="0"/>
          <w:color w:val="24272A"/>
          <w:sz w:val="22"/>
        </w:rPr>
        <w:t>Implements adapters for the K-Bank ECR protocol and ESC/POS-compatible printer driver.</w:t>
      </w:r>
    </w:p>
    <w:p>
      <w:pPr>
        <w:spacing w:after="160" w:line="280" w:lineRule="auto"/>
        <w:numPr>
          <w:ilvl w:val="0"/>
          <w:numId w:val="10"/>
        </w:numPr>
      </w:pPr>
      <w:r>
        <w:rPr>
          <w:rFonts w:ascii="Calibri" w:hAnsi="Calibri"/>
          <w:b w:val="0"/>
          <w:i w:val="0"/>
          <w:color w:val="24272A"/>
          <w:sz w:val="22"/>
        </w:rPr>
        <w:t>Never logs PAN, track data, PIN data, card verification values, or full provider payloads containing sensitive data.</w:t>
      </w:r>
    </w:p>
    <w:p>
      <w:pPr>
        <w:spacing w:after="160" w:line="280" w:lineRule="auto"/>
        <w:numPr>
          <w:ilvl w:val="0"/>
          <w:numId w:val="10"/>
        </w:numPr>
      </w:pPr>
      <w:r>
        <w:rPr>
          <w:rFonts w:ascii="Calibri" w:hAnsi="Calibri"/>
          <w:b w:val="0"/>
          <w:i w:val="0"/>
          <w:color w:val="24272A"/>
          <w:sz w:val="22"/>
        </w:rPr>
        <w:t>Reports health and device status without allowing arbitrary commands from the browser.</w:t>
      </w:r>
    </w:p>
    <w:p>
      <w:pPr>
        <w:pStyle w:val="Heading2"/>
        <w:keepNext/>
      </w:pPr>
      <w:r>
        <w:t>8.3 Receipt Printing</w:t>
      </w:r>
    </w:p>
    <w:p>
      <w:pPr>
        <w:keepNext w:val="0"/>
        <w:spacing w:before="0" w:after="120" w:line="264" w:lineRule="auto"/>
        <w:jc w:val="left"/>
      </w:pPr>
      <w:r>
        <w:rPr>
          <w:rFonts w:ascii="Calibri" w:hAnsi="Calibri"/>
          <w:b w:val="0"/>
          <w:i w:val="0"/>
          <w:color w:val="24272A"/>
          <w:sz w:val="22"/>
        </w:rPr>
        <w:t>After completion, the API produces a receipt view model from the immutable sale snapshot. The web application sends a signed print job to the Peripheral Gateway. A print failure creates a failed ReceiptPrint record but never changes the sale from COMPLETED. Reprints require authorization and are logged.</w:t>
      </w:r>
    </w:p>
    <w:p>
      <w:pPr>
        <w:pStyle w:val="Heading2"/>
        <w:keepNext/>
      </w:pPr>
      <w:r>
        <w:t>8.4 Inventory Messaging</w:t>
      </w:r>
    </w:p>
    <w:p>
      <w:pPr>
        <w:keepNext w:val="0"/>
        <w:spacing w:before="0" w:after="120" w:line="264" w:lineRule="auto"/>
        <w:jc w:val="left"/>
      </w:pPr>
      <w:r>
        <w:rPr>
          <w:rFonts w:ascii="Calibri" w:hAnsi="Calibri"/>
          <w:b w:val="0"/>
          <w:i w:val="0"/>
          <w:color w:val="24272A"/>
          <w:sz w:val="22"/>
        </w:rPr>
        <w:t>The inventory integration uses a transactional outbox and at-least-once RabbitMQ delivery. The Inventory Service must process messages idempotently using eventId or saleId plus event type.</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FC72C"/>
          </w:tcPr>
          <w:p>
            <w:pPr>
              <w:spacing w:after="0"/>
              <w:jc w:val="left"/>
            </w:pPr>
            <w:r>
              <w:rPr>
                <w:rFonts w:ascii="Calibri" w:hAnsi="Calibri"/>
                <w:b/>
                <w:i w:val="0"/>
                <w:color w:val="24272A"/>
                <w:sz w:val="17"/>
              </w:rPr>
              <w:t>Element</w:t>
            </w:r>
          </w:p>
        </w:tc>
        <w:tc>
          <w:tcPr>
            <w:tcW w:type="dxa" w:w="7160"/>
            <w:tcMar>
              <w:top w:w="80" w:type="dxa"/>
              <w:start w:w="120" w:type="dxa"/>
              <w:bottom w:w="80" w:type="dxa"/>
              <w:end w:w="120" w:type="dxa"/>
            </w:tcMar>
            <w:vAlign w:val="center"/>
            <w:shd w:fill="FFC72C"/>
          </w:tcPr>
          <w:p>
            <w:pPr>
              <w:spacing w:after="0"/>
              <w:jc w:val="left"/>
            </w:pPr>
            <w:r>
              <w:rPr>
                <w:rFonts w:ascii="Calibri" w:hAnsi="Calibri"/>
                <w:b/>
                <w:i w:val="0"/>
                <w:color w:val="24272A"/>
                <w:sz w:val="17"/>
              </w:rPr>
              <w:t>Design</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Exchange</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24272A"/>
                <w:sz w:val="17"/>
              </w:rPr>
              <w:t>kaching.inventory, durable topic exchange.</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Routing key</w:t>
            </w:r>
          </w:p>
        </w:tc>
        <w:tc>
          <w:tcPr>
            <w:tcW w:type="dxa" w:w="71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sale.completed.v1</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Queue</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24272A"/>
                <w:sz w:val="17"/>
              </w:rPr>
              <w:t>inventory.sale.completed.v1, durable quorum queue.</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Message</w:t>
            </w:r>
          </w:p>
        </w:tc>
        <w:tc>
          <w:tcPr>
            <w:tcW w:type="dxa" w:w="71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Persistent JSON message containing schemaVersion, eventId, saleId, storeId, terminalId, occurredAt, and item quantities.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Publishing</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24272A"/>
                <w:sz w:val="17"/>
              </w:rPr>
              <w:t>Worker uses mandatory routing and asynchronous publisher confirms.</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Retry</w:t>
            </w:r>
          </w:p>
        </w:tc>
        <w:tc>
          <w:tcPr>
            <w:tcW w:type="dxa" w:w="71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Exponential backoff with jitter; PostgreSQL retains the outbox row until broker confirmation.</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Consumer failure</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24272A"/>
                <w:sz w:val="17"/>
              </w:rPr>
              <w:t>RabbitMQ retains or redelivers unacknowledged messages.</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Poison message</w:t>
            </w:r>
          </w:p>
        </w:tc>
        <w:tc>
          <w:tcPr>
            <w:tcW w:type="dxa" w:w="71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Rejected non-retryable messages move to a dead-letter queue and create an operational alert.</w:t>
            </w:r>
          </w:p>
        </w:tc>
      </w:tr>
    </w:tbl>
    <w:p>
      <w:pPr>
        <w:spacing w:after="40"/>
      </w:pPr>
    </w:p>
    <w:p>
      <w:pPr>
        <w:pStyle w:val="Heading2"/>
        <w:keepNext/>
      </w:pPr>
      <w:r>
        <w:t>8.5 Failure-Handling Matrix</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100"/>
        <w:gridCol w:w="4800"/>
        <w:gridCol w:w="2460"/>
      </w:tblGrid>
      <w:tr>
        <w:trPr>
          <w:tblHeader w:val="true"/>
          <w:cantSplit w:val="true"/>
        </w:trPr>
        <w:tc>
          <w:tcPr>
            <w:tcW w:type="dxa" w:w="2100"/>
            <w:tcMar>
              <w:top w:w="80" w:type="dxa"/>
              <w:start w:w="120" w:type="dxa"/>
              <w:bottom w:w="80" w:type="dxa"/>
              <w:end w:w="120" w:type="dxa"/>
            </w:tcMar>
            <w:vAlign w:val="center"/>
            <w:shd w:fill="FFC72C"/>
          </w:tcPr>
          <w:p>
            <w:pPr>
              <w:spacing w:after="0"/>
              <w:jc w:val="left"/>
            </w:pPr>
            <w:r>
              <w:rPr>
                <w:rFonts w:ascii="Calibri" w:hAnsi="Calibri"/>
                <w:b/>
                <w:i w:val="0"/>
                <w:color w:val="24272A"/>
                <w:sz w:val="17"/>
              </w:rPr>
              <w:t>Failure</w:t>
            </w:r>
          </w:p>
        </w:tc>
        <w:tc>
          <w:tcPr>
            <w:tcW w:type="dxa" w:w="4800"/>
            <w:tcMar>
              <w:top w:w="80" w:type="dxa"/>
              <w:start w:w="120" w:type="dxa"/>
              <w:bottom w:w="80" w:type="dxa"/>
              <w:end w:w="120" w:type="dxa"/>
            </w:tcMar>
            <w:vAlign w:val="center"/>
            <w:shd w:fill="FFC72C"/>
          </w:tcPr>
          <w:p>
            <w:pPr>
              <w:spacing w:after="0"/>
              <w:jc w:val="left"/>
            </w:pPr>
            <w:r>
              <w:rPr>
                <w:rFonts w:ascii="Calibri" w:hAnsi="Calibri"/>
                <w:b/>
                <w:i w:val="0"/>
                <w:color w:val="24272A"/>
                <w:sz w:val="17"/>
              </w:rPr>
              <w:t>Required behavior</w:t>
            </w:r>
          </w:p>
        </w:tc>
        <w:tc>
          <w:tcPr>
            <w:tcW w:type="dxa" w:w="2460"/>
            <w:tcMar>
              <w:top w:w="80" w:type="dxa"/>
              <w:start w:w="120" w:type="dxa"/>
              <w:bottom w:w="80" w:type="dxa"/>
              <w:end w:w="120" w:type="dxa"/>
            </w:tcMar>
            <w:vAlign w:val="center"/>
            <w:shd w:fill="FFC72C"/>
          </w:tcPr>
          <w:p>
            <w:pPr>
              <w:spacing w:after="0"/>
              <w:jc w:val="left"/>
            </w:pPr>
            <w:r>
              <w:rPr>
                <w:rFonts w:ascii="Calibri" w:hAnsi="Calibri"/>
                <w:b/>
                <w:i w:val="0"/>
                <w:color w:val="24272A"/>
                <w:sz w:val="17"/>
              </w:rPr>
              <w:t>Operator visibility</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7"/>
              </w:rPr>
              <w:t>Backend unreachable</w:t>
            </w:r>
          </w:p>
        </w:tc>
        <w:tc>
          <w:tcPr>
            <w:tcW w:type="dxa" w:w="4800"/>
            <w:tcMar>
              <w:top w:w="80" w:type="dxa"/>
              <w:start w:w="120" w:type="dxa"/>
              <w:bottom w:w="80" w:type="dxa"/>
              <w:end w:w="120" w:type="dxa"/>
            </w:tcMar>
            <w:vAlign w:val="center"/>
          </w:tcPr>
          <w:p>
            <w:pPr>
              <w:spacing w:after="0" w:line="252" w:lineRule="auto"/>
            </w:pPr>
            <w:r>
              <w:rPr>
                <w:rFonts w:ascii="Calibri" w:hAnsi="Calibri"/>
                <w:b w:val="0"/>
                <w:i w:val="0"/>
                <w:color w:val="24272A"/>
                <w:sz w:val="17"/>
              </w:rPr>
              <w:t>Do not start or complete sales. Show reconnect status.</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24272A"/>
                <w:sz w:val="17"/>
              </w:rPr>
              <w:t>Checkout banner</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PSP unavailable before request</w:t>
            </w:r>
          </w:p>
        </w:tc>
        <w:tc>
          <w:tcPr>
            <w:tcW w:type="dxa" w:w="4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Disable card option; allow cash or cancellation.</w:t>
            </w:r>
          </w:p>
        </w:tc>
        <w:tc>
          <w:tcPr>
            <w:tcW w:type="dxa" w:w="2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Checkout message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7"/>
              </w:rPr>
              <w:t>Card response unknown</w:t>
            </w:r>
          </w:p>
        </w:tc>
        <w:tc>
          <w:tcPr>
            <w:tcW w:type="dxa" w:w="4800"/>
            <w:tcMar>
              <w:top w:w="80" w:type="dxa"/>
              <w:start w:w="120" w:type="dxa"/>
              <w:bottom w:w="80" w:type="dxa"/>
              <w:end w:w="120" w:type="dxa"/>
            </w:tcMar>
            <w:vAlign w:val="center"/>
          </w:tcPr>
          <w:p>
            <w:pPr>
              <w:spacing w:after="0" w:line="252" w:lineRule="auto"/>
            </w:pPr>
            <w:r>
              <w:rPr>
                <w:rFonts w:ascii="Calibri" w:hAnsi="Calibri"/>
                <w:b w:val="0"/>
                <w:i w:val="0"/>
                <w:color w:val="24272A"/>
                <w:sz w:val="17"/>
              </w:rPr>
              <w:t>Block further payment; reconcile original reference.</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24272A"/>
                <w:sz w:val="17"/>
              </w:rPr>
              <w:t>Recovery-pending state</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Approved card, finalization failed</w:t>
            </w:r>
          </w:p>
        </w:tc>
        <w:tc>
          <w:tcPr>
            <w:tcW w:type="dxa" w:w="4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Do not charge again; reconcile and finalize from durable attempt.</w:t>
            </w:r>
          </w:p>
        </w:tc>
        <w:tc>
          <w:tcPr>
            <w:tcW w:type="dxa" w:w="2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Payment recovery queue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7"/>
              </w:rPr>
              <w:t>Printer failure</w:t>
            </w:r>
          </w:p>
        </w:tc>
        <w:tc>
          <w:tcPr>
            <w:tcW w:type="dxa" w:w="4800"/>
            <w:tcMar>
              <w:top w:w="80" w:type="dxa"/>
              <w:start w:w="120" w:type="dxa"/>
              <w:bottom w:w="80" w:type="dxa"/>
              <w:end w:w="120" w:type="dxa"/>
            </w:tcMar>
            <w:vAlign w:val="center"/>
          </w:tcPr>
          <w:p>
            <w:pPr>
              <w:spacing w:after="0" w:line="252" w:lineRule="auto"/>
            </w:pPr>
            <w:r>
              <w:rPr>
                <w:rFonts w:ascii="Calibri" w:hAnsi="Calibri"/>
                <w:b w:val="0"/>
                <w:i w:val="0"/>
                <w:color w:val="24272A"/>
                <w:sz w:val="17"/>
              </w:rPr>
              <w:t>Keep sale completed; permit authorized reprint.</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24272A"/>
                <w:sz w:val="17"/>
              </w:rPr>
              <w:t>Print failure message and audit</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RabbitMQ unavailable</w:t>
            </w:r>
          </w:p>
        </w:tc>
        <w:tc>
          <w:tcPr>
            <w:tcW w:type="dxa" w:w="4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Keep outbox pending and retry.</w:t>
            </w:r>
          </w:p>
        </w:tc>
        <w:tc>
          <w:tcPr>
            <w:tcW w:type="dxa" w:w="2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Inventory exception queue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4272A"/>
                <w:sz w:val="17"/>
              </w:rPr>
              <w:t>Inventory consumer unavailable</w:t>
            </w:r>
          </w:p>
        </w:tc>
        <w:tc>
          <w:tcPr>
            <w:tcW w:type="dxa" w:w="4800"/>
            <w:tcMar>
              <w:top w:w="80" w:type="dxa"/>
              <w:start w:w="120" w:type="dxa"/>
              <w:bottom w:w="80" w:type="dxa"/>
              <w:end w:w="120" w:type="dxa"/>
            </w:tcMar>
            <w:vAlign w:val="center"/>
          </w:tcPr>
          <w:p>
            <w:pPr>
              <w:spacing w:after="0" w:line="252" w:lineRule="auto"/>
            </w:pPr>
            <w:r>
              <w:rPr>
                <w:rFonts w:ascii="Calibri" w:hAnsi="Calibri"/>
                <w:b w:val="0"/>
                <w:i w:val="0"/>
                <w:color w:val="24272A"/>
                <w:sz w:val="17"/>
              </w:rPr>
              <w:t>RabbitMQ retains durable message until consumption resumes.</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24272A"/>
                <w:sz w:val="17"/>
              </w:rPr>
              <w:t>Broker monitoring</w:t>
            </w:r>
          </w:p>
        </w:tc>
      </w:tr>
      <w:tr>
        <w:trPr>
          <w:cantSplit w:val="true"/>
        </w:trPr>
        <w:tc>
          <w:tcPr>
            <w:tcW w:type="dxa" w:w="2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Outbox message rejected</w:t>
            </w:r>
          </w:p>
        </w:tc>
        <w:tc>
          <w:tcPr>
            <w:tcW w:type="dxa" w:w="4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Move to dead-letter handling and alert operations.</w:t>
            </w:r>
          </w:p>
        </w:tc>
        <w:tc>
          <w:tcPr>
            <w:tcW w:type="dxa" w:w="2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Failed inventory message</w:t>
            </w:r>
          </w:p>
        </w:tc>
      </w:tr>
    </w:tbl>
    <w:p>
      <w:pPr>
        <w:spacing w:after="40"/>
      </w:pPr>
    </w:p>
    <w:p>
      <w:pPr>
        <w:pStyle w:val="Heading1"/>
        <w:keepNext/>
      </w:pPr>
      <w:r>
        <w:t>9. Security Design</w:t>
      </w:r>
    </w:p>
    <w:p>
      <w:pPr>
        <w:pStyle w:val="Heading2"/>
        <w:keepNext/>
      </w:pPr>
      <w:r>
        <w:t>9.1 Authentication and Session Security</w:t>
      </w:r>
    </w:p>
    <w:p>
      <w:pPr>
        <w:spacing w:after="160" w:line="280" w:lineRule="auto"/>
        <w:numPr>
          <w:ilvl w:val="0"/>
          <w:numId w:val="10"/>
        </w:numPr>
      </w:pPr>
      <w:r>
        <w:rPr>
          <w:rFonts w:ascii="Calibri" w:hAnsi="Calibri"/>
          <w:b w:val="0"/>
          <w:i w:val="0"/>
          <w:color w:val="24272A"/>
          <w:sz w:val="22"/>
        </w:rPr>
        <w:t>Passwords are hashed using Argon2id with current organization-approved parameters.</w:t>
      </w:r>
    </w:p>
    <w:p>
      <w:pPr>
        <w:spacing w:after="160" w:line="280" w:lineRule="auto"/>
        <w:numPr>
          <w:ilvl w:val="0"/>
          <w:numId w:val="10"/>
        </w:numPr>
      </w:pPr>
      <w:r>
        <w:rPr>
          <w:rFonts w:ascii="Calibri" w:hAnsi="Calibri"/>
          <w:b w:val="0"/>
          <w:i w:val="0"/>
          <w:color w:val="24272A"/>
          <w:sz w:val="22"/>
        </w:rPr>
        <w:t>Short-lived access tokens and rotating refresh tokens are stored in Secure, HttpOnly, SameSite cookies.</w:t>
      </w:r>
    </w:p>
    <w:p>
      <w:pPr>
        <w:spacing w:after="160" w:line="280" w:lineRule="auto"/>
        <w:numPr>
          <w:ilvl w:val="0"/>
          <w:numId w:val="10"/>
        </w:numPr>
      </w:pPr>
      <w:r>
        <w:rPr>
          <w:rFonts w:ascii="Calibri" w:hAnsi="Calibri"/>
          <w:b w:val="0"/>
          <w:i w:val="0"/>
          <w:color w:val="24272A"/>
          <w:sz w:val="22"/>
        </w:rPr>
        <w:t>State-changing requests use CSRF protection and server-side authorization checks.</w:t>
      </w:r>
    </w:p>
    <w:p>
      <w:pPr>
        <w:spacing w:after="160" w:line="280" w:lineRule="auto"/>
        <w:numPr>
          <w:ilvl w:val="0"/>
          <w:numId w:val="10"/>
        </w:numPr>
      </w:pPr>
      <w:r>
        <w:rPr>
          <w:rFonts w:ascii="Calibri" w:hAnsi="Calibri"/>
          <w:b w:val="0"/>
          <w:i w:val="0"/>
          <w:color w:val="24272A"/>
          <w:sz w:val="22"/>
        </w:rPr>
        <w:t>Disabled users, stores, or terminals cannot create sessions or submit transactions.</w:t>
      </w:r>
    </w:p>
    <w:p>
      <w:pPr>
        <w:spacing w:after="160" w:line="280" w:lineRule="auto"/>
        <w:numPr>
          <w:ilvl w:val="0"/>
          <w:numId w:val="10"/>
        </w:numPr>
      </w:pPr>
      <w:r>
        <w:rPr>
          <w:rFonts w:ascii="Calibri" w:hAnsi="Calibri"/>
          <w:b w:val="0"/>
          <w:i w:val="0"/>
          <w:color w:val="24272A"/>
          <w:sz w:val="22"/>
        </w:rPr>
        <w:t>Secrets and certificates are stored in Google Secret Manager or the secured terminal certificate store, never in source control.</w:t>
      </w:r>
    </w:p>
    <w:p>
      <w:pPr>
        <w:pStyle w:val="Heading2"/>
        <w:keepNext/>
      </w:pPr>
      <w:r>
        <w:t>9.2 Authorization</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FC72C"/>
          </w:tcPr>
          <w:p>
            <w:pPr>
              <w:spacing w:after="0"/>
              <w:jc w:val="left"/>
            </w:pPr>
            <w:r>
              <w:rPr>
                <w:rFonts w:ascii="Calibri" w:hAnsi="Calibri"/>
                <w:b/>
                <w:i w:val="0"/>
                <w:color w:val="24272A"/>
                <w:sz w:val="18"/>
              </w:rPr>
              <w:t>Role</w:t>
            </w:r>
          </w:p>
        </w:tc>
        <w:tc>
          <w:tcPr>
            <w:tcW w:type="dxa" w:w="7160"/>
            <w:tcMar>
              <w:top w:w="80" w:type="dxa"/>
              <w:start w:w="120" w:type="dxa"/>
              <w:bottom w:w="80" w:type="dxa"/>
              <w:end w:w="120" w:type="dxa"/>
            </w:tcMar>
            <w:vAlign w:val="center"/>
            <w:shd w:fill="FFC72C"/>
          </w:tcPr>
          <w:p>
            <w:pPr>
              <w:spacing w:after="0"/>
              <w:jc w:val="left"/>
            </w:pPr>
            <w:r>
              <w:rPr>
                <w:rFonts w:ascii="Calibri" w:hAnsi="Calibri"/>
                <w:b/>
                <w:i w:val="0"/>
                <w:color w:val="24272A"/>
                <w:sz w:val="18"/>
              </w:rPr>
              <w:t>System-wide access summary</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8"/>
              </w:rPr>
              <w:t>Cashier</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24272A"/>
                <w:sz w:val="18"/>
              </w:rPr>
              <w:t>Checkout, permitted discounts, cash and card payments, and receipt printing.</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Manager</w:t>
            </w:r>
          </w:p>
        </w:tc>
        <w:tc>
          <w:tcPr>
            <w:tcW w:type="dxa" w:w="71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Cashier functions, assigned-store daily summary, and authorized catalog maintenance.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8"/>
              </w:rPr>
              <w:t>Administrator</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24272A"/>
                <w:sz w:val="18"/>
              </w:rPr>
              <w:t>User, role, store, terminal, catalog, cross-store reporting, and operational exception access.</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Head-Office Manager</w:t>
            </w:r>
          </w:p>
        </w:tc>
        <w:tc>
          <w:tcPr>
            <w:tcW w:type="dxa" w:w="71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Selected-store and consolidated reporting; operational access if separately granted.</w:t>
            </w:r>
          </w:p>
        </w:tc>
      </w:tr>
    </w:tbl>
    <w:p>
      <w:pPr>
        <w:spacing w:after="40"/>
      </w:pPr>
    </w:p>
    <w:p>
      <w:pPr>
        <w:pStyle w:val="Heading2"/>
        <w:keepNext/>
      </w:pPr>
      <w:r>
        <w:t>9.3 Payment-Data Controls</w:t>
      </w:r>
    </w:p>
    <w:tbl>
      <w:tblPr>
        <w:tblW w:type="dxa" w:w="9360"/>
        <w:jc w:val="left"/>
        <w:tblLayout w:type="fixed"/>
        <w:tblLook w:firstColumn="1" w:firstRow="1" w:lastColumn="0" w:lastRow="0" w:noHBand="0" w:noVBand="1" w:val="04A0"/>
        <w:tblInd w:w="120" w:type="dxa"/>
        <w:tblBorders>
          <w:top w:val="single" w:sz="10" w:color="B42318"/>
          <w:left w:val="single" w:sz="10" w:color="B42318"/>
          <w:bottom w:val="single" w:sz="10" w:color="B42318"/>
          <w:right w:val="single" w:sz="10" w:color="B42318"/>
          <w:insideH w:val="single" w:sz="10" w:color="B42318"/>
          <w:insideV w:val="single" w:sz="10" w:color="B42318"/>
        </w:tblBorders>
      </w:tblPr>
      <w:tblGrid>
        <w:gridCol w:w="9360"/>
      </w:tblGrid>
      <w:tr>
        <w:tc>
          <w:tcPr>
            <w:tcW w:type="dxa" w:w="9360"/>
            <w:tcMar>
              <w:top w:w="80" w:type="dxa"/>
              <w:start w:w="120" w:type="dxa"/>
              <w:bottom w:w="80" w:type="dxa"/>
              <w:end w:w="120" w:type="dxa"/>
            </w:tcMar>
            <w:vAlign w:val="center"/>
            <w:shd w:fill="FFF8DA"/>
          </w:tcPr>
          <w:p>
            <w:pPr>
              <w:spacing w:after="60"/>
            </w:pPr>
            <w:r>
              <w:rPr>
                <w:rFonts w:ascii="Calibri" w:hAnsi="Calibri"/>
                <w:b/>
                <w:i w:val="0"/>
                <w:color w:val="B42318"/>
                <w:sz w:val="22"/>
              </w:rPr>
              <w:t xml:space="preserve">Card-data boundary: </w:t>
            </w:r>
            <w:r>
              <w:rPr>
                <w:rFonts w:ascii="Calibri" w:hAnsi="Calibri"/>
                <w:b w:val="0"/>
                <w:i w:val="0"/>
                <w:color w:val="24272A"/>
                <w:sz w:val="22"/>
              </w:rPr>
              <w:t>Kaching stores only merchant reference, PSP reference, approved or declined status, amount, masked display data when contractually permitted, and timestamps. It does not store PAN, track data, PIN/PIN block, or card verification values.</w:t>
            </w:r>
          </w:p>
        </w:tc>
      </w:tr>
    </w:tbl>
    <w:p>
      <w:pPr>
        <w:spacing w:after="40"/>
      </w:pPr>
    </w:p>
    <w:p>
      <w:pPr>
        <w:keepNext w:val="0"/>
        <w:spacing w:before="0" w:after="120" w:line="264" w:lineRule="auto"/>
        <w:jc w:val="left"/>
      </w:pPr>
      <w:r>
        <w:rPr>
          <w:rFonts w:ascii="Calibri" w:hAnsi="Calibri"/>
          <w:b w:val="0"/>
          <w:i w:val="0"/>
          <w:color w:val="24272A"/>
          <w:sz w:val="22"/>
        </w:rPr>
        <w:t>The terminal, Peripheral Gateway, network path, and software involved in payment processing must follow the acquirer's certification requirements and the applicable PCI DSS scope. Sensitive authentication data must not be stored after authorization.[5]</w:t>
      </w:r>
    </w:p>
    <w:p>
      <w:pPr>
        <w:pStyle w:val="Heading2"/>
        <w:keepNext/>
      </w:pPr>
      <w:r>
        <w:t>9.4 Audit and Privacy</w:t>
      </w:r>
    </w:p>
    <w:p>
      <w:pPr>
        <w:spacing w:after="160" w:line="280" w:lineRule="auto"/>
        <w:numPr>
          <w:ilvl w:val="0"/>
          <w:numId w:val="10"/>
        </w:numPr>
      </w:pPr>
      <w:r>
        <w:rPr>
          <w:rFonts w:ascii="Calibri" w:hAnsi="Calibri"/>
          <w:b w:val="0"/>
          <w:i w:val="0"/>
          <w:color w:val="24272A"/>
          <w:sz w:val="22"/>
        </w:rPr>
        <w:t>Audit events are append-only and include actor, role, store, terminal, action, target, time, correlation ID, and outcome.</w:t>
      </w:r>
    </w:p>
    <w:p>
      <w:pPr>
        <w:spacing w:after="160" w:line="280" w:lineRule="auto"/>
        <w:numPr>
          <w:ilvl w:val="0"/>
          <w:numId w:val="10"/>
        </w:numPr>
      </w:pPr>
      <w:r>
        <w:rPr>
          <w:rFonts w:ascii="Calibri" w:hAnsi="Calibri"/>
          <w:b w:val="0"/>
          <w:i w:val="0"/>
          <w:color w:val="24272A"/>
          <w:sz w:val="22"/>
        </w:rPr>
        <w:t>Audit details exclude passwords, tokens, card data, and unnecessary personal data.</w:t>
      </w:r>
    </w:p>
    <w:p>
      <w:pPr>
        <w:spacing w:after="160" w:line="280" w:lineRule="auto"/>
        <w:numPr>
          <w:ilvl w:val="0"/>
          <w:numId w:val="10"/>
        </w:numPr>
      </w:pPr>
      <w:r>
        <w:rPr>
          <w:rFonts w:ascii="Calibri" w:hAnsi="Calibri"/>
          <w:b w:val="0"/>
          <w:i w:val="0"/>
          <w:color w:val="24272A"/>
          <w:sz w:val="22"/>
        </w:rPr>
        <w:t>Access to audit and operational data is itself authorized and logged.</w:t>
      </w:r>
    </w:p>
    <w:p>
      <w:pPr>
        <w:spacing w:after="160" w:line="280" w:lineRule="auto"/>
        <w:numPr>
          <w:ilvl w:val="0"/>
          <w:numId w:val="10"/>
        </w:numPr>
      </w:pPr>
      <w:r>
        <w:rPr>
          <w:rFonts w:ascii="Calibri" w:hAnsi="Calibri"/>
          <w:b w:val="0"/>
          <w:i w:val="0"/>
          <w:color w:val="24272A"/>
          <w:sz w:val="22"/>
        </w:rPr>
        <w:t>Production logs use structured redaction rules before export to centralized logging.</w:t>
      </w:r>
    </w:p>
    <w:p>
      <w:pPr>
        <w:pStyle w:val="Heading1"/>
        <w:keepNext/>
      </w:pPr>
      <w:r>
        <w:t>10. User Interface Standards</w:t>
      </w:r>
    </w:p>
    <w:p>
      <w:pPr>
        <w:pStyle w:val="Heading2"/>
        <w:keepNext/>
      </w:pPr>
      <w:r>
        <w:t>10.1 Theme and Visual Tokens</w:t>
      </w:r>
    </w:p>
    <w:p>
      <w:pPr>
        <w:keepNext w:val="0"/>
        <w:spacing w:before="0" w:after="120" w:line="264" w:lineRule="auto"/>
        <w:jc w:val="left"/>
      </w:pPr>
      <w:r>
        <w:rPr>
          <w:rFonts w:ascii="Calibri" w:hAnsi="Calibri"/>
          <w:b w:val="0"/>
          <w:i w:val="0"/>
          <w:color w:val="24272A"/>
          <w:sz w:val="22"/>
        </w:rPr>
        <w:t>The official KMUTT colors for websites and applications are Orange #FA4616, Yellow #FFC72C, and Blue Grey #7B8189.[1] Kaching uses these brand colors with derived accessible neutrals and a darker orange for white-text controls.</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200"/>
        <w:gridCol w:w="1800"/>
        <w:gridCol w:w="5360"/>
      </w:tblGrid>
      <w:tr>
        <w:trPr>
          <w:tblHeader w:val="true"/>
          <w:cantSplit w:val="true"/>
        </w:trPr>
        <w:tc>
          <w:tcPr>
            <w:tcW w:type="dxa" w:w="2200"/>
            <w:tcMar>
              <w:top w:w="80" w:type="dxa"/>
              <w:start w:w="120" w:type="dxa"/>
              <w:bottom w:w="80" w:type="dxa"/>
              <w:end w:w="120" w:type="dxa"/>
            </w:tcMar>
            <w:vAlign w:val="center"/>
            <w:shd w:fill="FFC72C"/>
          </w:tcPr>
          <w:p>
            <w:pPr>
              <w:spacing w:after="0"/>
              <w:jc w:val="left"/>
            </w:pPr>
            <w:r>
              <w:rPr>
                <w:rFonts w:ascii="Calibri" w:hAnsi="Calibri"/>
                <w:b/>
                <w:i w:val="0"/>
                <w:color w:val="24272A"/>
                <w:sz w:val="17"/>
              </w:rPr>
              <w:t>Token</w:t>
            </w:r>
          </w:p>
        </w:tc>
        <w:tc>
          <w:tcPr>
            <w:tcW w:type="dxa" w:w="1800"/>
            <w:tcMar>
              <w:top w:w="80" w:type="dxa"/>
              <w:start w:w="120" w:type="dxa"/>
              <w:bottom w:w="80" w:type="dxa"/>
              <w:end w:w="120" w:type="dxa"/>
            </w:tcMar>
            <w:vAlign w:val="center"/>
            <w:shd w:fill="FFC72C"/>
          </w:tcPr>
          <w:p>
            <w:pPr>
              <w:spacing w:after="0"/>
              <w:jc w:val="left"/>
            </w:pPr>
            <w:r>
              <w:rPr>
                <w:rFonts w:ascii="Calibri" w:hAnsi="Calibri"/>
                <w:b/>
                <w:i w:val="0"/>
                <w:color w:val="24272A"/>
                <w:sz w:val="17"/>
              </w:rPr>
              <w:t>Value</w:t>
            </w:r>
          </w:p>
        </w:tc>
        <w:tc>
          <w:tcPr>
            <w:tcW w:type="dxa" w:w="5360"/>
            <w:tcMar>
              <w:top w:w="80" w:type="dxa"/>
              <w:start w:w="120" w:type="dxa"/>
              <w:bottom w:w="80" w:type="dxa"/>
              <w:end w:w="120" w:type="dxa"/>
            </w:tcMar>
            <w:vAlign w:val="center"/>
            <w:shd w:fill="FFC72C"/>
          </w:tcPr>
          <w:p>
            <w:pPr>
              <w:spacing w:after="0"/>
              <w:jc w:val="left"/>
            </w:pPr>
            <w:r>
              <w:rPr>
                <w:rFonts w:ascii="Calibri" w:hAnsi="Calibri"/>
                <w:b/>
                <w:i w:val="0"/>
                <w:color w:val="24272A"/>
                <w:sz w:val="17"/>
              </w:rPr>
              <w:t>Usage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brand.orange</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7"/>
              </w:rPr>
              <w:t>#FA4616</w:t>
            </w:r>
          </w:p>
        </w:tc>
        <w:tc>
          <w:tcPr>
            <w:tcW w:type="dxa" w:w="5360"/>
            <w:tcMar>
              <w:top w:w="80" w:type="dxa"/>
              <w:start w:w="120" w:type="dxa"/>
              <w:bottom w:w="80" w:type="dxa"/>
              <w:end w:w="120" w:type="dxa"/>
            </w:tcMar>
            <w:vAlign w:val="center"/>
          </w:tcPr>
          <w:p>
            <w:pPr>
              <w:spacing w:after="0" w:line="252" w:lineRule="auto"/>
            </w:pPr>
            <w:r>
              <w:rPr>
                <w:rFonts w:ascii="Calibri" w:hAnsi="Calibri"/>
                <w:b w:val="0"/>
                <w:i w:val="0"/>
                <w:color w:val="24272A"/>
                <w:sz w:val="17"/>
              </w:rPr>
              <w:t>Brand accents, selected indicators, large headings, and icons.</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brand.yellow</w:t>
            </w:r>
          </w:p>
        </w:tc>
        <w:tc>
          <w:tcPr>
            <w:tcW w:type="dxa" w:w="1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#FFC72C</w:t>
            </w:r>
          </w:p>
        </w:tc>
        <w:tc>
          <w:tcPr>
            <w:tcW w:type="dxa" w:w="53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Highlights and warning surfaces with dark text.</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brand.blueGrey</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7"/>
              </w:rPr>
              <w:t>#7B8189</w:t>
            </w:r>
          </w:p>
        </w:tc>
        <w:tc>
          <w:tcPr>
            <w:tcW w:type="dxa" w:w="5360"/>
            <w:tcMar>
              <w:top w:w="80" w:type="dxa"/>
              <w:start w:w="120" w:type="dxa"/>
              <w:bottom w:w="80" w:type="dxa"/>
              <w:end w:w="120" w:type="dxa"/>
            </w:tcMar>
            <w:vAlign w:val="center"/>
          </w:tcPr>
          <w:p>
            <w:pPr>
              <w:spacing w:after="0" w:line="252" w:lineRule="auto"/>
            </w:pPr>
            <w:r>
              <w:rPr>
                <w:rFonts w:ascii="Calibri" w:hAnsi="Calibri"/>
                <w:b w:val="0"/>
                <w:i w:val="0"/>
                <w:color w:val="24272A"/>
                <w:sz w:val="17"/>
              </w:rPr>
              <w:t>Borders, secondary accents, and large secondary text.</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action.primary</w:t>
            </w:r>
          </w:p>
        </w:tc>
        <w:tc>
          <w:tcPr>
            <w:tcW w:type="dxa" w:w="1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#B33100</w:t>
            </w:r>
          </w:p>
        </w:tc>
        <w:tc>
          <w:tcPr>
            <w:tcW w:type="dxa" w:w="53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Primary button background with white text; derived for AA contrast.</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text.primary</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7"/>
              </w:rPr>
              <w:t>#24272A</w:t>
            </w:r>
          </w:p>
        </w:tc>
        <w:tc>
          <w:tcPr>
            <w:tcW w:type="dxa" w:w="5360"/>
            <w:tcMar>
              <w:top w:w="80" w:type="dxa"/>
              <w:start w:w="120" w:type="dxa"/>
              <w:bottom w:w="80" w:type="dxa"/>
              <w:end w:w="120" w:type="dxa"/>
            </w:tcMar>
            <w:vAlign w:val="center"/>
          </w:tcPr>
          <w:p>
            <w:pPr>
              <w:spacing w:after="0" w:line="252" w:lineRule="auto"/>
            </w:pPr>
            <w:r>
              <w:rPr>
                <w:rFonts w:ascii="Calibri" w:hAnsi="Calibri"/>
                <w:b w:val="0"/>
                <w:i w:val="0"/>
                <w:color w:val="24272A"/>
                <w:sz w:val="17"/>
              </w:rPr>
              <w:t>Normal body text.</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surface.default</w:t>
            </w:r>
          </w:p>
        </w:tc>
        <w:tc>
          <w:tcPr>
            <w:tcW w:type="dxa" w:w="1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#FFFFFF</w:t>
            </w:r>
          </w:p>
        </w:tc>
        <w:tc>
          <w:tcPr>
            <w:tcW w:type="dxa" w:w="53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Cards, forms, and primary work surfaces.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surface.subtle</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7"/>
              </w:rPr>
              <w:t>#F2F4F5</w:t>
            </w:r>
          </w:p>
        </w:tc>
        <w:tc>
          <w:tcPr>
            <w:tcW w:type="dxa" w:w="5360"/>
            <w:tcMar>
              <w:top w:w="80" w:type="dxa"/>
              <w:start w:w="120" w:type="dxa"/>
              <w:bottom w:w="80" w:type="dxa"/>
              <w:end w:w="120" w:type="dxa"/>
            </w:tcMar>
            <w:vAlign w:val="center"/>
          </w:tcPr>
          <w:p>
            <w:pPr>
              <w:spacing w:after="0" w:line="252" w:lineRule="auto"/>
            </w:pPr>
            <w:r>
              <w:rPr>
                <w:rFonts w:ascii="Calibri" w:hAnsi="Calibri"/>
                <w:b w:val="0"/>
                <w:i w:val="0"/>
                <w:color w:val="24272A"/>
                <w:sz w:val="17"/>
              </w:rPr>
              <w:t>Secondary panels and table striping.</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status.success</w:t>
            </w:r>
          </w:p>
        </w:tc>
        <w:tc>
          <w:tcPr>
            <w:tcW w:type="dxa" w:w="18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#1F7A4D</w:t>
            </w:r>
          </w:p>
        </w:tc>
        <w:tc>
          <w:tcPr>
            <w:tcW w:type="dxa" w:w="53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Successful payment and completed sale status.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status.error</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4272A"/>
                <w:sz w:val="17"/>
              </w:rPr>
              <w:t>#B42318</w:t>
            </w:r>
          </w:p>
        </w:tc>
        <w:tc>
          <w:tcPr>
            <w:tcW w:type="dxa" w:w="5360"/>
            <w:tcMar>
              <w:top w:w="80" w:type="dxa"/>
              <w:start w:w="120" w:type="dxa"/>
              <w:bottom w:w="80" w:type="dxa"/>
              <w:end w:w="120" w:type="dxa"/>
            </w:tcMar>
            <w:vAlign w:val="center"/>
          </w:tcPr>
          <w:p>
            <w:pPr>
              <w:spacing w:after="0" w:line="252" w:lineRule="auto"/>
            </w:pPr>
            <w:r>
              <w:rPr>
                <w:rFonts w:ascii="Calibri" w:hAnsi="Calibri"/>
                <w:b w:val="0"/>
                <w:i w:val="0"/>
                <w:color w:val="24272A"/>
                <w:sz w:val="17"/>
              </w:rPr>
              <w:t>Declines, failures, and blocked actions.</w:t>
            </w:r>
          </w:p>
        </w:tc>
      </w:tr>
    </w:tbl>
    <w:p>
      <w:pPr>
        <w:spacing w:after="40"/>
      </w:pPr>
    </w:p>
    <w:p>
      <w:pPr>
        <w:pStyle w:val="Heading2"/>
        <w:keepNext/>
      </w:pPr>
      <w:r>
        <w:t>10.2 Checkout Layout Convention</w:t>
      </w:r>
    </w:p>
    <w:p>
      <w:pPr>
        <w:spacing w:after="160" w:line="280" w:lineRule="auto"/>
        <w:numPr>
          <w:ilvl w:val="0"/>
          <w:numId w:val="10"/>
        </w:numPr>
      </w:pPr>
      <w:r>
        <w:rPr>
          <w:rFonts w:ascii="Calibri" w:hAnsi="Calibri"/>
          <w:b w:val="0"/>
          <w:i w:val="0"/>
          <w:color w:val="24272A"/>
          <w:sz w:val="22"/>
        </w:rPr>
        <w:t>Use a two-region layout: product and cart workspace on the left, totals and action panel on the right.</w:t>
      </w:r>
    </w:p>
    <w:p>
      <w:pPr>
        <w:spacing w:after="160" w:line="280" w:lineRule="auto"/>
        <w:numPr>
          <w:ilvl w:val="0"/>
          <w:numId w:val="10"/>
        </w:numPr>
      </w:pPr>
      <w:r>
        <w:rPr>
          <w:rFonts w:ascii="Calibri" w:hAnsi="Calibri"/>
          <w:b w:val="0"/>
          <w:i w:val="0"/>
          <w:color w:val="24272A"/>
          <w:sz w:val="22"/>
        </w:rPr>
        <w:t>Keep subtotal, discount fields, VAT, and final total continuously visible.</w:t>
      </w:r>
    </w:p>
    <w:p>
      <w:pPr>
        <w:spacing w:after="160" w:line="280" w:lineRule="auto"/>
        <w:numPr>
          <w:ilvl w:val="0"/>
          <w:numId w:val="10"/>
        </w:numPr>
      </w:pPr>
      <w:r>
        <w:rPr>
          <w:rFonts w:ascii="Calibri" w:hAnsi="Calibri"/>
          <w:b w:val="0"/>
          <w:i w:val="0"/>
          <w:color w:val="24272A"/>
          <w:sz w:val="22"/>
        </w:rPr>
        <w:t>Place the final total in the strongest visual hierarchy and do not communicate state by color alone.</w:t>
      </w:r>
    </w:p>
    <w:p>
      <w:pPr>
        <w:spacing w:after="160" w:line="280" w:lineRule="auto"/>
        <w:numPr>
          <w:ilvl w:val="0"/>
          <w:numId w:val="10"/>
        </w:numPr>
      </w:pPr>
      <w:r>
        <w:rPr>
          <w:rFonts w:ascii="Calibri" w:hAnsi="Calibri"/>
          <w:b w:val="0"/>
          <w:i w:val="0"/>
          <w:color w:val="24272A"/>
          <w:sz w:val="22"/>
        </w:rPr>
        <w:t>Use large touch targets, visible keyboard focus, and scanner-friendly default focus behavior.</w:t>
      </w:r>
    </w:p>
    <w:p>
      <w:pPr>
        <w:spacing w:after="160" w:line="280" w:lineRule="auto"/>
        <w:numPr>
          <w:ilvl w:val="0"/>
          <w:numId w:val="10"/>
        </w:numPr>
      </w:pPr>
      <w:r>
        <w:rPr>
          <w:rFonts w:ascii="Calibri" w:hAnsi="Calibri"/>
          <w:b w:val="0"/>
          <w:i w:val="0"/>
          <w:color w:val="24272A"/>
          <w:sz w:val="22"/>
        </w:rPr>
        <w:t>Require confirmation for destructive actions such as cancelling a sale or deactivating a terminal.</w:t>
      </w:r>
    </w:p>
    <w:p>
      <w:pPr>
        <w:spacing w:after="160" w:line="280" w:lineRule="auto"/>
        <w:numPr>
          <w:ilvl w:val="0"/>
          <w:numId w:val="10"/>
        </w:numPr>
      </w:pPr>
      <w:r>
        <w:rPr>
          <w:rFonts w:ascii="Calibri" w:hAnsi="Calibri"/>
          <w:b w:val="0"/>
          <w:i w:val="0"/>
          <w:color w:val="24272A"/>
          <w:sz w:val="22"/>
        </w:rPr>
        <w:t>Use plain English and persistent recovery messages for uncertain card outcomes; never invite the cashier to retry while status is unknown.</w:t>
      </w:r>
    </w:p>
    <w:p>
      <w:pPr>
        <w:pStyle w:val="Heading2"/>
        <w:keepNext/>
      </w:pPr>
      <w:r>
        <w:t>10.3 Product Entry</w:t>
      </w:r>
    </w:p>
    <w:p>
      <w:pPr>
        <w:keepNext w:val="0"/>
        <w:spacing w:before="0" w:after="120" w:line="264" w:lineRule="auto"/>
        <w:jc w:val="left"/>
      </w:pPr>
      <w:r>
        <w:rPr>
          <w:rFonts w:ascii="Calibri" w:hAnsi="Calibri"/>
          <w:b w:val="0"/>
          <w:i w:val="0"/>
          <w:color w:val="24272A"/>
          <w:sz w:val="22"/>
        </w:rPr>
        <w:t>The checkout screen accepts product entry through a keyboard-wedge USB barcode scanner, manual barcode entry, or product search by code or name. All three paths resolve the same global product record and current global selling price.</w:t>
      </w:r>
    </w:p>
    <w:p>
      <w:pPr>
        <w:pStyle w:val="Heading1"/>
        <w:keepNext/>
      </w:pPr>
      <w:r>
        <w:t>11. Observability and Operations</w:t>
      </w:r>
    </w:p>
    <w:p>
      <w:pPr>
        <w:pStyle w:val="Heading2"/>
        <w:keepNext/>
      </w:pPr>
      <w:r>
        <w:t>11.1 Structured Logging</w:t>
      </w:r>
    </w:p>
    <w:p>
      <w:pPr>
        <w:keepNext w:val="0"/>
        <w:spacing w:before="0" w:after="120" w:line="264" w:lineRule="auto"/>
        <w:jc w:val="left"/>
      </w:pPr>
      <w:r>
        <w:rPr>
          <w:rFonts w:ascii="Calibri" w:hAnsi="Calibri"/>
          <w:b w:val="0"/>
          <w:i w:val="0"/>
          <w:color w:val="24272A"/>
          <w:sz w:val="22"/>
        </w:rPr>
        <w:t>Every API request and worker job receives a correlation ID. Logs are structured JSON and include service, environment, correlationId, saleId where applicable, terminalId, storeId, severity, event name, duration, and sanitized error details.</w:t>
      </w:r>
    </w:p>
    <w:p>
      <w:pPr>
        <w:pStyle w:val="Heading2"/>
        <w:keepNext/>
      </w:pPr>
      <w:r>
        <w:t>11.2 Metrics and Alerts</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900"/>
        <w:gridCol w:w="6460"/>
      </w:tblGrid>
      <w:tr>
        <w:trPr>
          <w:tblHeader w:val="true"/>
          <w:cantSplit w:val="true"/>
        </w:trPr>
        <w:tc>
          <w:tcPr>
            <w:tcW w:type="dxa" w:w="2900"/>
            <w:tcMar>
              <w:top w:w="80" w:type="dxa"/>
              <w:start w:w="120" w:type="dxa"/>
              <w:bottom w:w="80" w:type="dxa"/>
              <w:end w:w="120" w:type="dxa"/>
            </w:tcMar>
            <w:vAlign w:val="center"/>
            <w:shd w:fill="FFC72C"/>
          </w:tcPr>
          <w:p>
            <w:pPr>
              <w:spacing w:after="0"/>
              <w:jc w:val="left"/>
            </w:pPr>
            <w:r>
              <w:rPr>
                <w:rFonts w:ascii="Calibri" w:hAnsi="Calibri"/>
                <w:b/>
                <w:i w:val="0"/>
                <w:color w:val="24272A"/>
                <w:sz w:val="18"/>
              </w:rPr>
              <w:t>Signal</w:t>
            </w:r>
          </w:p>
        </w:tc>
        <w:tc>
          <w:tcPr>
            <w:tcW w:type="dxa" w:w="6460"/>
            <w:tcMar>
              <w:top w:w="80" w:type="dxa"/>
              <w:start w:w="120" w:type="dxa"/>
              <w:bottom w:w="80" w:type="dxa"/>
              <w:end w:w="120" w:type="dxa"/>
            </w:tcMar>
            <w:vAlign w:val="center"/>
            <w:shd w:fill="FFC72C"/>
          </w:tcPr>
          <w:p>
            <w:pPr>
              <w:spacing w:after="0"/>
              <w:jc w:val="left"/>
            </w:pPr>
            <w:r>
              <w:rPr>
                <w:rFonts w:ascii="Calibri" w:hAnsi="Calibri"/>
                <w:b/>
                <w:i w:val="0"/>
                <w:color w:val="24272A"/>
                <w:sz w:val="18"/>
              </w:rPr>
              <w:t>Example alert</w:t>
            </w:r>
          </w:p>
        </w:tc>
      </w:tr>
      <w:tr>
        <w:trPr>
          <w:cantSplit w:val="true"/>
        </w:trPr>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24272A"/>
                <w:sz w:val="18"/>
              </w:rPr>
              <w:t>API availability and latency</w:t>
            </w:r>
          </w:p>
        </w:tc>
        <w:tc>
          <w:tcPr>
            <w:tcW w:type="dxa" w:w="6460"/>
            <w:tcMar>
              <w:top w:w="80" w:type="dxa"/>
              <w:start w:w="120" w:type="dxa"/>
              <w:bottom w:w="80" w:type="dxa"/>
              <w:end w:w="120" w:type="dxa"/>
            </w:tcMar>
            <w:vAlign w:val="center"/>
          </w:tcPr>
          <w:p>
            <w:pPr>
              <w:spacing w:after="0" w:line="252" w:lineRule="auto"/>
            </w:pPr>
            <w:r>
              <w:rPr>
                <w:rFonts w:ascii="Calibri" w:hAnsi="Calibri"/>
                <w:b w:val="0"/>
                <w:i w:val="0"/>
                <w:color w:val="24272A"/>
                <w:sz w:val="18"/>
              </w:rPr>
              <w:t>Error rate or p95 latency exceeds the defined threshold.</w:t>
            </w:r>
          </w:p>
        </w:tc>
      </w:tr>
      <w:tr>
        <w:trPr>
          <w:cantSplit w:val="true"/>
        </w:trPr>
        <w:tc>
          <w:tcPr>
            <w:tcW w:type="dxa" w:w="29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Payment recovery backlog</w:t>
            </w:r>
          </w:p>
        </w:tc>
        <w:tc>
          <w:tcPr>
            <w:tcW w:type="dxa" w:w="6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Any unresolved payment older than the operational threshold.</w:t>
            </w:r>
          </w:p>
        </w:tc>
      </w:tr>
      <w:tr>
        <w:trPr>
          <w:cantSplit w:val="true"/>
        </w:trPr>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24272A"/>
                <w:sz w:val="18"/>
              </w:rPr>
              <w:t>Outbox backlog</w:t>
            </w:r>
          </w:p>
        </w:tc>
        <w:tc>
          <w:tcPr>
            <w:tcW w:type="dxa" w:w="6460"/>
            <w:tcMar>
              <w:top w:w="80" w:type="dxa"/>
              <w:start w:w="120" w:type="dxa"/>
              <w:bottom w:w="80" w:type="dxa"/>
              <w:end w:w="120" w:type="dxa"/>
            </w:tcMar>
            <w:vAlign w:val="center"/>
          </w:tcPr>
          <w:p>
            <w:pPr>
              <w:spacing w:after="0" w:line="252" w:lineRule="auto"/>
            </w:pPr>
            <w:r>
              <w:rPr>
                <w:rFonts w:ascii="Calibri" w:hAnsi="Calibri"/>
                <w:b w:val="0"/>
                <w:i w:val="0"/>
                <w:color w:val="24272A"/>
                <w:sz w:val="18"/>
              </w:rPr>
              <w:t>Pending count or oldest-message age exceeds threshold.</w:t>
            </w:r>
          </w:p>
        </w:tc>
      </w:tr>
      <w:tr>
        <w:trPr>
          <w:cantSplit w:val="true"/>
        </w:trPr>
        <w:tc>
          <w:tcPr>
            <w:tcW w:type="dxa" w:w="29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RabbitMQ health</w:t>
            </w:r>
          </w:p>
        </w:tc>
        <w:tc>
          <w:tcPr>
            <w:tcW w:type="dxa" w:w="6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Broker unavailable, quorum degraded, publish nack, or unroutable message.</w:t>
            </w:r>
          </w:p>
        </w:tc>
      </w:tr>
      <w:tr>
        <w:trPr>
          <w:cantSplit w:val="true"/>
        </w:trPr>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24272A"/>
                <w:sz w:val="18"/>
              </w:rPr>
              <w:t>Dead-letter queue</w:t>
            </w:r>
          </w:p>
        </w:tc>
        <w:tc>
          <w:tcPr>
            <w:tcW w:type="dxa" w:w="6460"/>
            <w:tcMar>
              <w:top w:w="80" w:type="dxa"/>
              <w:start w:w="120" w:type="dxa"/>
              <w:bottom w:w="80" w:type="dxa"/>
              <w:end w:w="120" w:type="dxa"/>
            </w:tcMar>
            <w:vAlign w:val="center"/>
          </w:tcPr>
          <w:p>
            <w:pPr>
              <w:spacing w:after="0" w:line="252" w:lineRule="auto"/>
            </w:pPr>
            <w:r>
              <w:rPr>
                <w:rFonts w:ascii="Calibri" w:hAnsi="Calibri"/>
                <w:b w:val="0"/>
                <w:i w:val="0"/>
                <w:color w:val="24272A"/>
                <w:sz w:val="18"/>
              </w:rPr>
              <w:t>Any new inventory message enters the DLQ.</w:t>
            </w:r>
          </w:p>
        </w:tc>
      </w:tr>
      <w:tr>
        <w:trPr>
          <w:cantSplit w:val="true"/>
        </w:trPr>
        <w:tc>
          <w:tcPr>
            <w:tcW w:type="dxa" w:w="29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Database</w:t>
            </w:r>
          </w:p>
        </w:tc>
        <w:tc>
          <w:tcPr>
            <w:tcW w:type="dxa" w:w="6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Connection exhaustion, replication issue, storage growth, or failed backup.</w:t>
            </w:r>
          </w:p>
        </w:tc>
      </w:tr>
      <w:tr>
        <w:trPr>
          <w:cantSplit w:val="true"/>
        </w:trPr>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24272A"/>
                <w:sz w:val="18"/>
              </w:rPr>
              <w:t>Terminal gateway</w:t>
            </w:r>
          </w:p>
        </w:tc>
        <w:tc>
          <w:tcPr>
            <w:tcW w:type="dxa" w:w="6460"/>
            <w:tcMar>
              <w:top w:w="80" w:type="dxa"/>
              <w:start w:w="120" w:type="dxa"/>
              <w:bottom w:w="80" w:type="dxa"/>
              <w:end w:w="120" w:type="dxa"/>
            </w:tcMar>
            <w:vAlign w:val="center"/>
          </w:tcPr>
          <w:p>
            <w:pPr>
              <w:spacing w:after="0" w:line="252" w:lineRule="auto"/>
            </w:pPr>
            <w:r>
              <w:rPr>
                <w:rFonts w:ascii="Calibri" w:hAnsi="Calibri"/>
                <w:b w:val="0"/>
                <w:i w:val="0"/>
                <w:color w:val="24272A"/>
                <w:sz w:val="18"/>
              </w:rPr>
              <w:t>Registered terminal has not reported health within threshold.</w:t>
            </w:r>
          </w:p>
        </w:tc>
      </w:tr>
    </w:tbl>
    <w:p>
      <w:pPr>
        <w:spacing w:after="40"/>
      </w:pPr>
    </w:p>
    <w:p>
      <w:pPr>
        <w:pStyle w:val="Heading2"/>
        <w:keepNext/>
      </w:pPr>
      <w:r>
        <w:t>11.3 Operational Work Queues</w:t>
      </w:r>
    </w:p>
    <w:p>
      <w:pPr>
        <w:keepNext w:val="0"/>
        <w:spacing w:before="0" w:after="120" w:line="264" w:lineRule="auto"/>
        <w:jc w:val="left"/>
      </w:pPr>
      <w:r>
        <w:rPr>
          <w:rFonts w:ascii="Calibri" w:hAnsi="Calibri"/>
          <w:b w:val="0"/>
          <w:i w:val="0"/>
          <w:color w:val="24272A"/>
          <w:sz w:val="22"/>
        </w:rPr>
        <w:t>Feature-P provides separate views for payment-recovery items and inventory-publication items. Operators may inspect status and retry eligible technical operations. They may not manually force a card result or alter a completed sale.</w:t>
      </w:r>
    </w:p>
    <w:p>
      <w:pPr>
        <w:pStyle w:val="Heading1"/>
        <w:keepNext/>
      </w:pPr>
      <w:r>
        <w:t>12. Performance, Availability, and Recovery</w:t>
      </w:r>
    </w:p>
    <w:p>
      <w:pPr>
        <w:pStyle w:val="Heading2"/>
        <w:keepNext/>
      </w:pPr>
      <w:r>
        <w:t>12.1 Performance Design</w:t>
      </w:r>
    </w:p>
    <w:p>
      <w:pPr>
        <w:spacing w:after="160" w:line="280" w:lineRule="auto"/>
        <w:numPr>
          <w:ilvl w:val="0"/>
          <w:numId w:val="10"/>
        </w:numPr>
      </w:pPr>
      <w:r>
        <w:rPr>
          <w:rFonts w:ascii="Calibri" w:hAnsi="Calibri"/>
          <w:b w:val="0"/>
          <w:i w:val="0"/>
          <w:color w:val="24272A"/>
          <w:sz w:val="22"/>
        </w:rPr>
        <w:t>Perform cart arithmetic in the browser for immediate feedback and revalidate all values on the server.</w:t>
      </w:r>
    </w:p>
    <w:p>
      <w:pPr>
        <w:spacing w:after="160" w:line="280" w:lineRule="auto"/>
        <w:numPr>
          <w:ilvl w:val="0"/>
          <w:numId w:val="10"/>
        </w:numPr>
      </w:pPr>
      <w:r>
        <w:rPr>
          <w:rFonts w:ascii="Calibri" w:hAnsi="Calibri"/>
          <w:b w:val="0"/>
          <w:i w:val="0"/>
          <w:color w:val="24272A"/>
          <w:sz w:val="22"/>
        </w:rPr>
        <w:t>Index Sale by storeId, completedAt, status, and payment method for daily summaries.</w:t>
      </w:r>
    </w:p>
    <w:p>
      <w:pPr>
        <w:spacing w:after="160" w:line="280" w:lineRule="auto"/>
        <w:numPr>
          <w:ilvl w:val="0"/>
          <w:numId w:val="10"/>
        </w:numPr>
      </w:pPr>
      <w:r>
        <w:rPr>
          <w:rFonts w:ascii="Calibri" w:hAnsi="Calibri"/>
          <w:b w:val="0"/>
          <w:i w:val="0"/>
          <w:color w:val="24272A"/>
          <w:sz w:val="22"/>
        </w:rPr>
        <w:t>Index Product by normalized barcode, SKU, active status, and searchable name fields.</w:t>
      </w:r>
    </w:p>
    <w:p>
      <w:pPr>
        <w:spacing w:after="160" w:line="280" w:lineRule="auto"/>
        <w:numPr>
          <w:ilvl w:val="0"/>
          <w:numId w:val="10"/>
        </w:numPr>
      </w:pPr>
      <w:r>
        <w:rPr>
          <w:rFonts w:ascii="Calibri" w:hAnsi="Calibri"/>
          <w:b w:val="0"/>
          <w:i w:val="0"/>
          <w:color w:val="24272A"/>
          <w:sz w:val="22"/>
        </w:rPr>
        <w:t>Use bounded database connection pools sized for Cloud Run scaling limits.</w:t>
      </w:r>
    </w:p>
    <w:p>
      <w:pPr>
        <w:spacing w:after="160" w:line="280" w:lineRule="auto"/>
        <w:numPr>
          <w:ilvl w:val="0"/>
          <w:numId w:val="10"/>
        </w:numPr>
      </w:pPr>
      <w:r>
        <w:rPr>
          <w:rFonts w:ascii="Calibri" w:hAnsi="Calibri"/>
          <w:b w:val="0"/>
          <w:i w:val="0"/>
          <w:color w:val="24272A"/>
          <w:sz w:val="22"/>
        </w:rPr>
        <w:t>Keep report queries read-only and paginated where detailed data is exposed.</w:t>
      </w:r>
    </w:p>
    <w:p>
      <w:pPr>
        <w:spacing w:after="160" w:line="280" w:lineRule="auto"/>
        <w:numPr>
          <w:ilvl w:val="0"/>
          <w:numId w:val="10"/>
        </w:numPr>
      </w:pPr>
      <w:r>
        <w:rPr>
          <w:rFonts w:ascii="Calibri" w:hAnsi="Calibri"/>
          <w:b w:val="0"/>
          <w:i w:val="0"/>
          <w:color w:val="24272A"/>
          <w:sz w:val="22"/>
        </w:rPr>
        <w:t>Load-test at 200 concurrent users and 20 completed sales per second, including outbox writes.</w:t>
      </w:r>
    </w:p>
    <w:p>
      <w:pPr>
        <w:pStyle w:val="Heading2"/>
        <w:keepNext/>
      </w:pPr>
      <w:r>
        <w:t>12.2 Availability Behavior</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600"/>
        <w:gridCol w:w="6760"/>
      </w:tblGrid>
      <w:tr>
        <w:trPr>
          <w:tblHeader w:val="true"/>
          <w:cantSplit w:val="true"/>
        </w:trPr>
        <w:tc>
          <w:tcPr>
            <w:tcW w:type="dxa" w:w="2600"/>
            <w:tcMar>
              <w:top w:w="80" w:type="dxa"/>
              <w:start w:w="120" w:type="dxa"/>
              <w:bottom w:w="80" w:type="dxa"/>
              <w:end w:w="120" w:type="dxa"/>
            </w:tcMar>
            <w:vAlign w:val="center"/>
            <w:shd w:fill="FFC72C"/>
          </w:tcPr>
          <w:p>
            <w:pPr>
              <w:spacing w:after="0"/>
              <w:jc w:val="left"/>
            </w:pPr>
            <w:r>
              <w:rPr>
                <w:rFonts w:ascii="Calibri" w:hAnsi="Calibri"/>
                <w:b/>
                <w:i w:val="0"/>
                <w:color w:val="24272A"/>
                <w:sz w:val="18"/>
              </w:rPr>
              <w:t>Dependency</w:t>
            </w:r>
          </w:p>
        </w:tc>
        <w:tc>
          <w:tcPr>
            <w:tcW w:type="dxa" w:w="6760"/>
            <w:tcMar>
              <w:top w:w="80" w:type="dxa"/>
              <w:start w:w="120" w:type="dxa"/>
              <w:bottom w:w="80" w:type="dxa"/>
              <w:end w:w="120" w:type="dxa"/>
            </w:tcMar>
            <w:vAlign w:val="center"/>
            <w:shd w:fill="FFC72C"/>
          </w:tcPr>
          <w:p>
            <w:pPr>
              <w:spacing w:after="0"/>
              <w:jc w:val="left"/>
            </w:pPr>
            <w:r>
              <w:rPr>
                <w:rFonts w:ascii="Calibri" w:hAnsi="Calibri"/>
                <w:b/>
                <w:i w:val="0"/>
                <w:color w:val="24272A"/>
                <w:sz w:val="18"/>
              </w:rPr>
              <w:t>Kaching behavior when unavailable</w:t>
            </w:r>
          </w:p>
        </w:tc>
      </w:tr>
      <w:tr>
        <w:trPr>
          <w:cantSplit w:val="true"/>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4272A"/>
                <w:sz w:val="18"/>
              </w:rPr>
              <w:t>Kaching API or Cloud SQL</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24272A"/>
                <w:sz w:val="18"/>
              </w:rPr>
              <w:t>No new sale may start or complete.</w:t>
            </w:r>
          </w:p>
        </w:tc>
      </w:tr>
      <w:tr>
        <w:trPr>
          <w:cantSplit w:val="true"/>
        </w:trPr>
        <w:tc>
          <w:tcPr>
            <w:tcW w:type="dxa" w:w="26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K-Bank PSP</w:t>
            </w:r>
          </w:p>
        </w:tc>
        <w:tc>
          <w:tcPr>
            <w:tcW w:type="dxa" w:w="67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Card payment unavailable; cash remains available if the Kaching backend is healthy.</w:t>
            </w:r>
          </w:p>
        </w:tc>
      </w:tr>
      <w:tr>
        <w:trPr>
          <w:cantSplit w:val="true"/>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4272A"/>
                <w:sz w:val="18"/>
              </w:rPr>
              <w:t>RabbitMQ</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24272A"/>
                <w:sz w:val="18"/>
              </w:rPr>
              <w:t>Sales continue because the outbox remains durable in PostgreSQL.</w:t>
            </w:r>
          </w:p>
        </w:tc>
      </w:tr>
      <w:tr>
        <w:trPr>
          <w:cantSplit w:val="true"/>
        </w:trPr>
        <w:tc>
          <w:tcPr>
            <w:tcW w:type="dxa" w:w="26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Inventory Service</w:t>
            </w:r>
          </w:p>
        </w:tc>
        <w:tc>
          <w:tcPr>
            <w:tcW w:type="dxa" w:w="67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Sales continue; RabbitMQ retains messages until the consumer recovers.</w:t>
            </w:r>
          </w:p>
        </w:tc>
      </w:tr>
      <w:tr>
        <w:trPr>
          <w:cantSplit w:val="true"/>
        </w:trP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4272A"/>
                <w:sz w:val="18"/>
              </w:rPr>
              <w:t>Receipt printer</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24272A"/>
                <w:sz w:val="18"/>
              </w:rPr>
              <w:t>Sales continue and remain completed; reprint is available later.</w:t>
            </w:r>
          </w:p>
        </w:tc>
      </w:tr>
    </w:tbl>
    <w:p>
      <w:pPr>
        <w:spacing w:after="40"/>
      </w:pPr>
    </w:p>
    <w:p>
      <w:pPr>
        <w:pStyle w:val="Heading2"/>
        <w:keepNext/>
      </w:pPr>
      <w:r>
        <w:t>12.3 Backup and Disaster Recovery</w:t>
      </w:r>
    </w:p>
    <w:p>
      <w:pPr>
        <w:spacing w:after="160" w:line="280" w:lineRule="auto"/>
        <w:numPr>
          <w:ilvl w:val="0"/>
          <w:numId w:val="10"/>
        </w:numPr>
      </w:pPr>
      <w:r>
        <w:rPr>
          <w:rFonts w:ascii="Calibri" w:hAnsi="Calibri"/>
          <w:b w:val="0"/>
          <w:i w:val="0"/>
          <w:color w:val="24272A"/>
          <w:sz w:val="22"/>
        </w:rPr>
        <w:t>Use Cloud SQL automated backups and point-in-time recovery with settings capable of meeting the 15-minute RPO.[3]</w:t>
      </w:r>
    </w:p>
    <w:p>
      <w:pPr>
        <w:spacing w:after="160" w:line="280" w:lineRule="auto"/>
        <w:numPr>
          <w:ilvl w:val="0"/>
          <w:numId w:val="10"/>
        </w:numPr>
      </w:pPr>
      <w:r>
        <w:rPr>
          <w:rFonts w:ascii="Calibri" w:hAnsi="Calibri"/>
          <w:b w:val="0"/>
          <w:i w:val="0"/>
          <w:color w:val="24272A"/>
          <w:sz w:val="22"/>
        </w:rPr>
        <w:t>Use regional high availability for Cloud SQL and test failover behavior at least annually.</w:t>
      </w:r>
    </w:p>
    <w:p>
      <w:pPr>
        <w:spacing w:after="160" w:line="280" w:lineRule="auto"/>
        <w:numPr>
          <w:ilvl w:val="0"/>
          <w:numId w:val="10"/>
        </w:numPr>
      </w:pPr>
      <w:r>
        <w:rPr>
          <w:rFonts w:ascii="Calibri" w:hAnsi="Calibri"/>
          <w:b w:val="0"/>
          <w:i w:val="0"/>
          <w:color w:val="24272A"/>
          <w:sz w:val="22"/>
        </w:rPr>
        <w:t>Retain infrastructure definitions, container images, Prisma migrations, and configuration outside the database so services can be recreated.</w:t>
      </w:r>
    </w:p>
    <w:p>
      <w:pPr>
        <w:spacing w:after="160" w:line="280" w:lineRule="auto"/>
        <w:numPr>
          <w:ilvl w:val="0"/>
          <w:numId w:val="10"/>
        </w:numPr>
      </w:pPr>
      <w:r>
        <w:rPr>
          <w:rFonts w:ascii="Calibri" w:hAnsi="Calibri"/>
          <w:b w:val="0"/>
          <w:i w:val="0"/>
          <w:color w:val="24272A"/>
          <w:sz w:val="22"/>
        </w:rPr>
        <w:t>Document a recovery runbook that restores PostgreSQL, redeploys API and worker revisions, validates RabbitMQ connectivity, and checks payment and outbox backlogs.</w:t>
      </w:r>
    </w:p>
    <w:p>
      <w:pPr>
        <w:spacing w:after="160" w:line="280" w:lineRule="auto"/>
        <w:numPr>
          <w:ilvl w:val="0"/>
          <w:numId w:val="10"/>
        </w:numPr>
      </w:pPr>
      <w:r>
        <w:rPr>
          <w:rFonts w:ascii="Calibri" w:hAnsi="Calibri"/>
          <w:b w:val="0"/>
          <w:i w:val="0"/>
          <w:color w:val="24272A"/>
          <w:sz w:val="22"/>
        </w:rPr>
        <w:t>Perform a scheduled recovery exercise and record whether the 4-hour RTO and 15-minute RPO were met.</w:t>
      </w:r>
    </w:p>
    <w:p>
      <w:pPr>
        <w:pStyle w:val="Heading1"/>
        <w:keepNext/>
      </w:pPr>
      <w:r>
        <w:t>13. Development and Delivery</w:t>
      </w:r>
    </w:p>
    <w:p>
      <w:pPr>
        <w:pStyle w:val="Heading2"/>
        <w:keepNext/>
      </w:pPr>
      <w:r>
        <w:t>13.1 Repository Structure</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700"/>
        <w:gridCol w:w="6660"/>
      </w:tblGrid>
      <w:tr>
        <w:trPr>
          <w:tblHeader w:val="true"/>
          <w:cantSplit w:val="true"/>
        </w:trPr>
        <w:tc>
          <w:tcPr>
            <w:tcW w:type="dxa" w:w="2700"/>
            <w:tcMar>
              <w:top w:w="80" w:type="dxa"/>
              <w:start w:w="120" w:type="dxa"/>
              <w:bottom w:w="80" w:type="dxa"/>
              <w:end w:w="120" w:type="dxa"/>
            </w:tcMar>
            <w:vAlign w:val="center"/>
            <w:shd w:fill="FFC72C"/>
          </w:tcPr>
          <w:p>
            <w:pPr>
              <w:spacing w:after="0"/>
              <w:jc w:val="left"/>
            </w:pPr>
            <w:r>
              <w:rPr>
                <w:rFonts w:ascii="Calibri" w:hAnsi="Calibri"/>
                <w:b/>
                <w:i w:val="0"/>
                <w:color w:val="24272A"/>
                <w:sz w:val="18"/>
              </w:rPr>
              <w:t>Path</w:t>
            </w:r>
          </w:p>
        </w:tc>
        <w:tc>
          <w:tcPr>
            <w:tcW w:type="dxa" w:w="6660"/>
            <w:tcMar>
              <w:top w:w="80" w:type="dxa"/>
              <w:start w:w="120" w:type="dxa"/>
              <w:bottom w:w="80" w:type="dxa"/>
              <w:end w:w="120" w:type="dxa"/>
            </w:tcMar>
            <w:vAlign w:val="center"/>
            <w:shd w:fill="FFC72C"/>
          </w:tcPr>
          <w:p>
            <w:pPr>
              <w:spacing w:after="0"/>
              <w:jc w:val="left"/>
            </w:pPr>
            <w:r>
              <w:rPr>
                <w:rFonts w:ascii="Calibri" w:hAnsi="Calibri"/>
                <w:b/>
                <w:i w:val="0"/>
                <w:color w:val="24272A"/>
                <w:sz w:val="18"/>
              </w:rPr>
              <w:t>Contents</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24272A"/>
                <w:sz w:val="18"/>
              </w:rPr>
              <w:t>apps/web</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24272A"/>
                <w:sz w:val="18"/>
              </w:rPr>
              <w:t>React and Vite frontend.</w:t>
            </w:r>
          </w:p>
        </w:tc>
      </w:tr>
      <w:tr>
        <w:trPr>
          <w:cantSplit w:val="true"/>
        </w:trPr>
        <w:tc>
          <w:tcPr>
            <w:tcW w:type="dxa" w:w="27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apps/api</w:t>
            </w:r>
          </w:p>
        </w:tc>
        <w:tc>
          <w:tcPr>
            <w:tcW w:type="dxa" w:w="66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Express API application.</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24272A"/>
                <w:sz w:val="18"/>
              </w:rPr>
              <w:t>apps/worker</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24272A"/>
                <w:sz w:val="18"/>
              </w:rPr>
              <w:t>Outbox and payment-reconciliation worker.</w:t>
            </w:r>
          </w:p>
        </w:tc>
      </w:tr>
      <w:tr>
        <w:trPr>
          <w:cantSplit w:val="true"/>
        </w:trPr>
        <w:tc>
          <w:tcPr>
            <w:tcW w:type="dxa" w:w="27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apps/peripheral-gateway</w:t>
            </w:r>
          </w:p>
        </w:tc>
        <w:tc>
          <w:tcPr>
            <w:tcW w:type="dxa" w:w="66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Terminal-side Node.js service.</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24272A"/>
                <w:sz w:val="18"/>
              </w:rPr>
              <w:t>packages/contracts</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24272A"/>
                <w:sz w:val="18"/>
              </w:rPr>
              <w:t>Shared TypeScript schemas, API models, and event contracts.</w:t>
            </w:r>
          </w:p>
        </w:tc>
      </w:tr>
      <w:tr>
        <w:trPr>
          <w:cantSplit w:val="true"/>
        </w:trPr>
        <w:tc>
          <w:tcPr>
            <w:tcW w:type="dxa" w:w="27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packages/ui</w:t>
            </w:r>
          </w:p>
        </w:tc>
        <w:tc>
          <w:tcPr>
            <w:tcW w:type="dxa" w:w="66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Reusable Kaching UI components and KMUTT theme tokens.</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24272A"/>
                <w:sz w:val="18"/>
              </w:rPr>
              <w:t>packages/config</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24272A"/>
                <w:sz w:val="18"/>
              </w:rPr>
              <w:t>Shared linting, TypeScript, test, and build configuration.</w:t>
            </w:r>
          </w:p>
        </w:tc>
      </w:tr>
      <w:tr>
        <w:trPr>
          <w:cantSplit w:val="true"/>
        </w:trPr>
        <w:tc>
          <w:tcPr>
            <w:tcW w:type="dxa" w:w="27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prisma</w:t>
            </w:r>
          </w:p>
        </w:tc>
        <w:tc>
          <w:tcPr>
            <w:tcW w:type="dxa" w:w="66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8"/>
              </w:rPr>
              <w:t>Schema, migrations, and controlled seed data.</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24272A"/>
                <w:sz w:val="18"/>
              </w:rPr>
              <w:t>infra</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24272A"/>
                <w:sz w:val="18"/>
              </w:rPr>
              <w:t>Docker Compose and infrastructure-as-code definitions.</w:t>
            </w:r>
          </w:p>
        </w:tc>
      </w:tr>
    </w:tbl>
    <w:p>
      <w:pPr>
        <w:spacing w:after="40"/>
      </w:pPr>
    </w:p>
    <w:p>
      <w:pPr>
        <w:pStyle w:val="Heading2"/>
        <w:keepNext/>
      </w:pPr>
      <w:r>
        <w:t>13.2 CI/CD Pipeline</w:t>
      </w:r>
    </w:p>
    <w:p>
      <w:pPr>
        <w:spacing w:after="160" w:line="280" w:lineRule="auto"/>
        <w:numPr>
          <w:ilvl w:val="0"/>
          <w:numId w:val="13"/>
        </w:numPr>
      </w:pPr>
      <w:r>
        <w:rPr>
          <w:rFonts w:ascii="Calibri" w:hAnsi="Calibri"/>
          <w:b w:val="0"/>
          <w:i w:val="0"/>
          <w:color w:val="24272A"/>
          <w:sz w:val="22"/>
        </w:rPr>
        <w:t>Install dependencies using a locked package manifest.</w:t>
      </w:r>
    </w:p>
    <w:p>
      <w:pPr>
        <w:spacing w:after="160" w:line="280" w:lineRule="auto"/>
        <w:numPr>
          <w:ilvl w:val="0"/>
          <w:numId w:val="13"/>
        </w:numPr>
      </w:pPr>
      <w:r>
        <w:rPr>
          <w:rFonts w:ascii="Calibri" w:hAnsi="Calibri"/>
          <w:b w:val="0"/>
          <w:i w:val="0"/>
          <w:color w:val="24272A"/>
          <w:sz w:val="22"/>
        </w:rPr>
        <w:t>Run formatting, linting, TypeScript compilation, unit tests, integration tests, and dependency/security checks.</w:t>
      </w:r>
    </w:p>
    <w:p>
      <w:pPr>
        <w:spacing w:after="160" w:line="280" w:lineRule="auto"/>
        <w:numPr>
          <w:ilvl w:val="0"/>
          <w:numId w:val="13"/>
        </w:numPr>
      </w:pPr>
      <w:r>
        <w:rPr>
          <w:rFonts w:ascii="Calibri" w:hAnsi="Calibri"/>
          <w:b w:val="0"/>
          <w:i w:val="0"/>
          <w:color w:val="24272A"/>
          <w:sz w:val="22"/>
        </w:rPr>
        <w:t>Build versioned containers and publish them to Artifact Registry.</w:t>
      </w:r>
    </w:p>
    <w:p>
      <w:pPr>
        <w:spacing w:after="160" w:line="280" w:lineRule="auto"/>
        <w:numPr>
          <w:ilvl w:val="0"/>
          <w:numId w:val="13"/>
        </w:numPr>
      </w:pPr>
      <w:r>
        <w:rPr>
          <w:rFonts w:ascii="Calibri" w:hAnsi="Calibri"/>
          <w:b w:val="0"/>
          <w:i w:val="0"/>
          <w:color w:val="24272A"/>
          <w:sz w:val="22"/>
        </w:rPr>
        <w:t>Deploy automatically to development, then promote the same images to staging and production after approval.</w:t>
      </w:r>
    </w:p>
    <w:p>
      <w:pPr>
        <w:spacing w:after="160" w:line="280" w:lineRule="auto"/>
        <w:numPr>
          <w:ilvl w:val="0"/>
          <w:numId w:val="13"/>
        </w:numPr>
      </w:pPr>
      <w:r>
        <w:rPr>
          <w:rFonts w:ascii="Calibri" w:hAnsi="Calibri"/>
          <w:b w:val="0"/>
          <w:i w:val="0"/>
          <w:color w:val="24272A"/>
          <w:sz w:val="22"/>
        </w:rPr>
        <w:t>Run backward-compatible Prisma migrations before directing traffic to the new application revision.</w:t>
      </w:r>
    </w:p>
    <w:p>
      <w:pPr>
        <w:spacing w:after="160" w:line="280" w:lineRule="auto"/>
        <w:numPr>
          <w:ilvl w:val="0"/>
          <w:numId w:val="13"/>
        </w:numPr>
      </w:pPr>
      <w:r>
        <w:rPr>
          <w:rFonts w:ascii="Calibri" w:hAnsi="Calibri"/>
          <w:b w:val="0"/>
          <w:i w:val="0"/>
          <w:color w:val="24272A"/>
          <w:sz w:val="22"/>
        </w:rPr>
        <w:t>Use Cloud Run revision rollback for application failures; database changes require an explicit forward-fix or tested rollback plan.</w:t>
      </w:r>
    </w:p>
    <w:p>
      <w:pPr>
        <w:pStyle w:val="Heading2"/>
        <w:keepNext/>
      </w:pPr>
      <w:r>
        <w:t>13.3 Configuration</w:t>
      </w:r>
    </w:p>
    <w:p>
      <w:pPr>
        <w:keepNext w:val="0"/>
        <w:spacing w:before="0" w:after="120" w:line="264" w:lineRule="auto"/>
        <w:jc w:val="left"/>
      </w:pPr>
      <w:r>
        <w:rPr>
          <w:rFonts w:ascii="Calibri" w:hAnsi="Calibri"/>
          <w:b w:val="0"/>
          <w:i w:val="0"/>
          <w:color w:val="24272A"/>
          <w:sz w:val="22"/>
        </w:rPr>
        <w:t>Environment-specific values include database connection, RabbitMQ endpoints, PSP credentials, terminal certificate authority, receipt settings, retry thresholds, VAT configuration, logging level, and allowed frontend origins. Secrets are injected at runtime and never committed to the repository.</w:t>
      </w:r>
    </w:p>
    <w:p>
      <w:pPr>
        <w:pStyle w:val="Heading1"/>
        <w:keepNext/>
      </w:pPr>
      <w:r>
        <w:t>14. System Test Strategy</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FC72C"/>
          </w:tcPr>
          <w:p>
            <w:pPr>
              <w:spacing w:after="0"/>
              <w:jc w:val="left"/>
            </w:pPr>
            <w:r>
              <w:rPr>
                <w:rFonts w:ascii="Calibri" w:hAnsi="Calibri"/>
                <w:b/>
                <w:i w:val="0"/>
                <w:color w:val="24272A"/>
                <w:sz w:val="17"/>
              </w:rPr>
              <w:t>Test level</w:t>
            </w:r>
          </w:p>
        </w:tc>
        <w:tc>
          <w:tcPr>
            <w:tcW w:type="dxa" w:w="7160"/>
            <w:tcMar>
              <w:top w:w="80" w:type="dxa"/>
              <w:start w:w="120" w:type="dxa"/>
              <w:bottom w:w="80" w:type="dxa"/>
              <w:end w:w="120" w:type="dxa"/>
            </w:tcMar>
            <w:vAlign w:val="center"/>
            <w:shd w:fill="FFC72C"/>
          </w:tcPr>
          <w:p>
            <w:pPr>
              <w:spacing w:after="0"/>
              <w:jc w:val="left"/>
            </w:pPr>
            <w:r>
              <w:rPr>
                <w:rFonts w:ascii="Calibri" w:hAnsi="Calibri"/>
                <w:b/>
                <w:i w:val="0"/>
                <w:color w:val="24272A"/>
                <w:sz w:val="17"/>
              </w:rPr>
              <w:t>System-level focus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Unit</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24272A"/>
                <w:sz w:val="17"/>
              </w:rPr>
              <w:t>VAT, discount rounding, totals, permissions, state transitions, and retry policy.</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Component</w:t>
            </w:r>
          </w:p>
        </w:tc>
        <w:tc>
          <w:tcPr>
            <w:tcW w:type="dxa" w:w="71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Each module with PostgreSQL or adapter substitutes.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Integration</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24272A"/>
                <w:sz w:val="17"/>
              </w:rPr>
              <w:t>Prisma transactions, RabbitMQ confirms, PSP contract, Peripheral Gateway, and printer protocol.</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Contract</w:t>
            </w:r>
          </w:p>
        </w:tc>
        <w:tc>
          <w:tcPr>
            <w:tcW w:type="dxa" w:w="71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OpenAPI requests/responses and versioned inventory-event schema.</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End-to-end</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24272A"/>
                <w:sz w:val="17"/>
              </w:rPr>
              <w:t>Cash sale, approved card, decline, PSP outage, unknown payment recovery, print failure, and reporting.</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Fault injection</w:t>
            </w:r>
          </w:p>
        </w:tc>
        <w:tc>
          <w:tcPr>
            <w:tcW w:type="dxa" w:w="71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Database rollback, API restart, RabbitMQ outage, duplicate delivery, and worker crash after publish but before outbox update.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Performance</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24272A"/>
                <w:sz w:val="17"/>
              </w:rPr>
              <w:t>200 concurrent users and 20 completed sales per second while meeting latency target.</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Security</w:t>
            </w:r>
          </w:p>
        </w:tc>
        <w:tc>
          <w:tcPr>
            <w:tcW w:type="dxa" w:w="71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Authorization scope, session controls, dependency scanning, secret leakage, and card-data logging checks.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24272A"/>
                <w:sz w:val="17"/>
              </w:rPr>
              <w:t>Recovery</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24272A"/>
                <w:sz w:val="17"/>
              </w:rPr>
              <w:t>Cloud SQL restore, service redeployment, payment reconciliation, and outbox backlog recovery within RTO/RPO.</w:t>
            </w:r>
          </w:p>
        </w:tc>
      </w:tr>
      <w:tr>
        <w:trPr>
          <w:cantSplit w:val="true"/>
        </w:trPr>
        <w:tc>
          <w:tcPr>
            <w:tcW w:type="dxa" w:w="22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Accessibility</w:t>
            </w:r>
          </w:p>
        </w:tc>
        <w:tc>
          <w:tcPr>
            <w:tcW w:type="dxa" w:w="71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Keyboard checkout, focus order, status announcement, minimum resolution, and WCAG contrast.</w:t>
            </w:r>
          </w:p>
        </w:tc>
      </w:tr>
    </w:tbl>
    <w:p>
      <w:pPr>
        <w:spacing w:after="40"/>
      </w:pPr>
    </w:p>
    <w:p>
      <w:pPr>
        <w:pStyle w:val="Heading1"/>
        <w:keepNext/>
      </w:pPr>
      <w:r>
        <w:t>15. Feature Allocation</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1350"/>
        <w:gridCol w:w="3550"/>
        <w:gridCol w:w="4460"/>
      </w:tblGrid>
      <w:tr>
        <w:trPr>
          <w:tblHeader w:val="true"/>
          <w:cantSplit w:val="true"/>
        </w:trPr>
        <w:tc>
          <w:tcPr>
            <w:tcW w:type="dxa" w:w="1350"/>
            <w:tcMar>
              <w:top w:w="80" w:type="dxa"/>
              <w:start w:w="120" w:type="dxa"/>
              <w:bottom w:w="80" w:type="dxa"/>
              <w:end w:w="120" w:type="dxa"/>
            </w:tcMar>
            <w:vAlign w:val="center"/>
            <w:shd w:fill="FFC72C"/>
          </w:tcPr>
          <w:p>
            <w:pPr>
              <w:spacing w:after="0"/>
              <w:jc w:val="left"/>
            </w:pPr>
            <w:r>
              <w:rPr>
                <w:rFonts w:ascii="Calibri" w:hAnsi="Calibri"/>
                <w:b/>
                <w:i w:val="0"/>
                <w:color w:val="24272A"/>
                <w:sz w:val="16"/>
              </w:rPr>
              <w:t>Feature</w:t>
            </w:r>
          </w:p>
        </w:tc>
        <w:tc>
          <w:tcPr>
            <w:tcW w:type="dxa" w:w="3550"/>
            <w:tcMar>
              <w:top w:w="80" w:type="dxa"/>
              <w:start w:w="120" w:type="dxa"/>
              <w:bottom w:w="80" w:type="dxa"/>
              <w:end w:w="120" w:type="dxa"/>
            </w:tcMar>
            <w:vAlign w:val="center"/>
            <w:shd w:fill="FFC72C"/>
          </w:tcPr>
          <w:p>
            <w:pPr>
              <w:spacing w:after="0"/>
              <w:jc w:val="left"/>
            </w:pPr>
            <w:r>
              <w:rPr>
                <w:rFonts w:ascii="Calibri" w:hAnsi="Calibri"/>
                <w:b/>
                <w:i w:val="0"/>
                <w:color w:val="24272A"/>
                <w:sz w:val="16"/>
              </w:rPr>
              <w:t>Name</w:t>
            </w:r>
          </w:p>
        </w:tc>
        <w:tc>
          <w:tcPr>
            <w:tcW w:type="dxa" w:w="4460"/>
            <w:tcMar>
              <w:top w:w="80" w:type="dxa"/>
              <w:start w:w="120" w:type="dxa"/>
              <w:bottom w:w="80" w:type="dxa"/>
              <w:end w:w="120" w:type="dxa"/>
            </w:tcMar>
            <w:vAlign w:val="center"/>
            <w:shd w:fill="FFC72C"/>
          </w:tcPr>
          <w:p>
            <w:pPr>
              <w:spacing w:after="0"/>
              <w:jc w:val="left"/>
            </w:pPr>
            <w:r>
              <w:rPr>
                <w:rFonts w:ascii="Calibri" w:hAnsi="Calibri"/>
                <w:b/>
                <w:i w:val="0"/>
                <w:color w:val="24272A"/>
                <w:sz w:val="16"/>
              </w:rPr>
              <w:t>Primary design allocation</w:t>
            </w:r>
          </w:p>
        </w:tc>
      </w:tr>
      <w:tr>
        <w:trPr>
          <w:cantSplit w:val="true"/>
        </w:trPr>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Feature-A</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24272A"/>
                <w:sz w:val="16"/>
              </w:rPr>
              <w:t>User Authentication and Access Control</w:t>
            </w:r>
          </w:p>
        </w:tc>
        <w:tc>
          <w:tcPr>
            <w:tcW w:type="dxa" w:w="4460"/>
            <w:tcMar>
              <w:top w:w="80" w:type="dxa"/>
              <w:start w:w="120" w:type="dxa"/>
              <w:bottom w:w="80" w:type="dxa"/>
              <w:end w:w="120" w:type="dxa"/>
            </w:tcMar>
            <w:vAlign w:val="center"/>
          </w:tcPr>
          <w:p>
            <w:pPr>
              <w:spacing w:after="0" w:line="252" w:lineRule="auto"/>
            </w:pPr>
            <w:r>
              <w:rPr>
                <w:rFonts w:ascii="Calibri" w:hAnsi="Calibri"/>
                <w:b w:val="0"/>
                <w:i w:val="0"/>
                <w:color w:val="24272A"/>
                <w:sz w:val="16"/>
              </w:rPr>
              <w:t>Web, identity module, audit</w:t>
            </w:r>
          </w:p>
        </w:tc>
      </w:tr>
      <w:tr>
        <w:trPr>
          <w:cantSplit w:val="true"/>
        </w:trPr>
        <w:tc>
          <w:tcPr>
            <w:tcW w:type="dxa" w:w="13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Feature-B</w:t>
            </w:r>
          </w:p>
        </w:tc>
        <w:tc>
          <w:tcPr>
            <w:tcW w:type="dxa" w:w="35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Store and Terminal Operating Context</w:t>
            </w:r>
          </w:p>
        </w:tc>
        <w:tc>
          <w:tcPr>
            <w:tcW w:type="dxa" w:w="4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Web, organization module, Peripheral Gateway</w:t>
            </w:r>
          </w:p>
        </w:tc>
      </w:tr>
      <w:tr>
        <w:trPr>
          <w:cantSplit w:val="true"/>
        </w:trPr>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Feature-C</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24272A"/>
                <w:sz w:val="16"/>
              </w:rPr>
              <w:t>Product Catalog and Price Management</w:t>
            </w:r>
          </w:p>
        </w:tc>
        <w:tc>
          <w:tcPr>
            <w:tcW w:type="dxa" w:w="4460"/>
            <w:tcMar>
              <w:top w:w="80" w:type="dxa"/>
              <w:start w:w="120" w:type="dxa"/>
              <w:bottom w:w="80" w:type="dxa"/>
              <w:end w:w="120" w:type="dxa"/>
            </w:tcMar>
            <w:vAlign w:val="center"/>
          </w:tcPr>
          <w:p>
            <w:pPr>
              <w:spacing w:after="0" w:line="252" w:lineRule="auto"/>
            </w:pPr>
            <w:r>
              <w:rPr>
                <w:rFonts w:ascii="Calibri" w:hAnsi="Calibri"/>
                <w:b w:val="0"/>
                <w:i w:val="0"/>
                <w:color w:val="24272A"/>
                <w:sz w:val="16"/>
              </w:rPr>
              <w:t>Web, catalog module, PostgreSQL</w:t>
            </w:r>
          </w:p>
        </w:tc>
      </w:tr>
      <w:tr>
        <w:trPr>
          <w:cantSplit w:val="true"/>
        </w:trPr>
        <w:tc>
          <w:tcPr>
            <w:tcW w:type="dxa" w:w="13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Feature-D</w:t>
            </w:r>
          </w:p>
        </w:tc>
        <w:tc>
          <w:tcPr>
            <w:tcW w:type="dxa" w:w="35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Sale Lifecycle Management</w:t>
            </w:r>
          </w:p>
        </w:tc>
        <w:tc>
          <w:tcPr>
            <w:tcW w:type="dxa" w:w="4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Web, sales module</w:t>
            </w:r>
          </w:p>
        </w:tc>
      </w:tr>
      <w:tr>
        <w:trPr>
          <w:cantSplit w:val="true"/>
        </w:trPr>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Feature-E</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24272A"/>
                <w:sz w:val="16"/>
              </w:rPr>
              <w:t>Cart and Sale-Item Management</w:t>
            </w:r>
          </w:p>
        </w:tc>
        <w:tc>
          <w:tcPr>
            <w:tcW w:type="dxa" w:w="4460"/>
            <w:tcMar>
              <w:top w:w="80" w:type="dxa"/>
              <w:start w:w="120" w:type="dxa"/>
              <w:bottom w:w="80" w:type="dxa"/>
              <w:end w:w="120" w:type="dxa"/>
            </w:tcMar>
            <w:vAlign w:val="center"/>
          </w:tcPr>
          <w:p>
            <w:pPr>
              <w:spacing w:after="0" w:line="252" w:lineRule="auto"/>
            </w:pPr>
            <w:r>
              <w:rPr>
                <w:rFonts w:ascii="Calibri" w:hAnsi="Calibri"/>
                <w:b w:val="0"/>
                <w:i w:val="0"/>
                <w:color w:val="24272A"/>
                <w:sz w:val="16"/>
              </w:rPr>
              <w:t>Web, sales module, catalog module</w:t>
            </w:r>
          </w:p>
        </w:tc>
      </w:tr>
      <w:tr>
        <w:trPr>
          <w:cantSplit w:val="true"/>
        </w:trPr>
        <w:tc>
          <w:tcPr>
            <w:tcW w:type="dxa" w:w="13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Feature-F</w:t>
            </w:r>
          </w:p>
        </w:tc>
        <w:tc>
          <w:tcPr>
            <w:tcW w:type="dxa" w:w="35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VAT-Inclusive Pricing and Total Calculation</w:t>
            </w:r>
          </w:p>
        </w:tc>
        <w:tc>
          <w:tcPr>
            <w:tcW w:type="dxa" w:w="4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Web, sales domain services</w:t>
            </w:r>
          </w:p>
        </w:tc>
      </w:tr>
      <w:tr>
        <w:trPr>
          <w:cantSplit w:val="true"/>
        </w:trPr>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Feature-G</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24272A"/>
                <w:sz w:val="16"/>
              </w:rPr>
              <w:t>Order-Level Discount Management</w:t>
            </w:r>
          </w:p>
        </w:tc>
        <w:tc>
          <w:tcPr>
            <w:tcW w:type="dxa" w:w="4460"/>
            <w:tcMar>
              <w:top w:w="80" w:type="dxa"/>
              <w:start w:w="120" w:type="dxa"/>
              <w:bottom w:w="80" w:type="dxa"/>
              <w:end w:w="120" w:type="dxa"/>
            </w:tcMar>
            <w:vAlign w:val="center"/>
          </w:tcPr>
          <w:p>
            <w:pPr>
              <w:spacing w:after="0" w:line="252" w:lineRule="auto"/>
            </w:pPr>
            <w:r>
              <w:rPr>
                <w:rFonts w:ascii="Calibri" w:hAnsi="Calibri"/>
                <w:b w:val="0"/>
                <w:i w:val="0"/>
                <w:color w:val="24272A"/>
                <w:sz w:val="16"/>
              </w:rPr>
              <w:t>Web, sales domain services, audit</w:t>
            </w:r>
          </w:p>
        </w:tc>
      </w:tr>
      <w:tr>
        <w:trPr>
          <w:cantSplit w:val="true"/>
        </w:trPr>
        <w:tc>
          <w:tcPr>
            <w:tcW w:type="dxa" w:w="13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Feature-H</w:t>
            </w:r>
          </w:p>
        </w:tc>
        <w:tc>
          <w:tcPr>
            <w:tcW w:type="dxa" w:w="35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Payment Method Selection</w:t>
            </w:r>
          </w:p>
        </w:tc>
        <w:tc>
          <w:tcPr>
            <w:tcW w:type="dxa" w:w="4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Web, payments module</w:t>
            </w:r>
          </w:p>
        </w:tc>
      </w:tr>
      <w:tr>
        <w:trPr>
          <w:cantSplit w:val="true"/>
        </w:trPr>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Feature-I</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24272A"/>
                <w:sz w:val="16"/>
              </w:rPr>
              <w:t>Cash Payment Processing</w:t>
            </w:r>
          </w:p>
        </w:tc>
        <w:tc>
          <w:tcPr>
            <w:tcW w:type="dxa" w:w="4460"/>
            <w:tcMar>
              <w:top w:w="80" w:type="dxa"/>
              <w:start w:w="120" w:type="dxa"/>
              <w:bottom w:w="80" w:type="dxa"/>
              <w:end w:w="120" w:type="dxa"/>
            </w:tcMar>
            <w:vAlign w:val="center"/>
          </w:tcPr>
          <w:p>
            <w:pPr>
              <w:spacing w:after="0" w:line="252" w:lineRule="auto"/>
            </w:pPr>
            <w:r>
              <w:rPr>
                <w:rFonts w:ascii="Calibri" w:hAnsi="Calibri"/>
                <w:b w:val="0"/>
                <w:i w:val="0"/>
                <w:color w:val="24272A"/>
                <w:sz w:val="16"/>
              </w:rPr>
              <w:t>Web, payments and sales modules</w:t>
            </w:r>
          </w:p>
        </w:tc>
      </w:tr>
      <w:tr>
        <w:trPr>
          <w:cantSplit w:val="true"/>
        </w:trPr>
        <w:tc>
          <w:tcPr>
            <w:tcW w:type="dxa" w:w="13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Feature-J</w:t>
            </w:r>
          </w:p>
        </w:tc>
        <w:tc>
          <w:tcPr>
            <w:tcW w:type="dxa" w:w="35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Card Payment Authorization</w:t>
            </w:r>
          </w:p>
        </w:tc>
        <w:tc>
          <w:tcPr>
            <w:tcW w:type="dxa" w:w="4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Web, payments module, Peripheral Gateway, K-Bank adapters</w:t>
            </w:r>
          </w:p>
        </w:tc>
      </w:tr>
      <w:tr>
        <w:trPr>
          <w:cantSplit w:val="true"/>
        </w:trPr>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Feature-K</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24272A"/>
                <w:sz w:val="16"/>
              </w:rPr>
              <w:t>Card Payment Recovery and Reconciliation</w:t>
            </w:r>
          </w:p>
        </w:tc>
        <w:tc>
          <w:tcPr>
            <w:tcW w:type="dxa" w:w="4460"/>
            <w:tcMar>
              <w:top w:w="80" w:type="dxa"/>
              <w:start w:w="120" w:type="dxa"/>
              <w:bottom w:w="80" w:type="dxa"/>
              <w:end w:w="120" w:type="dxa"/>
            </w:tcMar>
            <w:vAlign w:val="center"/>
          </w:tcPr>
          <w:p>
            <w:pPr>
              <w:spacing w:after="0" w:line="252" w:lineRule="auto"/>
            </w:pPr>
            <w:r>
              <w:rPr>
                <w:rFonts w:ascii="Calibri" w:hAnsi="Calibri"/>
                <w:b w:val="0"/>
                <w:i w:val="0"/>
                <w:color w:val="24272A"/>
                <w:sz w:val="16"/>
              </w:rPr>
              <w:t>Payments module, worker, K-Bank adapter, operations UI</w:t>
            </w:r>
          </w:p>
        </w:tc>
      </w:tr>
      <w:tr>
        <w:trPr>
          <w:cantSplit w:val="true"/>
        </w:trPr>
        <w:tc>
          <w:tcPr>
            <w:tcW w:type="dxa" w:w="13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Feature-L</w:t>
            </w:r>
          </w:p>
        </w:tc>
        <w:tc>
          <w:tcPr>
            <w:tcW w:type="dxa" w:w="35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Sale Finalization and Durable Recording</w:t>
            </w:r>
          </w:p>
        </w:tc>
        <w:tc>
          <w:tcPr>
            <w:tcW w:type="dxa" w:w="4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Sales module, Prisma transaction, PostgreSQL</w:t>
            </w:r>
          </w:p>
        </w:tc>
      </w:tr>
      <w:tr>
        <w:trPr>
          <w:cantSplit w:val="true"/>
        </w:trPr>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Feature-M</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24272A"/>
                <w:sz w:val="16"/>
              </w:rPr>
              <w:t>Receipt Printing and Reprinting</w:t>
            </w:r>
          </w:p>
        </w:tc>
        <w:tc>
          <w:tcPr>
            <w:tcW w:type="dxa" w:w="4460"/>
            <w:tcMar>
              <w:top w:w="80" w:type="dxa"/>
              <w:start w:w="120" w:type="dxa"/>
              <w:bottom w:w="80" w:type="dxa"/>
              <w:end w:w="120" w:type="dxa"/>
            </w:tcMar>
            <w:vAlign w:val="center"/>
          </w:tcPr>
          <w:p>
            <w:pPr>
              <w:spacing w:after="0" w:line="252" w:lineRule="auto"/>
            </w:pPr>
            <w:r>
              <w:rPr>
                <w:rFonts w:ascii="Calibri" w:hAnsi="Calibri"/>
                <w:b w:val="0"/>
                <w:i w:val="0"/>
                <w:color w:val="24272A"/>
                <w:sz w:val="16"/>
              </w:rPr>
              <w:t>Receipts module, web, Peripheral Gateway, printer</w:t>
            </w:r>
          </w:p>
        </w:tc>
      </w:tr>
      <w:tr>
        <w:trPr>
          <w:cantSplit w:val="true"/>
        </w:trPr>
        <w:tc>
          <w:tcPr>
            <w:tcW w:type="dxa" w:w="13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Feature-N</w:t>
            </w:r>
          </w:p>
        </w:tc>
        <w:tc>
          <w:tcPr>
            <w:tcW w:type="dxa" w:w="35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Inventory Update Outbox</w:t>
            </w:r>
          </w:p>
        </w:tc>
        <w:tc>
          <w:tcPr>
            <w:tcW w:type="dxa" w:w="4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Sales and inventoryIntegration modules, PostgreSQL</w:t>
            </w:r>
          </w:p>
        </w:tc>
      </w:tr>
      <w:tr>
        <w:trPr>
          <w:cantSplit w:val="true"/>
        </w:trPr>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Feature-O</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24272A"/>
                <w:sz w:val="16"/>
              </w:rPr>
              <w:t>Inventory Message Delivery</w:t>
            </w:r>
          </w:p>
        </w:tc>
        <w:tc>
          <w:tcPr>
            <w:tcW w:type="dxa" w:w="4460"/>
            <w:tcMar>
              <w:top w:w="80" w:type="dxa"/>
              <w:start w:w="120" w:type="dxa"/>
              <w:bottom w:w="80" w:type="dxa"/>
              <w:end w:w="120" w:type="dxa"/>
            </w:tcMar>
            <w:vAlign w:val="center"/>
          </w:tcPr>
          <w:p>
            <w:pPr>
              <w:spacing w:after="0" w:line="252" w:lineRule="auto"/>
            </w:pPr>
            <w:r>
              <w:rPr>
                <w:rFonts w:ascii="Calibri" w:hAnsi="Calibri"/>
                <w:b w:val="0"/>
                <w:i w:val="0"/>
                <w:color w:val="24272A"/>
                <w:sz w:val="16"/>
              </w:rPr>
              <w:t>Worker, RabbitMQ adapter</w:t>
            </w:r>
          </w:p>
        </w:tc>
      </w:tr>
      <w:tr>
        <w:trPr>
          <w:cantSplit w:val="true"/>
        </w:trPr>
        <w:tc>
          <w:tcPr>
            <w:tcW w:type="dxa" w:w="13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Feature-P</w:t>
            </w:r>
          </w:p>
        </w:tc>
        <w:tc>
          <w:tcPr>
            <w:tcW w:type="dxa" w:w="35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Operational Exception Monitoring</w:t>
            </w:r>
          </w:p>
        </w:tc>
        <w:tc>
          <w:tcPr>
            <w:tcW w:type="dxa" w:w="4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Operations UI and module, worker status data</w:t>
            </w:r>
          </w:p>
        </w:tc>
      </w:tr>
      <w:tr>
        <w:trPr>
          <w:cantSplit w:val="true"/>
        </w:trPr>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Feature-Q</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24272A"/>
                <w:sz w:val="16"/>
              </w:rPr>
              <w:t>Daily Sales Reporting</w:t>
            </w:r>
          </w:p>
        </w:tc>
        <w:tc>
          <w:tcPr>
            <w:tcW w:type="dxa" w:w="4460"/>
            <w:tcMar>
              <w:top w:w="80" w:type="dxa"/>
              <w:start w:w="120" w:type="dxa"/>
              <w:bottom w:w="80" w:type="dxa"/>
              <w:end w:w="120" w:type="dxa"/>
            </w:tcMar>
            <w:vAlign w:val="center"/>
          </w:tcPr>
          <w:p>
            <w:pPr>
              <w:spacing w:after="0" w:line="252" w:lineRule="auto"/>
            </w:pPr>
            <w:r>
              <w:rPr>
                <w:rFonts w:ascii="Calibri" w:hAnsi="Calibri"/>
                <w:b w:val="0"/>
                <w:i w:val="0"/>
                <w:color w:val="24272A"/>
                <w:sz w:val="16"/>
              </w:rPr>
              <w:t>Reporting UI and module, PostgreSQL</w:t>
            </w:r>
          </w:p>
        </w:tc>
      </w:tr>
      <w:tr>
        <w:trPr>
          <w:cantSplit w:val="true"/>
        </w:trPr>
        <w:tc>
          <w:tcPr>
            <w:tcW w:type="dxa" w:w="13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Feature-R</w:t>
            </w:r>
          </w:p>
        </w:tc>
        <w:tc>
          <w:tcPr>
            <w:tcW w:type="dxa" w:w="355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Audit Trail</w:t>
            </w:r>
          </w:p>
        </w:tc>
        <w:tc>
          <w:tcPr>
            <w:tcW w:type="dxa" w:w="44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Audit module and PostgreSQL</w:t>
            </w:r>
          </w:p>
        </w:tc>
      </w:tr>
      <w:tr>
        <w:trPr>
          <w:cantSplit w:val="true"/>
        </w:trPr>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Feature-S</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24272A"/>
                <w:sz w:val="16"/>
              </w:rPr>
              <w:t>Administration and Master Configuration</w:t>
            </w:r>
          </w:p>
        </w:tc>
        <w:tc>
          <w:tcPr>
            <w:tcW w:type="dxa" w:w="4460"/>
            <w:tcMar>
              <w:top w:w="80" w:type="dxa"/>
              <w:start w:w="120" w:type="dxa"/>
              <w:bottom w:w="80" w:type="dxa"/>
              <w:end w:w="120" w:type="dxa"/>
            </w:tcMar>
            <w:vAlign w:val="center"/>
          </w:tcPr>
          <w:p>
            <w:pPr>
              <w:spacing w:after="0" w:line="252" w:lineRule="auto"/>
            </w:pPr>
            <w:r>
              <w:rPr>
                <w:rFonts w:ascii="Calibri" w:hAnsi="Calibri"/>
                <w:b w:val="0"/>
                <w:i w:val="0"/>
                <w:color w:val="24272A"/>
                <w:sz w:val="16"/>
              </w:rPr>
              <w:t>Admin UI, identity and organization modules</w:t>
            </w:r>
          </w:p>
        </w:tc>
      </w:tr>
    </w:tbl>
    <w:p>
      <w:pPr>
        <w:spacing w:after="40"/>
      </w:pPr>
    </w:p>
    <w:p>
      <w:pPr>
        <w:pStyle w:val="Heading1"/>
        <w:keepNext/>
      </w:pPr>
      <w:r>
        <w:t>16. Key Design Decisions and Risks</w:t>
      </w: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1100"/>
        <w:gridCol w:w="3900"/>
        <w:gridCol w:w="4360"/>
      </w:tblGrid>
      <w:tr>
        <w:trPr>
          <w:tblHeader w:val="true"/>
          <w:cantSplit w:val="true"/>
        </w:trPr>
        <w:tc>
          <w:tcPr>
            <w:tcW w:type="dxa" w:w="1100"/>
            <w:tcMar>
              <w:top w:w="80" w:type="dxa"/>
              <w:start w:w="120" w:type="dxa"/>
              <w:bottom w:w="80" w:type="dxa"/>
              <w:end w:w="120" w:type="dxa"/>
            </w:tcMar>
            <w:vAlign w:val="center"/>
            <w:shd w:fill="FFC72C"/>
          </w:tcPr>
          <w:p>
            <w:pPr>
              <w:spacing w:after="0"/>
              <w:jc w:val="left"/>
            </w:pPr>
            <w:r>
              <w:rPr>
                <w:rFonts w:ascii="Calibri" w:hAnsi="Calibri"/>
                <w:b/>
                <w:i w:val="0"/>
                <w:color w:val="24272A"/>
                <w:sz w:val="17"/>
              </w:rPr>
              <w:t>ID</w:t>
            </w:r>
          </w:p>
        </w:tc>
        <w:tc>
          <w:tcPr>
            <w:tcW w:type="dxa" w:w="3900"/>
            <w:tcMar>
              <w:top w:w="80" w:type="dxa"/>
              <w:start w:w="120" w:type="dxa"/>
              <w:bottom w:w="80" w:type="dxa"/>
              <w:end w:w="120" w:type="dxa"/>
            </w:tcMar>
            <w:vAlign w:val="center"/>
            <w:shd w:fill="FFC72C"/>
          </w:tcPr>
          <w:p>
            <w:pPr>
              <w:spacing w:after="0"/>
              <w:jc w:val="left"/>
            </w:pPr>
            <w:r>
              <w:rPr>
                <w:rFonts w:ascii="Calibri" w:hAnsi="Calibri"/>
                <w:b/>
                <w:i w:val="0"/>
                <w:color w:val="24272A"/>
                <w:sz w:val="17"/>
              </w:rPr>
              <w:t>Decision or risk</w:t>
            </w:r>
          </w:p>
        </w:tc>
        <w:tc>
          <w:tcPr>
            <w:tcW w:type="dxa" w:w="4360"/>
            <w:tcMar>
              <w:top w:w="80" w:type="dxa"/>
              <w:start w:w="120" w:type="dxa"/>
              <w:bottom w:w="80" w:type="dxa"/>
              <w:end w:w="120" w:type="dxa"/>
            </w:tcMar>
            <w:vAlign w:val="center"/>
            <w:shd w:fill="FFC72C"/>
          </w:tcPr>
          <w:p>
            <w:pPr>
              <w:spacing w:after="0"/>
              <w:jc w:val="left"/>
            </w:pPr>
            <w:r>
              <w:rPr>
                <w:rFonts w:ascii="Calibri" w:hAnsi="Calibri"/>
                <w:b/>
                <w:i w:val="0"/>
                <w:color w:val="24272A"/>
                <w:sz w:val="17"/>
              </w:rPr>
              <w:t>Treatment</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b w:val="0"/>
                <w:i w:val="0"/>
                <w:color w:val="24272A"/>
                <w:sz w:val="17"/>
              </w:rPr>
              <w:t>ADR-01</w:t>
            </w:r>
          </w:p>
        </w:tc>
        <w:tc>
          <w:tcPr>
            <w:tcW w:type="dxa" w:w="3900"/>
            <w:tcMar>
              <w:top w:w="80" w:type="dxa"/>
              <w:start w:w="120" w:type="dxa"/>
              <w:bottom w:w="80" w:type="dxa"/>
              <w:end w:w="120" w:type="dxa"/>
            </w:tcMar>
            <w:vAlign w:val="center"/>
          </w:tcPr>
          <w:p>
            <w:pPr>
              <w:spacing w:after="0" w:line="252" w:lineRule="auto"/>
            </w:pPr>
            <w:r>
              <w:rPr>
                <w:rFonts w:ascii="Calibri" w:hAnsi="Calibri"/>
                <w:b w:val="0"/>
                <w:i w:val="0"/>
                <w:color w:val="24272A"/>
                <w:sz w:val="17"/>
              </w:rPr>
              <w:t>Use a modular monolith rather than microservices.</w:t>
            </w:r>
          </w:p>
        </w:tc>
        <w:tc>
          <w:tcPr>
            <w:tcW w:type="dxa" w:w="4360"/>
            <w:tcMar>
              <w:top w:w="80" w:type="dxa"/>
              <w:start w:w="120" w:type="dxa"/>
              <w:bottom w:w="80" w:type="dxa"/>
              <w:end w:w="120" w:type="dxa"/>
            </w:tcMar>
            <w:vAlign w:val="center"/>
          </w:tcPr>
          <w:p>
            <w:pPr>
              <w:spacing w:after="0" w:line="252" w:lineRule="auto"/>
            </w:pPr>
            <w:r>
              <w:rPr>
                <w:rFonts w:ascii="Calibri" w:hAnsi="Calibri"/>
                <w:b w:val="0"/>
                <w:i w:val="0"/>
                <w:color w:val="24272A"/>
                <w:sz w:val="17"/>
              </w:rPr>
              <w:t>Reduces deployment and transaction complexity while preserving module boundaries.</w:t>
            </w:r>
          </w:p>
        </w:tc>
      </w:tr>
      <w:tr>
        <w:trPr>
          <w:cantSplit w:val="true"/>
        </w:trPr>
        <w:tc>
          <w:tcPr>
            <w:tcW w:type="dxa" w:w="1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ADR-02</w:t>
            </w:r>
          </w:p>
        </w:tc>
        <w:tc>
          <w:tcPr>
            <w:tcW w:type="dxa" w:w="39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Use PostgreSQL transactional outbox plus RabbitMQ.</w:t>
            </w:r>
          </w:p>
        </w:tc>
        <w:tc>
          <w:tcPr>
            <w:tcW w:type="dxa" w:w="43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Prevents a completed sale from existing without a durable inventory update.</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b w:val="0"/>
                <w:i w:val="0"/>
                <w:color w:val="24272A"/>
                <w:sz w:val="17"/>
              </w:rPr>
              <w:t>ADR-03</w:t>
            </w:r>
          </w:p>
        </w:tc>
        <w:tc>
          <w:tcPr>
            <w:tcW w:type="dxa" w:w="3900"/>
            <w:tcMar>
              <w:top w:w="80" w:type="dxa"/>
              <w:start w:w="120" w:type="dxa"/>
              <w:bottom w:w="80" w:type="dxa"/>
              <w:end w:w="120" w:type="dxa"/>
            </w:tcMar>
            <w:vAlign w:val="center"/>
          </w:tcPr>
          <w:p>
            <w:pPr>
              <w:spacing w:after="0" w:line="252" w:lineRule="auto"/>
            </w:pPr>
            <w:r>
              <w:rPr>
                <w:rFonts w:ascii="Calibri" w:hAnsi="Calibri"/>
                <w:b w:val="0"/>
                <w:i w:val="0"/>
                <w:color w:val="24272A"/>
                <w:sz w:val="17"/>
              </w:rPr>
              <w:t>Use a terminal-side Peripheral Gateway for production hardware.</w:t>
            </w:r>
          </w:p>
        </w:tc>
        <w:tc>
          <w:tcPr>
            <w:tcW w:type="dxa" w:w="4360"/>
            <w:tcMar>
              <w:top w:w="80" w:type="dxa"/>
              <w:start w:w="120" w:type="dxa"/>
              <w:bottom w:w="80" w:type="dxa"/>
              <w:end w:w="120" w:type="dxa"/>
            </w:tcMar>
            <w:vAlign w:val="center"/>
          </w:tcPr>
          <w:p>
            <w:pPr>
              <w:spacing w:after="0" w:line="252" w:lineRule="auto"/>
            </w:pPr>
            <w:r>
              <w:rPr>
                <w:rFonts w:ascii="Calibri" w:hAnsi="Calibri"/>
                <w:b w:val="0"/>
                <w:i w:val="0"/>
                <w:color w:val="24272A"/>
                <w:sz w:val="17"/>
              </w:rPr>
              <w:t>Keeps browser UI while supporting certified local protocols and silent receipt printing.</w:t>
            </w:r>
          </w:p>
        </w:tc>
      </w:tr>
      <w:tr>
        <w:trPr>
          <w:cantSplit w:val="true"/>
        </w:trPr>
        <w:tc>
          <w:tcPr>
            <w:tcW w:type="dxa" w:w="1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ADR-04</w:t>
            </w:r>
          </w:p>
        </w:tc>
        <w:tc>
          <w:tcPr>
            <w:tcW w:type="dxa" w:w="39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No offline checkout.</w:t>
            </w:r>
          </w:p>
        </w:tc>
        <w:tc>
          <w:tcPr>
            <w:tcW w:type="dxa" w:w="43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Avoids local data synchronization and payment conflict complexity; stores depend on backend connectivity.</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b w:val="0"/>
                <w:i w:val="0"/>
                <w:color w:val="24272A"/>
                <w:sz w:val="17"/>
              </w:rPr>
              <w:t>ADR-05</w:t>
            </w:r>
          </w:p>
        </w:tc>
        <w:tc>
          <w:tcPr>
            <w:tcW w:type="dxa" w:w="3900"/>
            <w:tcMar>
              <w:top w:w="80" w:type="dxa"/>
              <w:start w:w="120" w:type="dxa"/>
              <w:bottom w:w="80" w:type="dxa"/>
              <w:end w:w="120" w:type="dxa"/>
            </w:tcMar>
            <w:vAlign w:val="center"/>
          </w:tcPr>
          <w:p>
            <w:pPr>
              <w:spacing w:after="0" w:line="252" w:lineRule="auto"/>
            </w:pPr>
            <w:r>
              <w:rPr>
                <w:rFonts w:ascii="Calibri" w:hAnsi="Calibri"/>
                <w:b w:val="0"/>
                <w:i w:val="0"/>
                <w:color w:val="24272A"/>
                <w:sz w:val="17"/>
              </w:rPr>
              <w:t>Global catalog and global prices.</w:t>
            </w:r>
          </w:p>
        </w:tc>
        <w:tc>
          <w:tcPr>
            <w:tcW w:type="dxa" w:w="4360"/>
            <w:tcMar>
              <w:top w:w="80" w:type="dxa"/>
              <w:start w:w="120" w:type="dxa"/>
              <w:bottom w:w="80" w:type="dxa"/>
              <w:end w:w="120" w:type="dxa"/>
            </w:tcMar>
            <w:vAlign w:val="center"/>
          </w:tcPr>
          <w:p>
            <w:pPr>
              <w:spacing w:after="0" w:line="252" w:lineRule="auto"/>
            </w:pPr>
            <w:r>
              <w:rPr>
                <w:rFonts w:ascii="Calibri" w:hAnsi="Calibri"/>
                <w:b w:val="0"/>
                <w:i w:val="0"/>
                <w:color w:val="24272A"/>
                <w:sz w:val="17"/>
              </w:rPr>
              <w:t>Simplifies reporting and administration; all stores see price changes after cache invalidation.</w:t>
            </w:r>
          </w:p>
        </w:tc>
      </w:tr>
      <w:tr>
        <w:trPr>
          <w:cantSplit w:val="true"/>
        </w:trPr>
        <w:tc>
          <w:tcPr>
            <w:tcW w:type="dxa" w:w="1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RISK-01</w:t>
            </w:r>
          </w:p>
        </w:tc>
        <w:tc>
          <w:tcPr>
            <w:tcW w:type="dxa" w:w="39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K-Bank ECR and PSP contracts may differ from assumptions.</w:t>
            </w:r>
          </w:p>
        </w:tc>
        <w:tc>
          <w:tcPr>
            <w:tcW w:type="dxa" w:w="43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Keep provider adapter interfaces and finalize details only after bank documentation and certification.</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b w:val="0"/>
                <w:i w:val="0"/>
                <w:color w:val="24272A"/>
                <w:sz w:val="17"/>
              </w:rPr>
              <w:t>RISK-02</w:t>
            </w:r>
          </w:p>
        </w:tc>
        <w:tc>
          <w:tcPr>
            <w:tcW w:type="dxa" w:w="3900"/>
            <w:tcMar>
              <w:top w:w="80" w:type="dxa"/>
              <w:start w:w="120" w:type="dxa"/>
              <w:bottom w:w="80" w:type="dxa"/>
              <w:end w:w="120" w:type="dxa"/>
            </w:tcMar>
            <w:vAlign w:val="center"/>
          </w:tcPr>
          <w:p>
            <w:pPr>
              <w:spacing w:after="0" w:line="252" w:lineRule="auto"/>
            </w:pPr>
            <w:r>
              <w:rPr>
                <w:rFonts w:ascii="Calibri" w:hAnsi="Calibri"/>
                <w:b w:val="0"/>
                <w:i w:val="0"/>
                <w:color w:val="24272A"/>
                <w:sz w:val="17"/>
              </w:rPr>
              <w:t>Peripheral Gateway increases endpoint operational burden.</w:t>
            </w:r>
          </w:p>
        </w:tc>
        <w:tc>
          <w:tcPr>
            <w:tcW w:type="dxa" w:w="4360"/>
            <w:tcMar>
              <w:top w:w="80" w:type="dxa"/>
              <w:start w:w="120" w:type="dxa"/>
              <w:bottom w:w="80" w:type="dxa"/>
              <w:end w:w="120" w:type="dxa"/>
            </w:tcMar>
            <w:vAlign w:val="center"/>
          </w:tcPr>
          <w:p>
            <w:pPr>
              <w:spacing w:after="0" w:line="252" w:lineRule="auto"/>
            </w:pPr>
            <w:r>
              <w:rPr>
                <w:rFonts w:ascii="Calibri" w:hAnsi="Calibri"/>
                <w:b w:val="0"/>
                <w:i w:val="0"/>
                <w:color w:val="24272A"/>
                <w:sz w:val="17"/>
              </w:rPr>
              <w:t>Signed installers, auto-update, health checks, terminal certificates, and restricted commands.</w:t>
            </w:r>
          </w:p>
        </w:tc>
      </w:tr>
      <w:tr>
        <w:trPr>
          <w:cantSplit w:val="true"/>
        </w:trPr>
        <w:tc>
          <w:tcPr>
            <w:tcW w:type="dxa" w:w="11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RISK-03</w:t>
            </w:r>
          </w:p>
        </w:tc>
        <w:tc>
          <w:tcPr>
            <w:tcW w:type="dxa" w:w="39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At-least-once delivery may duplicate events.</w:t>
            </w:r>
          </w:p>
        </w:tc>
        <w:tc>
          <w:tcPr>
            <w:tcW w:type="dxa" w:w="43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7"/>
              </w:rPr>
              <w:t>Stable event IDs, publisher confirms, and idempotent Inventory Service consumption.</w:t>
            </w:r>
          </w:p>
        </w:tc>
      </w:tr>
      <w:tr>
        <w:trPr>
          <w:cantSplit w:val="true"/>
        </w:trPr>
        <w:tc>
          <w:tcPr>
            <w:tcW w:type="dxa" w:w="1100"/>
            <w:tcMar>
              <w:top w:w="80" w:type="dxa"/>
              <w:start w:w="120" w:type="dxa"/>
              <w:bottom w:w="80" w:type="dxa"/>
              <w:end w:w="120" w:type="dxa"/>
            </w:tcMar>
            <w:vAlign w:val="center"/>
          </w:tcPr>
          <w:p>
            <w:pPr>
              <w:spacing w:after="0" w:line="252" w:lineRule="auto"/>
            </w:pPr>
            <w:r>
              <w:rPr>
                <w:rFonts w:ascii="Calibri" w:hAnsi="Calibri"/>
                <w:b w:val="0"/>
                <w:i w:val="0"/>
                <w:color w:val="24272A"/>
                <w:sz w:val="17"/>
              </w:rPr>
              <w:t>RISK-04</w:t>
            </w:r>
          </w:p>
        </w:tc>
        <w:tc>
          <w:tcPr>
            <w:tcW w:type="dxa" w:w="3900"/>
            <w:tcMar>
              <w:top w:w="80" w:type="dxa"/>
              <w:start w:w="120" w:type="dxa"/>
              <w:bottom w:w="80" w:type="dxa"/>
              <w:end w:w="120" w:type="dxa"/>
            </w:tcMar>
            <w:vAlign w:val="center"/>
          </w:tcPr>
          <w:p>
            <w:pPr>
              <w:spacing w:after="0" w:line="252" w:lineRule="auto"/>
            </w:pPr>
            <w:r>
              <w:rPr>
                <w:rFonts w:ascii="Calibri" w:hAnsi="Calibri"/>
                <w:b w:val="0"/>
                <w:i w:val="0"/>
                <w:color w:val="24272A"/>
                <w:sz w:val="17"/>
              </w:rPr>
              <w:t>Cloud backend outage stops checkout.</w:t>
            </w:r>
          </w:p>
        </w:tc>
        <w:tc>
          <w:tcPr>
            <w:tcW w:type="dxa" w:w="4360"/>
            <w:tcMar>
              <w:top w:w="80" w:type="dxa"/>
              <w:start w:w="120" w:type="dxa"/>
              <w:bottom w:w="80" w:type="dxa"/>
              <w:end w:w="120" w:type="dxa"/>
            </w:tcMar>
            <w:vAlign w:val="center"/>
          </w:tcPr>
          <w:p>
            <w:pPr>
              <w:spacing w:after="0" w:line="252" w:lineRule="auto"/>
            </w:pPr>
            <w:r>
              <w:rPr>
                <w:rFonts w:ascii="Calibri" w:hAnsi="Calibri"/>
                <w:b w:val="0"/>
                <w:i w:val="0"/>
                <w:color w:val="24272A"/>
                <w:sz w:val="17"/>
              </w:rPr>
              <w:t>HA database, autoscaled API, monitoring, documented recovery, and clear store communication.</w:t>
            </w:r>
          </w:p>
        </w:tc>
      </w:tr>
    </w:tbl>
    <w:p>
      <w:pPr>
        <w:spacing w:after="40"/>
      </w:pPr>
    </w:p>
    <w:p>
      <w:pPr>
        <w:pStyle w:val="Heading1"/>
        <w:keepNext/>
      </w:pPr>
      <w:r>
        <w:t>17. Required Upstream SRS Amendments</w:t>
      </w:r>
    </w:p>
    <w:tbl>
      <w:tblPr>
        <w:tblW w:type="dxa" w:w="9360"/>
        <w:jc w:val="left"/>
        <w:tblLayout w:type="fixed"/>
        <w:tblLook w:firstColumn="1" w:firstRow="1" w:lastColumn="0" w:lastRow="0" w:noHBand="0" w:noVBand="1" w:val="04A0"/>
        <w:tblInd w:w="120" w:type="dxa"/>
        <w:tblBorders>
          <w:top w:val="single" w:sz="10" w:color="B42318"/>
          <w:left w:val="single" w:sz="10" w:color="B42318"/>
          <w:bottom w:val="single" w:sz="10" w:color="B42318"/>
          <w:right w:val="single" w:sz="10" w:color="B42318"/>
          <w:insideH w:val="single" w:sz="10" w:color="B42318"/>
          <w:insideV w:val="single" w:sz="10" w:color="B42318"/>
        </w:tblBorders>
      </w:tblPr>
      <w:tblGrid>
        <w:gridCol w:w="9360"/>
      </w:tblGrid>
      <w:tr>
        <w:tc>
          <w:tcPr>
            <w:tcW w:type="dxa" w:w="9360"/>
            <w:tcMar>
              <w:top w:w="80" w:type="dxa"/>
              <w:start w:w="120" w:type="dxa"/>
              <w:bottom w:w="80" w:type="dxa"/>
              <w:end w:w="120" w:type="dxa"/>
            </w:tcMar>
            <w:vAlign w:val="center"/>
            <w:shd w:fill="FFF8DA"/>
          </w:tcPr>
          <w:p>
            <w:pPr>
              <w:spacing w:after="60"/>
            </w:pPr>
            <w:r>
              <w:rPr>
                <w:rFonts w:ascii="Calibri" w:hAnsi="Calibri"/>
                <w:b/>
                <w:i w:val="0"/>
                <w:color w:val="B42318"/>
                <w:sz w:val="22"/>
              </w:rPr>
              <w:t xml:space="preserve">Traceability warning: </w:t>
            </w:r>
            <w:r>
              <w:rPr>
                <w:rFonts w:ascii="Calibri" w:hAnsi="Calibri"/>
                <w:b w:val="0"/>
                <w:i w:val="0"/>
                <w:color w:val="24272A"/>
                <w:sz w:val="22"/>
              </w:rPr>
              <w:t>The decisions approved after the original traceability matrix introduce behavior not yet numbered in the SRS. Add the following draft requirements before baselining this SDS and regenerate the requirements-to-features matrix.</w:t>
            </w:r>
          </w:p>
        </w:tc>
      </w:tr>
    </w:tbl>
    <w:p>
      <w:pPr>
        <w:spacing w:after="40"/>
      </w:pPr>
    </w:p>
    <w:tbl>
      <w:tblPr>
        <w:tblW w:type="dxa" w:w="9360"/>
        <w:tblLayout w:type="fixed"/>
        <w:tblLook w:firstColumn="1" w:firstRow="1" w:lastColumn="0" w:lastRow="0" w:noHBand="0" w:noVBand="1" w:val="04A0"/>
        <w:jc w:val="left"/>
        <w:tblInd w:w="120" w:type="dxa"/>
        <w:tblBorders>
          <w:top w:val="single" w:sz="6" w:color="D9DDE1"/>
          <w:left w:val="single" w:sz="6" w:color="D9DDE1"/>
          <w:bottom w:val="single" w:sz="6" w:color="D9DDE1"/>
          <w:right w:val="single" w:sz="6" w:color="D9DDE1"/>
          <w:insideH w:val="single" w:sz="6" w:color="D9DDE1"/>
          <w:insideV w:val="single" w:sz="6" w:color="D9DDE1"/>
        </w:tblBorders>
      </w:tblPr>
      <w:tblGrid>
        <w:gridCol w:w="1300"/>
        <w:gridCol w:w="6500"/>
        <w:gridCol w:w="1560"/>
      </w:tblGrid>
      <w:tr>
        <w:trPr>
          <w:tblHeader w:val="true"/>
          <w:cantSplit w:val="true"/>
        </w:trPr>
        <w:tc>
          <w:tcPr>
            <w:tcW w:type="dxa" w:w="1300"/>
            <w:tcMar>
              <w:top w:w="80" w:type="dxa"/>
              <w:start w:w="120" w:type="dxa"/>
              <w:bottom w:w="80" w:type="dxa"/>
              <w:end w:w="120" w:type="dxa"/>
            </w:tcMar>
            <w:vAlign w:val="center"/>
            <w:shd w:fill="FFC72C"/>
          </w:tcPr>
          <w:p>
            <w:pPr>
              <w:spacing w:after="0"/>
              <w:jc w:val="left"/>
            </w:pPr>
            <w:r>
              <w:rPr>
                <w:rFonts w:ascii="Calibri" w:hAnsi="Calibri"/>
                <w:b/>
                <w:i w:val="0"/>
                <w:color w:val="24272A"/>
                <w:sz w:val="16"/>
              </w:rPr>
              <w:t>Proposed ID</w:t>
            </w:r>
          </w:p>
        </w:tc>
        <w:tc>
          <w:tcPr>
            <w:tcW w:type="dxa" w:w="6500"/>
            <w:tcMar>
              <w:top w:w="80" w:type="dxa"/>
              <w:start w:w="120" w:type="dxa"/>
              <w:bottom w:w="80" w:type="dxa"/>
              <w:end w:w="120" w:type="dxa"/>
            </w:tcMar>
            <w:vAlign w:val="center"/>
            <w:shd w:fill="FFC72C"/>
          </w:tcPr>
          <w:p>
            <w:pPr>
              <w:spacing w:after="0"/>
              <w:jc w:val="left"/>
            </w:pPr>
            <w:r>
              <w:rPr>
                <w:rFonts w:ascii="Calibri" w:hAnsi="Calibri"/>
                <w:b/>
                <w:i w:val="0"/>
                <w:color w:val="24272A"/>
                <w:sz w:val="16"/>
              </w:rPr>
              <w:t>Proposed requirement</w:t>
            </w:r>
          </w:p>
        </w:tc>
        <w:tc>
          <w:tcPr>
            <w:tcW w:type="dxa" w:w="1560"/>
            <w:tcMar>
              <w:top w:w="80" w:type="dxa"/>
              <w:start w:w="120" w:type="dxa"/>
              <w:bottom w:w="80" w:type="dxa"/>
              <w:end w:w="120" w:type="dxa"/>
            </w:tcMar>
            <w:vAlign w:val="center"/>
            <w:shd w:fill="FFC72C"/>
          </w:tcPr>
          <w:p>
            <w:pPr>
              <w:spacing w:after="0"/>
              <w:jc w:val="left"/>
            </w:pPr>
            <w:r>
              <w:rPr>
                <w:rFonts w:ascii="Calibri" w:hAnsi="Calibri"/>
                <w:b/>
                <w:i w:val="0"/>
                <w:color w:val="24272A"/>
                <w:sz w:val="16"/>
              </w:rPr>
              <w:t>Feature</w:t>
            </w:r>
          </w:p>
        </w:tc>
      </w:tr>
      <w:tr>
        <w:trPr>
          <w:cantSplit w:val="true"/>
        </w:trPr>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24272A"/>
                <w:sz w:val="16"/>
              </w:rPr>
              <w:t>FR-039</w:t>
            </w:r>
          </w:p>
        </w:tc>
        <w:tc>
          <w:tcPr>
            <w:tcW w:type="dxa" w:w="6500"/>
            <w:tcMar>
              <w:top w:w="80" w:type="dxa"/>
              <w:start w:w="120" w:type="dxa"/>
              <w:bottom w:w="80" w:type="dxa"/>
              <w:end w:w="120" w:type="dxa"/>
            </w:tcMar>
            <w:vAlign w:val="center"/>
          </w:tcPr>
          <w:p>
            <w:pPr>
              <w:spacing w:after="0" w:line="252" w:lineRule="auto"/>
            </w:pPr>
            <w:r>
              <w:rPr>
                <w:rFonts w:ascii="Calibri" w:hAnsi="Calibri"/>
                <w:b w:val="0"/>
                <w:i w:val="0"/>
                <w:color w:val="24272A"/>
                <w:sz w:val="16"/>
              </w:rPr>
              <w:t>The system shall allow an Administrator to create and deactivate user accounts.</w:t>
            </w:r>
          </w:p>
        </w:tc>
        <w:tc>
          <w:tcPr>
            <w:tcW w:type="dxa" w:w="156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Feature-S</w:t>
            </w:r>
          </w:p>
        </w:tc>
      </w:tr>
      <w:tr>
        <w:trPr>
          <w:cantSplit w:val="true"/>
        </w:trPr>
        <w:tc>
          <w:tcPr>
            <w:tcW w:type="dxa" w:w="13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FR-040</w:t>
            </w:r>
          </w:p>
        </w:tc>
        <w:tc>
          <w:tcPr>
            <w:tcW w:type="dxa" w:w="65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The system shall allow an Administrator to assign roles and permitted stores to users.</w:t>
            </w:r>
          </w:p>
        </w:tc>
        <w:tc>
          <w:tcPr>
            <w:tcW w:type="dxa" w:w="15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Feature-S / Feature-A</w:t>
            </w:r>
          </w:p>
        </w:tc>
      </w:tr>
      <w:tr>
        <w:trPr>
          <w:cantSplit w:val="true"/>
        </w:trPr>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24272A"/>
                <w:sz w:val="16"/>
              </w:rPr>
              <w:t>FR-041</w:t>
            </w:r>
          </w:p>
        </w:tc>
        <w:tc>
          <w:tcPr>
            <w:tcW w:type="dxa" w:w="6500"/>
            <w:tcMar>
              <w:top w:w="80" w:type="dxa"/>
              <w:start w:w="120" w:type="dxa"/>
              <w:bottom w:w="80" w:type="dxa"/>
              <w:end w:w="120" w:type="dxa"/>
            </w:tcMar>
            <w:vAlign w:val="center"/>
          </w:tcPr>
          <w:p>
            <w:pPr>
              <w:spacing w:after="0" w:line="252" w:lineRule="auto"/>
            </w:pPr>
            <w:r>
              <w:rPr>
                <w:rFonts w:ascii="Calibri" w:hAnsi="Calibri"/>
                <w:b w:val="0"/>
                <w:i w:val="0"/>
                <w:color w:val="24272A"/>
                <w:sz w:val="16"/>
              </w:rPr>
              <w:t>The system shall allow an Administrator to create, update, and deactivate stores.</w:t>
            </w:r>
          </w:p>
        </w:tc>
        <w:tc>
          <w:tcPr>
            <w:tcW w:type="dxa" w:w="156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Feature-S / Feature-B</w:t>
            </w:r>
          </w:p>
        </w:tc>
      </w:tr>
      <w:tr>
        <w:trPr>
          <w:cantSplit w:val="true"/>
        </w:trPr>
        <w:tc>
          <w:tcPr>
            <w:tcW w:type="dxa" w:w="13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FR-042</w:t>
            </w:r>
          </w:p>
        </w:tc>
        <w:tc>
          <w:tcPr>
            <w:tcW w:type="dxa" w:w="65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The system shall allow an Administrator to register, activate, and deactivate POS terminals for a store.</w:t>
            </w:r>
          </w:p>
        </w:tc>
        <w:tc>
          <w:tcPr>
            <w:tcW w:type="dxa" w:w="15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Feature-S / Feature-B</w:t>
            </w:r>
          </w:p>
        </w:tc>
      </w:tr>
      <w:tr>
        <w:trPr>
          <w:cantSplit w:val="true"/>
        </w:trPr>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24272A"/>
                <w:sz w:val="16"/>
              </w:rPr>
              <w:t>FR-043</w:t>
            </w:r>
          </w:p>
        </w:tc>
        <w:tc>
          <w:tcPr>
            <w:tcW w:type="dxa" w:w="6500"/>
            <w:tcMar>
              <w:top w:w="80" w:type="dxa"/>
              <w:start w:w="120" w:type="dxa"/>
              <w:bottom w:w="80" w:type="dxa"/>
              <w:end w:w="120" w:type="dxa"/>
            </w:tcMar>
            <w:vAlign w:val="center"/>
          </w:tcPr>
          <w:p>
            <w:pPr>
              <w:spacing w:after="0" w:line="252" w:lineRule="auto"/>
            </w:pPr>
            <w:r>
              <w:rPr>
                <w:rFonts w:ascii="Calibri" w:hAnsi="Calibri"/>
                <w:b w:val="0"/>
                <w:i w:val="0"/>
                <w:color w:val="24272A"/>
                <w:sz w:val="16"/>
              </w:rPr>
              <w:t>The system shall allow a cashier to add a product by barcode scan, manual barcode entry, or search by product code or name.</w:t>
            </w:r>
          </w:p>
        </w:tc>
        <w:tc>
          <w:tcPr>
            <w:tcW w:type="dxa" w:w="156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Feature-E</w:t>
            </w:r>
          </w:p>
        </w:tc>
      </w:tr>
      <w:tr>
        <w:trPr>
          <w:cantSplit w:val="true"/>
        </w:trPr>
        <w:tc>
          <w:tcPr>
            <w:tcW w:type="dxa" w:w="13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BR-021</w:t>
            </w:r>
          </w:p>
        </w:tc>
        <w:tc>
          <w:tcPr>
            <w:tcW w:type="dxa" w:w="65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The product catalog and selling price of each product shall be global and shall apply to all stores.</w:t>
            </w:r>
          </w:p>
        </w:tc>
        <w:tc>
          <w:tcPr>
            <w:tcW w:type="dxa" w:w="15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Feature-C</w:t>
            </w:r>
          </w:p>
        </w:tc>
      </w:tr>
      <w:tr>
        <w:trPr>
          <w:cantSplit w:val="true"/>
        </w:trPr>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24272A"/>
                <w:sz w:val="16"/>
              </w:rPr>
              <w:t>NFR-012</w:t>
            </w:r>
          </w:p>
        </w:tc>
        <w:tc>
          <w:tcPr>
            <w:tcW w:type="dxa" w:w="6500"/>
            <w:tcMar>
              <w:top w:w="80" w:type="dxa"/>
              <w:start w:w="120" w:type="dxa"/>
              <w:bottom w:w="80" w:type="dxa"/>
              <w:end w:w="120" w:type="dxa"/>
            </w:tcMar>
            <w:vAlign w:val="center"/>
          </w:tcPr>
          <w:p>
            <w:pPr>
              <w:spacing w:after="0" w:line="252" w:lineRule="auto"/>
            </w:pPr>
            <w:r>
              <w:rPr>
                <w:rFonts w:ascii="Calibri" w:hAnsi="Calibri"/>
                <w:b w:val="0"/>
                <w:i w:val="0"/>
                <w:color w:val="24272A"/>
                <w:sz w:val="16"/>
              </w:rPr>
              <w:t>A terminal shall require connectivity to the Kaching backend to start or complete a sale; offline sales are not supported.</w:t>
            </w:r>
          </w:p>
        </w:tc>
        <w:tc>
          <w:tcPr>
            <w:tcW w:type="dxa" w:w="1560"/>
            <w:tcMar>
              <w:top w:w="80" w:type="dxa"/>
              <w:start w:w="120" w:type="dxa"/>
              <w:bottom w:w="80" w:type="dxa"/>
              <w:end w:w="120" w:type="dxa"/>
            </w:tcMar>
            <w:vAlign w:val="center"/>
          </w:tcPr>
          <w:p>
            <w:pPr>
              <w:spacing w:after="0" w:line="252" w:lineRule="auto"/>
            </w:pPr>
            <w:r>
              <w:rPr>
                <w:rFonts w:ascii="Calibri" w:hAnsi="Calibri"/>
                <w:b w:val="0"/>
                <w:i w:val="0"/>
                <w:color w:val="24272A"/>
                <w:sz w:val="16"/>
              </w:rPr>
              <w:t>Feature-D / system constraint</w:t>
            </w:r>
          </w:p>
        </w:tc>
      </w:tr>
      <w:tr>
        <w:trPr>
          <w:cantSplit w:val="true"/>
        </w:trPr>
        <w:tc>
          <w:tcPr>
            <w:tcW w:type="dxa" w:w="13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NFR-013</w:t>
            </w:r>
          </w:p>
        </w:tc>
        <w:tc>
          <w:tcPr>
            <w:tcW w:type="dxa" w:w="65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The system shall support 20 stores, 10 active terminals per store, 200 concurrent users, and at least 20 completed sales per second.</w:t>
            </w:r>
          </w:p>
        </w:tc>
        <w:tc>
          <w:tcPr>
            <w:tcW w:type="dxa" w:w="15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Cross-cutting</w:t>
            </w:r>
          </w:p>
        </w:tc>
      </w:tr>
      <w:tr>
        <w:trPr>
          <w:cantSplit w:val="true"/>
        </w:trPr>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24272A"/>
                <w:sz w:val="16"/>
              </w:rPr>
              <w:t>NFR-014</w:t>
            </w:r>
          </w:p>
        </w:tc>
        <w:tc>
          <w:tcPr>
            <w:tcW w:type="dxa" w:w="6500"/>
            <w:tcMar>
              <w:top w:w="80" w:type="dxa"/>
              <w:start w:w="120" w:type="dxa"/>
              <w:bottom w:w="80" w:type="dxa"/>
              <w:end w:w="120" w:type="dxa"/>
            </w:tcMar>
            <w:vAlign w:val="center"/>
          </w:tcPr>
          <w:p>
            <w:pPr>
              <w:spacing w:after="0" w:line="252" w:lineRule="auto"/>
            </w:pPr>
            <w:r>
              <w:rPr>
                <w:rFonts w:ascii="Calibri" w:hAnsi="Calibri"/>
                <w:b w:val="0"/>
                <w:i w:val="0"/>
                <w:color w:val="24272A"/>
                <w:sz w:val="16"/>
              </w:rPr>
              <w:t>The Kaching backend shall provide 99.5 percent monthly availability.</w:t>
            </w:r>
          </w:p>
        </w:tc>
        <w:tc>
          <w:tcPr>
            <w:tcW w:type="dxa" w:w="1560"/>
            <w:tcMar>
              <w:top w:w="80" w:type="dxa"/>
              <w:start w:w="120" w:type="dxa"/>
              <w:bottom w:w="80" w:type="dxa"/>
              <w:end w:w="120" w:type="dxa"/>
            </w:tcMar>
            <w:vAlign w:val="center"/>
          </w:tcPr>
          <w:p>
            <w:pPr>
              <w:spacing w:after="0" w:line="252" w:lineRule="auto"/>
            </w:pPr>
            <w:r>
              <w:rPr>
                <w:rFonts w:ascii="Calibri" w:hAnsi="Calibri"/>
                <w:b w:val="0"/>
                <w:i w:val="0"/>
                <w:color w:val="24272A"/>
                <w:sz w:val="16"/>
              </w:rPr>
              <w:t>Cross-cutting</w:t>
            </w:r>
          </w:p>
        </w:tc>
      </w:tr>
      <w:tr>
        <w:trPr>
          <w:cantSplit w:val="true"/>
        </w:trPr>
        <w:tc>
          <w:tcPr>
            <w:tcW w:type="dxa" w:w="13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NFR-015</w:t>
            </w:r>
          </w:p>
        </w:tc>
        <w:tc>
          <w:tcPr>
            <w:tcW w:type="dxa" w:w="650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The production service shall meet an RPO of 15 minutes and an RTO of 4 hours.</w:t>
            </w:r>
          </w:p>
        </w:tc>
        <w:tc>
          <w:tcPr>
            <w:tcW w:type="dxa" w:w="1560"/>
            <w:shd w:fill="FAFAFA"/>
            <w:tcMar>
              <w:top w:w="80" w:type="dxa"/>
              <w:start w:w="120" w:type="dxa"/>
              <w:bottom w:w="80" w:type="dxa"/>
              <w:end w:w="120" w:type="dxa"/>
            </w:tcMar>
            <w:vAlign w:val="center"/>
          </w:tcPr>
          <w:p>
            <w:pPr>
              <w:spacing w:after="0" w:line="252" w:lineRule="auto"/>
            </w:pPr>
            <w:r>
              <w:rPr>
                <w:rFonts w:ascii="Calibri" w:hAnsi="Calibri"/>
                <w:b w:val="0"/>
                <w:i w:val="0"/>
                <w:color w:val="24272A"/>
                <w:sz w:val="16"/>
              </w:rPr>
              <w:t>Cross-cutting</w:t>
            </w:r>
          </w:p>
        </w:tc>
      </w:tr>
      <w:tr>
        <w:trPr>
          <w:cantSplit w:val="true"/>
        </w:trPr>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24272A"/>
                <w:sz w:val="16"/>
              </w:rPr>
              <w:t>NFR-016</w:t>
            </w:r>
          </w:p>
        </w:tc>
        <w:tc>
          <w:tcPr>
            <w:tcW w:type="dxa" w:w="6500"/>
            <w:tcMar>
              <w:top w:w="80" w:type="dxa"/>
              <w:start w:w="120" w:type="dxa"/>
              <w:bottom w:w="80" w:type="dxa"/>
              <w:end w:w="120" w:type="dxa"/>
            </w:tcMar>
            <w:vAlign w:val="center"/>
          </w:tcPr>
          <w:p>
            <w:pPr>
              <w:spacing w:after="0" w:line="252" w:lineRule="auto"/>
            </w:pPr>
            <w:r>
              <w:rPr>
                <w:rFonts w:ascii="Calibri" w:hAnsi="Calibri"/>
                <w:b w:val="0"/>
                <w:i w:val="0"/>
                <w:color w:val="24272A"/>
                <w:sz w:val="16"/>
              </w:rPr>
              <w:t>The English-only user interface shall support desktop and touchscreen use at 1280 x 720 or higher and meet WCAG 2.1 AA color contrast.</w:t>
            </w:r>
          </w:p>
        </w:tc>
        <w:tc>
          <w:tcPr>
            <w:tcW w:type="dxa" w:w="1560"/>
            <w:tcMar>
              <w:top w:w="80" w:type="dxa"/>
              <w:start w:w="120" w:type="dxa"/>
              <w:bottom w:w="80" w:type="dxa"/>
              <w:end w:w="120" w:type="dxa"/>
            </w:tcMar>
            <w:vAlign w:val="center"/>
          </w:tcPr>
          <w:p>
            <w:pPr>
              <w:spacing w:after="0" w:line="252" w:lineRule="auto"/>
            </w:pPr>
            <w:r>
              <w:rPr>
                <w:rFonts w:ascii="Calibri" w:hAnsi="Calibri"/>
                <w:b w:val="0"/>
                <w:i w:val="0"/>
                <w:color w:val="24272A"/>
                <w:sz w:val="16"/>
              </w:rPr>
              <w:t>Cross-cutting UI</w:t>
            </w:r>
          </w:p>
        </w:tc>
      </w:tr>
    </w:tbl>
    <w:p>
      <w:pPr>
        <w:spacing w:after="40"/>
      </w:pPr>
    </w:p>
    <w:p>
      <w:pPr>
        <w:pStyle w:val="Heading1"/>
        <w:keepNext/>
      </w:pPr>
      <w:r>
        <w:t>18. References</w:t>
      </w:r>
    </w:p>
    <w:p>
      <w:pPr>
        <w:spacing w:after="160"/>
      </w:pPr>
      <w:r>
        <w:rPr>
          <w:rFonts w:ascii="Calibri" w:hAnsi="Calibri"/>
          <w:b/>
          <w:i w:val="0"/>
          <w:color w:val="B33100"/>
          <w:sz w:val="22"/>
        </w:rPr>
        <w:t xml:space="preserve">[1] </w:t>
      </w:r>
      <w:hyperlink r:id="rId13">
        <w:r>
          <w:rPr>
            <w:color w:val="B33100"/>
            <w:u w:val="single"/>
          </w:rPr>
          <w:t>KMUTT Corporate Identity: official website and application colors.</w:t>
        </w:r>
      </w:hyperlink>
    </w:p>
    <w:p>
      <w:pPr>
        <w:spacing w:after="160"/>
      </w:pPr>
      <w:r>
        <w:rPr>
          <w:rFonts w:ascii="Calibri" w:hAnsi="Calibri"/>
          <w:b/>
          <w:i w:val="0"/>
          <w:color w:val="B33100"/>
          <w:sz w:val="22"/>
        </w:rPr>
        <w:t xml:space="preserve">[2] </w:t>
      </w:r>
      <w:hyperlink r:id="rId14">
        <w:r>
          <w:rPr>
            <w:color w:val="B33100"/>
            <w:u w:val="single"/>
          </w:rPr>
          <w:t>Google Cloud Run overview: managed container application platform.</w:t>
        </w:r>
      </w:hyperlink>
    </w:p>
    <w:p>
      <w:pPr>
        <w:spacing w:after="160"/>
      </w:pPr>
      <w:r>
        <w:rPr>
          <w:rFonts w:ascii="Calibri" w:hAnsi="Calibri"/>
          <w:b/>
          <w:i w:val="0"/>
          <w:color w:val="B33100"/>
          <w:sz w:val="22"/>
        </w:rPr>
        <w:t xml:space="preserve">[3] </w:t>
      </w:r>
      <w:hyperlink r:id="rId15">
        <w:r>
          <w:rPr>
            <w:color w:val="B33100"/>
            <w:u w:val="single"/>
          </w:rPr>
          <w:t>Google Cloud SQL for PostgreSQL documentation and backup/recovery guidance.</w:t>
        </w:r>
      </w:hyperlink>
    </w:p>
    <w:p>
      <w:pPr>
        <w:spacing w:after="160"/>
      </w:pPr>
      <w:r>
        <w:rPr>
          <w:rFonts w:ascii="Calibri" w:hAnsi="Calibri"/>
          <w:b/>
          <w:i w:val="0"/>
          <w:color w:val="B33100"/>
          <w:sz w:val="22"/>
        </w:rPr>
        <w:t xml:space="preserve">[4] </w:t>
      </w:r>
      <w:hyperlink r:id="rId16">
        <w:r>
          <w:rPr>
            <w:color w:val="B33100"/>
            <w:u w:val="single"/>
          </w:rPr>
          <w:t>RabbitMQ documentation: publisher confirms, consumer acknowledgements, and durable queues.</w:t>
        </w:r>
      </w:hyperlink>
    </w:p>
    <w:p>
      <w:pPr>
        <w:spacing w:after="160"/>
      </w:pPr>
      <w:r>
        <w:rPr>
          <w:rFonts w:ascii="Calibri" w:hAnsi="Calibri"/>
          <w:b/>
          <w:i w:val="0"/>
          <w:color w:val="B33100"/>
          <w:sz w:val="22"/>
        </w:rPr>
        <w:t xml:space="preserve">[5] </w:t>
      </w:r>
      <w:hyperlink r:id="rId17">
        <w:r>
          <w:rPr>
            <w:color w:val="B33100"/>
            <w:u w:val="single"/>
          </w:rPr>
          <w:t>PCI Security Standards Council guidance on storage of sensitive authentication data.</w:t>
        </w:r>
      </w:hyperlink>
    </w:p>
    <w:p>
      <w:pPr>
        <w:keepNext w:val="0"/>
        <w:spacing w:before="360" w:after="120" w:line="264" w:lineRule="auto"/>
        <w:jc w:val="center"/>
      </w:pPr>
      <w:r>
        <w:rPr>
          <w:rFonts w:ascii="Calibri" w:hAnsi="Calibri"/>
          <w:b w:val="0"/>
          <w:i/>
          <w:color w:val="62676D"/>
          <w:sz w:val="18"/>
        </w:rPr>
        <w:t>End of document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2676D"/>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2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FA461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B331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5B60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kmutt.ac.th/en/corporate_identity/colors/" TargetMode="External"/><Relationship Id="rId14" Type="http://schemas.openxmlformats.org/officeDocument/2006/relationships/hyperlink" Target="https://docs.cloud.google.com/run/docs/overview/what-is-cloud-run" TargetMode="External"/><Relationship Id="rId15" Type="http://schemas.openxmlformats.org/officeDocument/2006/relationships/hyperlink" Target="https://docs.cloud.google.com/sql/docs/postgres/backup-recovery/backup-options" TargetMode="External"/><Relationship Id="rId16" Type="http://schemas.openxmlformats.org/officeDocument/2006/relationships/hyperlink" Target="https://www.rabbitmq.com/docs/next/confirms" TargetMode="External"/><Relationship Id="rId17" Type="http://schemas.openxmlformats.org/officeDocument/2006/relationships/hyperlink" Target="https://www.pcisecuritystandards.org/faq/articles/Frequently_Asked_Question/What-is-the-maximum-period-of-time-that-cardholder-data-can-be-sto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Kaching System-Level Software Design Specification</dc:title>
  <dc:subject>System-level SDS for the Kaching POS application</dc:subject>
  <dc:creator>[Student Name]</dc:creator>
  <cp:keywords>Kaching, POS, SDS, React, Express, PostgreSQL, Prisma, RabbitMQ, KMUTT</cp:keywords>
  <dc:description>Sample draft prepared for editing.</dc:description>
  <cp:lastModifiedBy/>
  <cp:revision>1</cp:revision>
  <dcterms:created xsi:type="dcterms:W3CDTF">2013-12-23T23:15:00Z</dcterms:created>
  <dcterms:modified xsi:type="dcterms:W3CDTF">2013-12-23T23:15:00Z</dcterms:modified>
  <cp:category/>
</cp:coreProperties>
</file>