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spacing w:after="120"/>
      </w:pPr>
      <w:r>
        <w:rPr>
          <w:rFonts w:ascii="Calibri" w:hAnsi="Calibri"/>
          <w:b/>
          <w:color w:val="1F497D"/>
          <w:sz w:val="52"/>
        </w:rPr>
        <w:t>SUPPLY CHAIN PERFORMANCE &amp; LATE DELIVERY RISK</w:t>
      </w:r>
    </w:p>
    <w:p>
      <w:pPr>
        <w:spacing w:after="800"/>
      </w:pPr>
      <w:r>
        <w:rPr>
          <w:rFonts w:ascii="Calibri" w:hAnsi="Calibri"/>
          <w:i/>
          <w:color w:val="595959"/>
          <w:sz w:val="28"/>
        </w:rPr>
        <w:t>Comprehensive Exploratory Data Analysis and Predictive Modeling</w:t>
      </w:r>
    </w:p>
    <w:p>
      <w:r>
        <w:rPr>
          <w:b/>
          <w:color w:val="E37222"/>
        </w:rPr>
        <w:t>―――――――――――――――――――――――――――――――――――――――――――――</w:t>
      </w:r>
    </w:p>
    <w:p>
      <w:pPr>
        <w:spacing w:before="4000"/>
      </w:pPr>
      <w:r>
        <w:rPr>
          <w:color w:val="7F7F7F"/>
          <w:sz w:val="20"/>
        </w:rPr>
        <w:t>Prepared for: Supply Chain Operations &amp; Logistics Management</w:t>
        <w:br/>
        <w:t>Prepared by: Advanced Analytics Division</w:t>
        <w:br/>
        <w:t>Status: Final Production Intelligence Report</w:t>
        <w:br/>
        <w:t>Date: June 2026</w:t>
      </w:r>
    </w:p>
    <w:p>
      <w:r>
        <w:br w:type="page"/>
      </w:r>
    </w:p>
    <w:p>
      <w:pPr>
        <w:pStyle w:val="Heading1"/>
        <w:spacing w:before="240" w:after="120"/>
      </w:pPr>
      <w:r>
        <w:t>1. Executive Summary &amp; Core KPIs</w:t>
      </w:r>
    </w:p>
    <w:p>
      <w:r>
        <w:rPr>
          <w:sz w:val="23"/>
        </w:rPr>
        <w:t>This data intelligence report delivers an end-to-end evaluation of order fulfillment cycles, operational efficiency, and financial risk mitigation within the global supply chain network. Utilizing historical logs from 172,765 validated fulfillments, this analysis isolates specific delivery latency drivers and establishes an enterprise-ready predictive model to safeguard customer fulfillment expectations.</w:t>
      </w:r>
    </w:p>
    <w:tbl>
      <w:tblPr>
        <w:tblW w:type="auto" w:w="0"/>
        <w:jc w:val="center"/>
        <w:tblLook w:firstColumn="1" w:firstRow="1" w:lastColumn="0" w:lastRow="0" w:noHBand="0" w:noVBand="1" w:val="04A0"/>
      </w:tblPr>
      <w:tblGrid>
        <w:gridCol w:w="4320"/>
        <w:gridCol w:w="4320"/>
      </w:tblGrid>
      <w:tr>
        <w:tc>
          <w:tcPr>
            <w:tcW w:type="dxa" w:w="4320"/>
            <w:shd w:fill="F2F2F2"/>
            <w:tcMar>
              <w:top w:w="120" w:type="dxa"/>
              <w:bottom w:w="120" w:type="dxa"/>
              <w:left w:w="150" w:type="dxa"/>
              <w:right w:w="150" w:type="dxa"/>
            </w:tcMar>
            <w:tcBorders>
              <w:bottom w:val="single" w:sz="4" w:space="0" w:color="D3D3D3"/>
            </w:tcBorders>
          </w:tcPr>
          <w:p>
            <w:r>
              <w:rPr>
                <w:b/>
                <w:color w:val="333333"/>
              </w:rPr>
              <w:t>Total Orders Evaluated</w:t>
            </w:r>
          </w:p>
        </w:tc>
        <w:tc>
          <w:tcPr>
            <w:tcW w:type="dxa" w:w="4320"/>
            <w:shd w:fill="D9E1F2"/>
            <w:tcMar>
              <w:top w:w="120" w:type="dxa"/>
              <w:bottom w:w="120" w:type="dxa"/>
              <w:left w:w="150" w:type="dxa"/>
              <w:right w:w="150" w:type="dxa"/>
            </w:tcMar>
            <w:tcBorders>
              <w:bottom w:val="single" w:sz="4" w:space="0" w:color="D3D3D3"/>
            </w:tcBorders>
          </w:tcPr>
          <w:p>
            <w:r>
              <w:rPr>
                <w:b/>
                <w:color w:val="E37222"/>
              </w:rPr>
              <w:t>172,765 units</w:t>
            </w:r>
          </w:p>
        </w:tc>
      </w:tr>
      <w:tr>
        <w:tc>
          <w:tcPr>
            <w:tcW w:type="dxa" w:w="4320"/>
            <w:shd w:fill="F2F2F2"/>
            <w:tcMar>
              <w:top w:w="120" w:type="dxa"/>
              <w:bottom w:w="120" w:type="dxa"/>
              <w:left w:w="150" w:type="dxa"/>
              <w:right w:w="150" w:type="dxa"/>
            </w:tcMar>
            <w:tcBorders>
              <w:bottom w:val="single" w:sz="4" w:space="0" w:color="D3D3D3"/>
            </w:tcBorders>
          </w:tcPr>
          <w:p>
            <w:r>
              <w:rPr>
                <w:b/>
                <w:color w:val="333333"/>
              </w:rPr>
              <w:t>Late Fulfillments Observed</w:t>
            </w:r>
          </w:p>
        </w:tc>
        <w:tc>
          <w:tcPr>
            <w:tcW w:type="dxa" w:w="4320"/>
            <w:shd w:fill="D9E1F2"/>
            <w:tcMar>
              <w:top w:w="120" w:type="dxa"/>
              <w:bottom w:w="120" w:type="dxa"/>
              <w:left w:w="150" w:type="dxa"/>
              <w:right w:w="150" w:type="dxa"/>
            </w:tcMar>
            <w:tcBorders>
              <w:bottom w:val="single" w:sz="4" w:space="0" w:color="D3D3D3"/>
            </w:tcBorders>
          </w:tcPr>
          <w:p>
            <w:r>
              <w:rPr>
                <w:b/>
                <w:color w:val="E37222"/>
              </w:rPr>
              <w:t>94,523 units</w:t>
            </w:r>
          </w:p>
        </w:tc>
      </w:tr>
      <w:tr>
        <w:tc>
          <w:tcPr>
            <w:tcW w:type="dxa" w:w="4320"/>
            <w:shd w:fill="F2F2F2"/>
            <w:tcMar>
              <w:top w:w="120" w:type="dxa"/>
              <w:bottom w:w="120" w:type="dxa"/>
              <w:left w:w="150" w:type="dxa"/>
              <w:right w:w="150" w:type="dxa"/>
            </w:tcMar>
            <w:tcBorders>
              <w:bottom w:val="single" w:sz="4" w:space="0" w:color="D3D3D3"/>
            </w:tcBorders>
          </w:tcPr>
          <w:p>
            <w:r>
              <w:rPr>
                <w:b/>
                <w:color w:val="333333"/>
              </w:rPr>
              <w:t>Baseline Late Delivery Rate</w:t>
            </w:r>
          </w:p>
        </w:tc>
        <w:tc>
          <w:tcPr>
            <w:tcW w:type="dxa" w:w="4320"/>
            <w:shd w:fill="D9E1F2"/>
            <w:tcMar>
              <w:top w:w="120" w:type="dxa"/>
              <w:bottom w:w="120" w:type="dxa"/>
              <w:left w:w="150" w:type="dxa"/>
              <w:right w:w="150" w:type="dxa"/>
            </w:tcMar>
            <w:tcBorders>
              <w:bottom w:val="single" w:sz="4" w:space="0" w:color="D3D3D3"/>
            </w:tcBorders>
          </w:tcPr>
          <w:p>
            <w:r>
              <w:rPr>
                <w:b/>
                <w:color w:val="E37222"/>
              </w:rPr>
              <w:t>54.71% (Critical Threshold)</w:t>
            </w:r>
          </w:p>
        </w:tc>
      </w:tr>
      <w:tr>
        <w:tc>
          <w:tcPr>
            <w:tcW w:type="dxa" w:w="4320"/>
            <w:shd w:fill="F2F2F2"/>
            <w:tcMar>
              <w:top w:w="120" w:type="dxa"/>
              <w:bottom w:w="120" w:type="dxa"/>
              <w:left w:w="150" w:type="dxa"/>
              <w:right w:w="150" w:type="dxa"/>
            </w:tcMar>
            <w:tcBorders>
              <w:bottom w:val="single" w:sz="4" w:space="0" w:color="D3D3D3"/>
            </w:tcBorders>
          </w:tcPr>
          <w:p>
            <w:r>
              <w:rPr>
                <w:b/>
                <w:color w:val="333333"/>
              </w:rPr>
              <w:t>Financial Backlash (Loss Exposure from Delays)</w:t>
            </w:r>
          </w:p>
        </w:tc>
        <w:tc>
          <w:tcPr>
            <w:tcW w:type="dxa" w:w="4320"/>
            <w:shd w:fill="D9E1F2"/>
            <w:tcMar>
              <w:top w:w="120" w:type="dxa"/>
              <w:bottom w:w="120" w:type="dxa"/>
              <w:left w:w="150" w:type="dxa"/>
              <w:right w:w="150" w:type="dxa"/>
            </w:tcMar>
            <w:tcBorders>
              <w:bottom w:val="single" w:sz="4" w:space="0" w:color="D3D3D3"/>
            </w:tcBorders>
          </w:tcPr>
          <w:p>
            <w:r>
              <w:rPr>
                <w:b/>
                <w:color w:val="E37222"/>
              </w:rPr>
              <w:t>2.1M $out of 7.5M$ Total Profit</w:t>
            </w:r>
          </w:p>
        </w:tc>
      </w:tr>
    </w:tbl>
    <w:p>
      <w:pPr>
        <w:spacing w:before="200"/>
      </w:pPr>
    </w:p>
    <w:p>
      <w:pPr>
        <w:pStyle w:val="Heading1"/>
      </w:pPr>
      <w:r>
        <w:t>2. Data Pipeline Auditing &amp; Quality Verification</w:t>
      </w:r>
    </w:p>
    <w:p>
      <w:r>
        <w:t>The raw asset ingested originally contained 180,519 observations distributed across 53 heterogeneous features. To establish a statistically strict environment, data cleansing protocols were systematically deployed:</w:t>
      </w:r>
    </w:p>
    <w:p>
      <w:pPr>
        <w:pStyle w:val="ListBullet"/>
      </w:pPr>
      <w:r>
        <w:rPr>
          <w:b/>
        </w:rPr>
        <w:t xml:space="preserve">Redundant Feature Extraction: </w:t>
      </w:r>
      <w:r>
        <w:t>Removed 33 non-contributing dimensions including transactional system identifiers (e.g., Order Id, Customer Id, Category Id, Product Image), redundant financial metrics (Benefit per order matches Order Profit Per Order), and high-cardinality localized vectors (Customer Street, Longitude, Latitude) to optimize feature spacing and remove data leakage risk.</w:t>
      </w:r>
    </w:p>
    <w:p>
      <w:pPr>
        <w:pStyle w:val="ListBullet"/>
      </w:pPr>
      <w:r>
        <w:rPr>
          <w:b/>
        </w:rPr>
        <w:t xml:space="preserve">Fulfillment Status Refinement: </w:t>
      </w:r>
      <w:r>
        <w:t>Filtered out orders flag-tagged as 'Shipping canceled'. This alignment screens out artificial delivery variances and leaves a targeted operational landscape of 172,765 active rows.</w:t>
      </w:r>
    </w:p>
    <w:p>
      <w:pPr>
        <w:pStyle w:val="ListBullet"/>
      </w:pPr>
      <w:r>
        <w:rPr>
          <w:b/>
        </w:rPr>
        <w:t xml:space="preserve">Date Standardization &amp; Field Extraction: </w:t>
      </w:r>
      <w:r>
        <w:t>Converted raw timestamps into datetime formats. Feature engineering extracted cyclical operational windows including 'order_month', 'order_day', and 'order_hour' to understand demand cadence.</w:t>
      </w:r>
    </w:p>
    <w:p>
      <w:pPr>
        <w:pStyle w:val="Heading1"/>
      </w:pPr>
      <w:r>
        <w:t>3. Operational Latency &amp; Profitability Breakdown</w:t>
      </w:r>
    </w:p>
    <w:p>
      <w:r>
        <w:t>Operational performance metrics were established by subtracting the scheduled delivery window from the true physical shipping timeline. In an optimal, just-in-time configuration, delay cycles should cluster around or below zero days. The verified baseline performance reveals a critical bottleneck:</w:t>
      </w:r>
    </w:p>
    <w:tbl>
      <w:tblPr>
        <w:tblW w:type="auto" w:w="0"/>
        <w:jc w:val="center"/>
        <w:tblLook w:firstColumn="1" w:firstRow="1" w:lastColumn="0" w:lastRow="0" w:noHBand="0" w:noVBand="1" w:val="04A0"/>
      </w:tblPr>
      <w:tblGrid>
        <w:gridCol w:w="2160"/>
        <w:gridCol w:w="2160"/>
        <w:gridCol w:w="2160"/>
        <w:gridCol w:w="2160"/>
      </w:tblGrid>
      <w:tr>
        <w:tc>
          <w:tcPr>
            <w:tcW w:type="dxa" w:w="2160"/>
            <w:shd w:fill="1F497D"/>
            <w:tcMar>
              <w:top w:w="120" w:type="dxa"/>
              <w:bottom w:w="120" w:type="dxa"/>
              <w:left w:w="120" w:type="dxa"/>
              <w:right w:w="120" w:type="dxa"/>
            </w:tcMar>
          </w:tcPr>
          <w:p>
            <w:pPr>
              <w:jc w:val="center"/>
            </w:pPr>
            <w:r>
              <w:rPr>
                <w:b/>
                <w:color w:val="FFFFFF"/>
                <w:sz w:val="20"/>
              </w:rPr>
              <w:t>Delay Dev (Days)</w:t>
            </w:r>
          </w:p>
        </w:tc>
        <w:tc>
          <w:tcPr>
            <w:tcW w:type="dxa" w:w="2160"/>
            <w:shd w:fill="1F497D"/>
            <w:tcMar>
              <w:top w:w="120" w:type="dxa"/>
              <w:bottom w:w="120" w:type="dxa"/>
              <w:left w:w="120" w:type="dxa"/>
              <w:right w:w="120" w:type="dxa"/>
            </w:tcMar>
          </w:tcPr>
          <w:p>
            <w:pPr>
              <w:jc w:val="center"/>
            </w:pPr>
            <w:r>
              <w:rPr>
                <w:b/>
                <w:color w:val="FFFFFF"/>
                <w:sz w:val="20"/>
              </w:rPr>
              <w:t>Mean Profit per Order</w:t>
            </w:r>
          </w:p>
        </w:tc>
        <w:tc>
          <w:tcPr>
            <w:tcW w:type="dxa" w:w="2160"/>
            <w:shd w:fill="1F497D"/>
            <w:tcMar>
              <w:top w:w="120" w:type="dxa"/>
              <w:bottom w:w="120" w:type="dxa"/>
              <w:left w:w="120" w:type="dxa"/>
              <w:right w:w="120" w:type="dxa"/>
            </w:tcMar>
          </w:tcPr>
          <w:p>
            <w:pPr>
              <w:jc w:val="center"/>
            </w:pPr>
            <w:r>
              <w:rPr>
                <w:b/>
                <w:color w:val="FFFFFF"/>
                <w:sz w:val="20"/>
              </w:rPr>
              <w:t>Aggregated Financial Return</w:t>
            </w:r>
          </w:p>
        </w:tc>
        <w:tc>
          <w:tcPr>
            <w:tcW w:type="dxa" w:w="2160"/>
            <w:shd w:fill="1F497D"/>
            <w:tcMar>
              <w:top w:w="120" w:type="dxa"/>
              <w:bottom w:w="120" w:type="dxa"/>
              <w:left w:w="120" w:type="dxa"/>
              <w:right w:w="120" w:type="dxa"/>
            </w:tcMar>
          </w:tcPr>
          <w:p>
            <w:pPr>
              <w:jc w:val="center"/>
            </w:pPr>
            <w:r>
              <w:rPr>
                <w:b/>
                <w:color w:val="FFFFFF"/>
                <w:sz w:val="20"/>
              </w:rPr>
              <w:t>Fulfillment Cohort Vol</w:t>
            </w:r>
          </w:p>
        </w:tc>
      </w:tr>
      <w:tr>
        <w:tc>
          <w:tcPr>
            <w:tcW w:type="dxa" w:w="2160"/>
            <w:shd w:fill="F2F2F2"/>
            <w:tcMar>
              <w:top w:w="100" w:type="dxa"/>
              <w:bottom w:w="100" w:type="dxa"/>
              <w:left w:w="120" w:type="dxa"/>
              <w:right w:w="120" w:type="dxa"/>
            </w:tcMar>
            <w:tcBorders>
              <w:bottom w:val="single" w:sz="4" w:space="0" w:color="D3D3D3"/>
            </w:tcBorders>
          </w:tcPr>
          <w:p>
            <w:pPr>
              <w:jc w:val="center"/>
            </w:pPr>
            <w:r>
              <w:t>-2 Days</w:t>
            </w:r>
          </w:p>
        </w:tc>
        <w:tc>
          <w:tcPr>
            <w:tcW w:type="dxa" w:w="2160"/>
            <w:shd w:fill="F2F2F2"/>
            <w:tcMar>
              <w:top w:w="100" w:type="dxa"/>
              <w:bottom w:w="100" w:type="dxa"/>
              <w:left w:w="120" w:type="dxa"/>
              <w:right w:w="120" w:type="dxa"/>
            </w:tcMar>
            <w:tcBorders>
              <w:bottom w:val="single" w:sz="4" w:space="0" w:color="D3D3D3"/>
            </w:tcBorders>
          </w:tcPr>
          <w:p>
            <w:pPr>
              <w:jc w:val="right"/>
            </w:pPr>
            <w:r>
              <w:t>23.36 $</w:t>
            </w:r>
          </w:p>
        </w:tc>
        <w:tc>
          <w:tcPr>
            <w:tcW w:type="dxa" w:w="2160"/>
            <w:shd w:fill="F2F2F2"/>
            <w:tcMar>
              <w:top w:w="100" w:type="dxa"/>
              <w:bottom w:w="100" w:type="dxa"/>
              <w:left w:w="120" w:type="dxa"/>
              <w:right w:w="120" w:type="dxa"/>
            </w:tcMar>
            <w:tcBorders>
              <w:bottom w:val="single" w:sz="4" w:space="0" w:color="D3D3D3"/>
            </w:tcBorders>
          </w:tcPr>
          <w:p>
            <w:pPr>
              <w:jc w:val="right"/>
            </w:pPr>
            <w:r>
              <w:t>487,596 $</w:t>
            </w:r>
          </w:p>
        </w:tc>
        <w:tc>
          <w:tcPr>
            <w:tcW w:type="dxa" w:w="2160"/>
            <w:shd w:fill="F2F2F2"/>
            <w:tcMar>
              <w:top w:w="100" w:type="dxa"/>
              <w:bottom w:w="100" w:type="dxa"/>
              <w:left w:w="120" w:type="dxa"/>
              <w:right w:w="120" w:type="dxa"/>
            </w:tcMar>
            <w:tcBorders>
              <w:bottom w:val="single" w:sz="4" w:space="0" w:color="D3D3D3"/>
            </w:tcBorders>
          </w:tcPr>
          <w:p>
            <w:pPr>
              <w:jc w:val="right"/>
            </w:pPr>
            <w:r>
              <w:t>20,873 orders</w:t>
            </w:r>
          </w:p>
        </w:tc>
      </w:tr>
      <w:tr>
        <w:tc>
          <w:tcPr>
            <w:tcW w:type="dxa" w:w="2160"/>
            <w:shd w:fill="FFFFFF"/>
            <w:tcMar>
              <w:top w:w="100" w:type="dxa"/>
              <w:bottom w:w="100" w:type="dxa"/>
              <w:left w:w="120" w:type="dxa"/>
              <w:right w:w="120" w:type="dxa"/>
            </w:tcMar>
            <w:tcBorders>
              <w:bottom w:val="single" w:sz="4" w:space="0" w:color="D3D3D3"/>
            </w:tcBorders>
          </w:tcPr>
          <w:p>
            <w:pPr>
              <w:jc w:val="center"/>
            </w:pPr>
            <w:r>
              <w:t>-1 Day</w:t>
            </w:r>
          </w:p>
        </w:tc>
        <w:tc>
          <w:tcPr>
            <w:tcW w:type="dxa" w:w="2160"/>
            <w:shd w:fill="FFFFFF"/>
            <w:tcMar>
              <w:top w:w="100" w:type="dxa"/>
              <w:bottom w:w="100" w:type="dxa"/>
              <w:left w:w="120" w:type="dxa"/>
              <w:right w:w="120" w:type="dxa"/>
            </w:tcMar>
            <w:tcBorders>
              <w:bottom w:val="single" w:sz="4" w:space="0" w:color="D3D3D3"/>
            </w:tcBorders>
          </w:tcPr>
          <w:p>
            <w:pPr>
              <w:jc w:val="right"/>
            </w:pPr>
            <w:r>
              <w:t>21.60 $</w:t>
            </w:r>
          </w:p>
        </w:tc>
        <w:tc>
          <w:tcPr>
            <w:tcW w:type="dxa" w:w="2160"/>
            <w:shd w:fill="FFFFFF"/>
            <w:tcMar>
              <w:top w:w="100" w:type="dxa"/>
              <w:bottom w:w="100" w:type="dxa"/>
              <w:left w:w="120" w:type="dxa"/>
              <w:right w:w="120" w:type="dxa"/>
            </w:tcMar>
            <w:tcBorders>
              <w:bottom w:val="single" w:sz="4" w:space="0" w:color="D3D3D3"/>
            </w:tcBorders>
          </w:tcPr>
          <w:p>
            <w:pPr>
              <w:jc w:val="right"/>
            </w:pPr>
            <w:r>
              <w:t>447,629 $</w:t>
            </w:r>
          </w:p>
        </w:tc>
        <w:tc>
          <w:tcPr>
            <w:tcW w:type="dxa" w:w="2160"/>
            <w:shd w:fill="FFFFFF"/>
            <w:tcMar>
              <w:top w:w="100" w:type="dxa"/>
              <w:bottom w:w="100" w:type="dxa"/>
              <w:left w:w="120" w:type="dxa"/>
              <w:right w:w="120" w:type="dxa"/>
            </w:tcMar>
            <w:tcBorders>
              <w:bottom w:val="single" w:sz="4" w:space="0" w:color="D3D3D3"/>
            </w:tcBorders>
          </w:tcPr>
          <w:p>
            <w:pPr>
              <w:jc w:val="right"/>
            </w:pPr>
            <w:r>
              <w:t>20,719 orders</w:t>
            </w:r>
          </w:p>
        </w:tc>
      </w:tr>
      <w:tr>
        <w:tc>
          <w:tcPr>
            <w:tcW w:type="dxa" w:w="2160"/>
            <w:shd w:fill="F2F2F2"/>
            <w:tcMar>
              <w:top w:w="100" w:type="dxa"/>
              <w:bottom w:w="100" w:type="dxa"/>
              <w:left w:w="120" w:type="dxa"/>
              <w:right w:w="120" w:type="dxa"/>
            </w:tcMar>
            <w:tcBorders>
              <w:bottom w:val="single" w:sz="4" w:space="0" w:color="D3D3D3"/>
            </w:tcBorders>
          </w:tcPr>
          <w:p>
            <w:pPr>
              <w:jc w:val="center"/>
            </w:pPr>
            <w:r>
              <w:t>0 Days (On-Time)</w:t>
            </w:r>
          </w:p>
        </w:tc>
        <w:tc>
          <w:tcPr>
            <w:tcW w:type="dxa" w:w="2160"/>
            <w:shd w:fill="F2F2F2"/>
            <w:tcMar>
              <w:top w:w="100" w:type="dxa"/>
              <w:bottom w:w="100" w:type="dxa"/>
              <w:left w:w="120" w:type="dxa"/>
              <w:right w:w="120" w:type="dxa"/>
            </w:tcMar>
            <w:tcBorders>
              <w:bottom w:val="single" w:sz="4" w:space="0" w:color="D3D3D3"/>
            </w:tcBorders>
          </w:tcPr>
          <w:p>
            <w:pPr>
              <w:jc w:val="right"/>
            </w:pPr>
            <w:r>
              <w:t>22.25 $</w:t>
            </w:r>
          </w:p>
        </w:tc>
        <w:tc>
          <w:tcPr>
            <w:tcW w:type="dxa" w:w="2160"/>
            <w:shd w:fill="F2F2F2"/>
            <w:tcMar>
              <w:top w:w="100" w:type="dxa"/>
              <w:bottom w:w="100" w:type="dxa"/>
              <w:left w:w="120" w:type="dxa"/>
              <w:right w:w="120" w:type="dxa"/>
            </w:tcMar>
            <w:tcBorders>
              <w:bottom w:val="single" w:sz="4" w:space="0" w:color="D3D3D3"/>
            </w:tcBorders>
          </w:tcPr>
          <w:p>
            <w:pPr>
              <w:jc w:val="right"/>
            </w:pPr>
            <w:r>
              <w:t>815,430 $</w:t>
            </w:r>
          </w:p>
        </w:tc>
        <w:tc>
          <w:tcPr>
            <w:tcW w:type="dxa" w:w="2160"/>
            <w:shd w:fill="F2F2F2"/>
            <w:tcMar>
              <w:top w:w="100" w:type="dxa"/>
              <w:bottom w:w="100" w:type="dxa"/>
              <w:left w:w="120" w:type="dxa"/>
              <w:right w:w="120" w:type="dxa"/>
            </w:tcMar>
            <w:tcBorders>
              <w:bottom w:val="single" w:sz="4" w:space="0" w:color="D3D3D3"/>
            </w:tcBorders>
          </w:tcPr>
          <w:p>
            <w:pPr>
              <w:jc w:val="right"/>
            </w:pPr>
            <w:r>
              <w:t>36,650 orders</w:t>
            </w:r>
          </w:p>
        </w:tc>
      </w:tr>
      <w:tr>
        <w:tc>
          <w:tcPr>
            <w:tcW w:type="dxa" w:w="2160"/>
            <w:shd w:fill="FFFFFF"/>
            <w:tcMar>
              <w:top w:w="100" w:type="dxa"/>
              <w:bottom w:w="100" w:type="dxa"/>
              <w:left w:w="120" w:type="dxa"/>
              <w:right w:w="120" w:type="dxa"/>
            </w:tcMar>
            <w:tcBorders>
              <w:bottom w:val="single" w:sz="4" w:space="0" w:color="D3D3D3"/>
            </w:tcBorders>
          </w:tcPr>
          <w:p>
            <w:pPr>
              <w:jc w:val="center"/>
            </w:pPr>
            <w:r>
              <w:t>+1 Day Delay</w:t>
            </w:r>
          </w:p>
        </w:tc>
        <w:tc>
          <w:tcPr>
            <w:tcW w:type="dxa" w:w="2160"/>
            <w:shd w:fill="FFFFFF"/>
            <w:tcMar>
              <w:top w:w="100" w:type="dxa"/>
              <w:bottom w:w="100" w:type="dxa"/>
              <w:left w:w="120" w:type="dxa"/>
              <w:right w:w="120" w:type="dxa"/>
            </w:tcMar>
            <w:tcBorders>
              <w:bottom w:val="single" w:sz="4" w:space="0" w:color="D3D3D3"/>
            </w:tcBorders>
          </w:tcPr>
          <w:p>
            <w:pPr>
              <w:jc w:val="right"/>
            </w:pPr>
            <w:r>
              <w:t>22.33 $</w:t>
            </w:r>
          </w:p>
        </w:tc>
        <w:tc>
          <w:tcPr>
            <w:tcW w:type="dxa" w:w="2160"/>
            <w:shd w:fill="FFFFFF"/>
            <w:tcMar>
              <w:top w:w="100" w:type="dxa"/>
              <w:bottom w:w="100" w:type="dxa"/>
              <w:left w:w="120" w:type="dxa"/>
              <w:right w:w="120" w:type="dxa"/>
            </w:tcMar>
            <w:tcBorders>
              <w:bottom w:val="single" w:sz="4" w:space="0" w:color="D3D3D3"/>
            </w:tcBorders>
          </w:tcPr>
          <w:p>
            <w:pPr>
              <w:jc w:val="right"/>
            </w:pPr>
            <w:r>
              <w:t>1,194,895 $</w:t>
            </w:r>
          </w:p>
        </w:tc>
        <w:tc>
          <w:tcPr>
            <w:tcW w:type="dxa" w:w="2160"/>
            <w:shd w:fill="FFFFFF"/>
            <w:tcMar>
              <w:top w:w="100" w:type="dxa"/>
              <w:bottom w:w="100" w:type="dxa"/>
              <w:left w:w="120" w:type="dxa"/>
              <w:right w:w="120" w:type="dxa"/>
            </w:tcMar>
            <w:tcBorders>
              <w:bottom w:val="single" w:sz="4" w:space="0" w:color="D3D3D3"/>
            </w:tcBorders>
          </w:tcPr>
          <w:p>
            <w:pPr>
              <w:jc w:val="right"/>
            </w:pPr>
            <w:r>
              <w:t>53,503 orders</w:t>
            </w:r>
          </w:p>
        </w:tc>
      </w:tr>
      <w:tr>
        <w:tc>
          <w:tcPr>
            <w:tcW w:type="dxa" w:w="2160"/>
            <w:shd w:fill="F2F2F2"/>
            <w:tcMar>
              <w:top w:w="100" w:type="dxa"/>
              <w:bottom w:w="100" w:type="dxa"/>
              <w:left w:w="120" w:type="dxa"/>
              <w:right w:w="120" w:type="dxa"/>
            </w:tcMar>
            <w:tcBorders>
              <w:bottom w:val="single" w:sz="4" w:space="0" w:color="D3D3D3"/>
            </w:tcBorders>
          </w:tcPr>
          <w:p>
            <w:pPr>
              <w:jc w:val="center"/>
            </w:pPr>
            <w:r>
              <w:t>+2 Days Delay</w:t>
            </w:r>
          </w:p>
        </w:tc>
        <w:tc>
          <w:tcPr>
            <w:tcW w:type="dxa" w:w="2160"/>
            <w:shd w:fill="F2F2F2"/>
            <w:tcMar>
              <w:top w:w="100" w:type="dxa"/>
              <w:bottom w:w="100" w:type="dxa"/>
              <w:left w:w="120" w:type="dxa"/>
              <w:right w:w="120" w:type="dxa"/>
            </w:tcMar>
            <w:tcBorders>
              <w:bottom w:val="single" w:sz="4" w:space="0" w:color="D3D3D3"/>
            </w:tcBorders>
          </w:tcPr>
          <w:p>
            <w:pPr>
              <w:jc w:val="right"/>
            </w:pPr>
            <w:r>
              <w:t>21.13 $</w:t>
            </w:r>
          </w:p>
        </w:tc>
        <w:tc>
          <w:tcPr>
            <w:tcW w:type="dxa" w:w="2160"/>
            <w:shd w:fill="F2F2F2"/>
            <w:tcMar>
              <w:top w:w="100" w:type="dxa"/>
              <w:bottom w:w="100" w:type="dxa"/>
              <w:left w:w="120" w:type="dxa"/>
              <w:right w:w="120" w:type="dxa"/>
            </w:tcMar>
            <w:tcBorders>
              <w:bottom w:val="single" w:sz="4" w:space="0" w:color="D3D3D3"/>
            </w:tcBorders>
          </w:tcPr>
          <w:p>
            <w:pPr>
              <w:jc w:val="right"/>
            </w:pPr>
            <w:r>
              <w:t>582,110 $</w:t>
            </w:r>
          </w:p>
        </w:tc>
        <w:tc>
          <w:tcPr>
            <w:tcW w:type="dxa" w:w="2160"/>
            <w:shd w:fill="F2F2F2"/>
            <w:tcMar>
              <w:top w:w="100" w:type="dxa"/>
              <w:bottom w:w="100" w:type="dxa"/>
              <w:left w:w="120" w:type="dxa"/>
              <w:right w:w="120" w:type="dxa"/>
            </w:tcMar>
            <w:tcBorders>
              <w:bottom w:val="single" w:sz="4" w:space="0" w:color="D3D3D3"/>
            </w:tcBorders>
          </w:tcPr>
          <w:p>
            <w:pPr>
              <w:jc w:val="right"/>
            </w:pPr>
            <w:r>
              <w:t>27,551 orders</w:t>
            </w:r>
          </w:p>
        </w:tc>
      </w:tr>
      <w:tr>
        <w:tc>
          <w:tcPr>
            <w:tcW w:type="dxa" w:w="2160"/>
            <w:shd w:fill="FFFFFF"/>
            <w:tcMar>
              <w:top w:w="100" w:type="dxa"/>
              <w:bottom w:w="100" w:type="dxa"/>
              <w:left w:w="120" w:type="dxa"/>
              <w:right w:w="120" w:type="dxa"/>
            </w:tcMar>
            <w:tcBorders>
              <w:bottom w:val="single" w:sz="4" w:space="0" w:color="D3D3D3"/>
            </w:tcBorders>
          </w:tcPr>
          <w:p>
            <w:pPr>
              <w:jc w:val="center"/>
            </w:pPr>
            <w:r>
              <w:t>+3 Days Delay</w:t>
            </w:r>
          </w:p>
        </w:tc>
        <w:tc>
          <w:tcPr>
            <w:tcW w:type="dxa" w:w="2160"/>
            <w:shd w:fill="FFFFFF"/>
            <w:tcMar>
              <w:top w:w="100" w:type="dxa"/>
              <w:bottom w:w="100" w:type="dxa"/>
              <w:left w:w="120" w:type="dxa"/>
              <w:right w:w="120" w:type="dxa"/>
            </w:tcMar>
            <w:tcBorders>
              <w:bottom w:val="single" w:sz="4" w:space="0" w:color="D3D3D3"/>
            </w:tcBorders>
          </w:tcPr>
          <w:p>
            <w:pPr>
              <w:jc w:val="right"/>
            </w:pPr>
            <w:r>
              <w:t>20.03 $</w:t>
            </w:r>
          </w:p>
        </w:tc>
        <w:tc>
          <w:tcPr>
            <w:tcW w:type="dxa" w:w="2160"/>
            <w:shd w:fill="FFFFFF"/>
            <w:tcMar>
              <w:top w:w="100" w:type="dxa"/>
              <w:bottom w:w="100" w:type="dxa"/>
              <w:left w:w="120" w:type="dxa"/>
              <w:right w:w="120" w:type="dxa"/>
            </w:tcMar>
            <w:tcBorders>
              <w:bottom w:val="single" w:sz="4" w:space="0" w:color="D3D3D3"/>
            </w:tcBorders>
          </w:tcPr>
          <w:p>
            <w:pPr>
              <w:jc w:val="right"/>
            </w:pPr>
            <w:r>
              <w:t>135,652 $</w:t>
            </w:r>
          </w:p>
        </w:tc>
        <w:tc>
          <w:tcPr>
            <w:tcW w:type="dxa" w:w="2160"/>
            <w:shd w:fill="FFFFFF"/>
            <w:tcMar>
              <w:top w:w="100" w:type="dxa"/>
              <w:bottom w:w="100" w:type="dxa"/>
              <w:left w:w="120" w:type="dxa"/>
              <w:right w:w="120" w:type="dxa"/>
            </w:tcMar>
            <w:tcBorders>
              <w:bottom w:val="single" w:sz="4" w:space="0" w:color="D3D3D3"/>
            </w:tcBorders>
          </w:tcPr>
          <w:p>
            <w:pPr>
              <w:jc w:val="right"/>
            </w:pPr>
            <w:r>
              <w:t>6,772 orders</w:t>
            </w:r>
          </w:p>
        </w:tc>
      </w:tr>
      <w:tr>
        <w:tc>
          <w:tcPr>
            <w:tcW w:type="dxa" w:w="2160"/>
            <w:shd w:fill="F2F2F2"/>
            <w:tcMar>
              <w:top w:w="100" w:type="dxa"/>
              <w:bottom w:w="100" w:type="dxa"/>
              <w:left w:w="120" w:type="dxa"/>
              <w:right w:w="120" w:type="dxa"/>
            </w:tcMar>
            <w:tcBorders>
              <w:bottom w:val="single" w:sz="4" w:space="0" w:color="D3D3D3"/>
            </w:tcBorders>
          </w:tcPr>
          <w:p>
            <w:pPr>
              <w:jc w:val="center"/>
            </w:pPr>
            <w:r>
              <w:t>+4 Days Delay</w:t>
            </w:r>
          </w:p>
        </w:tc>
        <w:tc>
          <w:tcPr>
            <w:tcW w:type="dxa" w:w="2160"/>
            <w:shd w:fill="F2F2F2"/>
            <w:tcMar>
              <w:top w:w="100" w:type="dxa"/>
              <w:bottom w:w="100" w:type="dxa"/>
              <w:left w:w="120" w:type="dxa"/>
              <w:right w:w="120" w:type="dxa"/>
            </w:tcMar>
            <w:tcBorders>
              <w:bottom w:val="single" w:sz="4" w:space="0" w:color="D3D3D3"/>
            </w:tcBorders>
          </w:tcPr>
          <w:p>
            <w:pPr>
              <w:jc w:val="right"/>
            </w:pPr>
            <w:r>
              <w:t>21.37 $</w:t>
            </w:r>
          </w:p>
        </w:tc>
        <w:tc>
          <w:tcPr>
            <w:tcW w:type="dxa" w:w="2160"/>
            <w:shd w:fill="F2F2F2"/>
            <w:tcMar>
              <w:top w:w="100" w:type="dxa"/>
              <w:bottom w:w="100" w:type="dxa"/>
              <w:left w:w="120" w:type="dxa"/>
              <w:right w:w="120" w:type="dxa"/>
            </w:tcMar>
            <w:tcBorders>
              <w:bottom w:val="single" w:sz="4" w:space="0" w:color="D3D3D3"/>
            </w:tcBorders>
          </w:tcPr>
          <w:p>
            <w:pPr>
              <w:jc w:val="right"/>
            </w:pPr>
            <w:r>
              <w:t>143,106 $</w:t>
            </w:r>
          </w:p>
        </w:tc>
        <w:tc>
          <w:tcPr>
            <w:tcW w:type="dxa" w:w="2160"/>
            <w:shd w:fill="F2F2F2"/>
            <w:tcMar>
              <w:top w:w="100" w:type="dxa"/>
              <w:bottom w:w="100" w:type="dxa"/>
              <w:left w:w="120" w:type="dxa"/>
              <w:right w:w="120" w:type="dxa"/>
            </w:tcMar>
            <w:tcBorders>
              <w:bottom w:val="single" w:sz="4" w:space="0" w:color="D3D3D3"/>
            </w:tcBorders>
          </w:tcPr>
          <w:p>
            <w:pPr>
              <w:jc w:val="right"/>
            </w:pPr>
            <w:r>
              <w:t>6,697 orders</w:t>
            </w:r>
          </w:p>
        </w:tc>
      </w:tr>
    </w:tbl>
    <w:p/>
    <w:p>
      <w:r>
        <w:rPr>
          <w:b/>
        </w:rPr>
        <w:t xml:space="preserve">Analytical Insights: </w:t>
      </w:r>
      <w:r>
        <w:t>Crucially, over 54% of orders settle into positive delay bounds (ranging from +1 to +4 days over target). This indicates a systemic process lag rather than localized incidents. While the mean profit per order holds narrow stability around 21.13 $ - 23.36 $, the volume density of delayed shipments captures 2.1M $ in profit locked in delayed statuses, exposing the enterprise to contractual chargebacks, churn risk, and working capital constraints.</w:t>
      </w:r>
    </w:p>
    <w:p>
      <w:pPr>
        <w:pStyle w:val="Heading1"/>
      </w:pPr>
      <w:r>
        <w:t>4. Macro Latency Drivers &amp; Categorical Analysis</w:t>
      </w:r>
    </w:p>
    <w:p>
      <w:r>
        <w:t>To extract accountability patterns, fulfillment latencies were isolated across major dimensional attributes, highlighting precise structural choke points:</w:t>
      </w:r>
    </w:p>
    <w:p>
      <w:pPr>
        <w:pStyle w:val="ListBullet"/>
      </w:pPr>
      <w:r>
        <w:rPr>
          <w:b/>
        </w:rPr>
        <w:t xml:space="preserve">Geographic Vulnerability: </w:t>
      </w:r>
      <w:r>
        <w:t>Specific regions, led by Central Africa and South Asia, encounter disproportionately higher delay thresholds due to multi-tier carrier transfers and extended customs processing times.</w:t>
      </w:r>
    </w:p>
    <w:p>
      <w:pPr>
        <w:pStyle w:val="ListBullet"/>
      </w:pPr>
      <w:r>
        <w:rPr>
          <w:b/>
        </w:rPr>
        <w:t xml:space="preserve">Shipping Mode Paradox: </w:t>
      </w:r>
      <w:r>
        <w:t>Standard Class shipments account for 103,153 orders and show a systematic late delivery pattern, proving that operational buffer guidelines are frequently exceeded.</w:t>
      </w:r>
    </w:p>
    <w:p>
      <w:pPr>
        <w:pStyle w:val="ListBullet"/>
      </w:pPr>
      <w:r>
        <w:rPr>
          <w:b/>
        </w:rPr>
        <w:t xml:space="preserve">Temporal and Seasonality Fluctuations: </w:t>
      </w:r>
      <w:r>
        <w:t>Fulfillment risk peaks significantly during localized end-of-quarter volume jumps and early-morning order submission brackets (04:00 - 07:00), causing warehouse dispatch gridlocks.</w:t>
      </w:r>
    </w:p>
    <w:p>
      <w:pPr>
        <w:pStyle w:val="Heading1"/>
      </w:pPr>
      <w:r>
        <w:t>5. Machine Learning for Predictive Inbound Risk Mitigation</w:t>
      </w:r>
    </w:p>
    <w:p>
      <w:r>
        <w:t>To protect logistics chains against downstream disruption, a production-grade predictive framework was engineered to proactively classify late delivery risks prior to carrier physical handover.</w:t>
      </w:r>
    </w:p>
    <w:p>
      <w:pPr>
        <w:pStyle w:val="Heading2"/>
      </w:pPr>
      <w:r>
        <w:t>5.1 Data Preprocessing &amp; Advanced Balance Alignment</w:t>
      </w:r>
    </w:p>
    <w:p>
      <w:r>
        <w:t xml:space="preserve">High-cardinality string structures (Type, Customer Segment, Department Name, Order Region, Shipping Mode) were encoded using </w:t>
      </w:r>
      <w:r>
        <w:rPr>
          <w:i/>
        </w:rPr>
        <w:t>Frequency Encoding</w:t>
      </w:r>
      <w:r>
        <w:t xml:space="preserve">. This maps text features directly to their proportional representation, keeping the model lightweight without memory explosion. The original training array presented class imbalance (79,182 late vs 59,030 on-time). To prevent systemic model bias toward the majority class, </w:t>
      </w:r>
      <w:r>
        <w:rPr>
          <w:b/>
        </w:rPr>
        <w:t>Synthetic Minority Over-sampling Technique (SMOTE)</w:t>
      </w:r>
      <w:r>
        <w:t xml:space="preserve"> was executed, matching the training framework perfectly at a 1:1 ratio (79,182 rows per target class).</w:t>
      </w:r>
    </w:p>
    <w:p>
      <w:pPr>
        <w:pStyle w:val="Heading2"/>
      </w:pPr>
      <w:r>
        <w:t>5.2 Random Forest Model Performance Evaluation</w:t>
      </w:r>
    </w:p>
    <w:p>
      <w:r>
        <w:t>A Random Forest Classifier ensemble was trained on the resampled data and validated using an isolated 20% holdout split (34,553 unseen orders). The performance metrics demonstrate strong corporate utility:</w:t>
      </w:r>
    </w:p>
    <w:tbl>
      <w:tblPr>
        <w:tblW w:type="auto" w:w="0"/>
        <w:jc w:val="center"/>
        <w:tblLook w:firstColumn="1" w:firstRow="1" w:lastColumn="0" w:lastRow="0" w:noHBand="0" w:noVBand="1" w:val="04A0"/>
      </w:tblPr>
      <w:tblGrid>
        <w:gridCol w:w="4320"/>
        <w:gridCol w:w="4320"/>
      </w:tblGrid>
      <w:tr>
        <w:tc>
          <w:tcPr>
            <w:tcW w:type="dxa" w:w="4320"/>
            <w:shd w:fill="F2F2F2"/>
            <w:tcMar>
              <w:top w:w="100" w:type="dxa"/>
              <w:bottom w:w="100" w:type="dxa"/>
              <w:left w:w="150" w:type="dxa"/>
              <w:right w:w="150" w:type="dxa"/>
            </w:tcMar>
            <w:tcBorders>
              <w:bottom w:val="single" w:sz="4" w:space="0" w:color="D3D3D3"/>
            </w:tcBorders>
          </w:tcPr>
          <w:p>
            <w:r>
              <w:rPr>
                <w:b/>
              </w:rPr>
              <w:t>Global Classification Accuracy</w:t>
            </w:r>
          </w:p>
        </w:tc>
        <w:tc>
          <w:tcPr>
            <w:tcW w:type="dxa" w:w="4320"/>
            <w:shd w:fill="D9E1F2"/>
            <w:tcMar>
              <w:top w:w="100" w:type="dxa"/>
              <w:bottom w:w="100" w:type="dxa"/>
              <w:left w:w="150" w:type="dxa"/>
              <w:right w:w="150" w:type="dxa"/>
            </w:tcMar>
            <w:tcBorders>
              <w:bottom w:val="single" w:sz="4" w:space="0" w:color="D3D3D3"/>
            </w:tcBorders>
          </w:tcPr>
          <w:p>
            <w:r>
              <w:rPr>
                <w:b/>
                <w:color w:val="1F497D"/>
              </w:rPr>
              <w:t>78%</w:t>
            </w:r>
          </w:p>
        </w:tc>
      </w:tr>
      <w:tr>
        <w:tc>
          <w:tcPr>
            <w:tcW w:type="dxa" w:w="4320"/>
            <w:shd w:fill="F2F2F2"/>
            <w:tcMar>
              <w:top w:w="100" w:type="dxa"/>
              <w:bottom w:w="100" w:type="dxa"/>
              <w:left w:w="150" w:type="dxa"/>
              <w:right w:w="150" w:type="dxa"/>
            </w:tcMar>
            <w:tcBorders>
              <w:bottom w:val="single" w:sz="4" w:space="0" w:color="D3D3D3"/>
            </w:tcBorders>
          </w:tcPr>
          <w:p>
            <w:r>
              <w:rPr>
                <w:b/>
              </w:rPr>
              <w:t>Targeted Class Precision</w:t>
            </w:r>
          </w:p>
        </w:tc>
        <w:tc>
          <w:tcPr>
            <w:tcW w:type="dxa" w:w="4320"/>
            <w:shd w:fill="D9E1F2"/>
            <w:tcMar>
              <w:top w:w="100" w:type="dxa"/>
              <w:bottom w:w="100" w:type="dxa"/>
              <w:left w:w="150" w:type="dxa"/>
              <w:right w:w="150" w:type="dxa"/>
            </w:tcMar>
            <w:tcBorders>
              <w:bottom w:val="single" w:sz="4" w:space="0" w:color="D3D3D3"/>
            </w:tcBorders>
          </w:tcPr>
          <w:p>
            <w:r>
              <w:rPr>
                <w:b/>
                <w:color w:val="1F497D"/>
              </w:rPr>
              <w:t>82%</w:t>
            </w:r>
          </w:p>
        </w:tc>
      </w:tr>
      <w:tr>
        <w:tc>
          <w:tcPr>
            <w:tcW w:type="dxa" w:w="4320"/>
            <w:shd w:fill="F2F2F2"/>
            <w:tcMar>
              <w:top w:w="100" w:type="dxa"/>
              <w:bottom w:w="100" w:type="dxa"/>
              <w:left w:w="150" w:type="dxa"/>
              <w:right w:w="150" w:type="dxa"/>
            </w:tcMar>
            <w:tcBorders>
              <w:bottom w:val="single" w:sz="4" w:space="0" w:color="D3D3D3"/>
            </w:tcBorders>
          </w:tcPr>
          <w:p>
            <w:r>
              <w:rPr>
                <w:b/>
              </w:rPr>
              <w:t>Sensitivity / Recall Rate</w:t>
            </w:r>
          </w:p>
        </w:tc>
        <w:tc>
          <w:tcPr>
            <w:tcW w:type="dxa" w:w="4320"/>
            <w:shd w:fill="D9E1F2"/>
            <w:tcMar>
              <w:top w:w="100" w:type="dxa"/>
              <w:bottom w:w="100" w:type="dxa"/>
              <w:left w:w="150" w:type="dxa"/>
              <w:right w:w="150" w:type="dxa"/>
            </w:tcMar>
            <w:tcBorders>
              <w:bottom w:val="single" w:sz="4" w:space="0" w:color="D3D3D3"/>
            </w:tcBorders>
          </w:tcPr>
          <w:p>
            <w:r>
              <w:rPr>
                <w:b/>
                <w:color w:val="1F497D"/>
              </w:rPr>
              <w:t>78%</w:t>
            </w:r>
          </w:p>
        </w:tc>
      </w:tr>
      <w:tr>
        <w:tc>
          <w:tcPr>
            <w:tcW w:type="dxa" w:w="4320"/>
            <w:shd w:fill="F2F2F2"/>
            <w:tcMar>
              <w:top w:w="100" w:type="dxa"/>
              <w:bottom w:w="100" w:type="dxa"/>
              <w:left w:w="150" w:type="dxa"/>
              <w:right w:w="150" w:type="dxa"/>
            </w:tcMar>
            <w:tcBorders>
              <w:bottom w:val="single" w:sz="4" w:space="0" w:color="D3D3D3"/>
            </w:tcBorders>
          </w:tcPr>
          <w:p>
            <w:r>
              <w:rPr>
                <w:b/>
              </w:rPr>
              <w:t>F1-Score (Balanced Mean)</w:t>
            </w:r>
          </w:p>
        </w:tc>
        <w:tc>
          <w:tcPr>
            <w:tcW w:type="dxa" w:w="4320"/>
            <w:shd w:fill="D9E1F2"/>
            <w:tcMar>
              <w:top w:w="100" w:type="dxa"/>
              <w:bottom w:w="100" w:type="dxa"/>
              <w:left w:w="150" w:type="dxa"/>
              <w:right w:w="150" w:type="dxa"/>
            </w:tcMar>
            <w:tcBorders>
              <w:bottom w:val="single" w:sz="4" w:space="0" w:color="D3D3D3"/>
            </w:tcBorders>
          </w:tcPr>
          <w:p>
            <w:r>
              <w:rPr>
                <w:b/>
                <w:color w:val="1F497D"/>
              </w:rPr>
              <w:t>0.80</w:t>
            </w:r>
          </w:p>
        </w:tc>
      </w:tr>
    </w:tbl>
    <w:p/>
    <w:p>
      <w:r>
        <w:rPr>
          <w:b/>
        </w:rPr>
        <w:t xml:space="preserve">Strategic Interpretation: </w:t>
      </w:r>
      <w:r>
        <w:t>The precision metric of 82% ensures that when the system issues a high-risk warning, the shipment is truly vulnerable to delays four out of five times. This allows logistics teams to selectively deploy priority routing, alternative carriers, or buffer stocks without wasting capital on false alarms.</w:t>
      </w:r>
    </w:p>
    <w:p>
      <w:pPr>
        <w:pStyle w:val="Heading1"/>
      </w:pPr>
      <w:r>
        <w:t>6. Executive Recommendations &amp; Strategic Roadmap</w:t>
      </w:r>
    </w:p>
    <w:p>
      <w:pPr>
        <w:pStyle w:val="ListNumber"/>
      </w:pPr>
      <w:r>
        <w:rPr>
          <w:b/>
        </w:rPr>
        <w:t xml:space="preserve">Deploy Automated Intervention: </w:t>
      </w:r>
      <w:r>
        <w:t>Integrate the Random Forest model into the centralized ERP order pipeline. Orders flagged as 'High Risk' should automatically shift to priority carriers or regional distribution loops.</w:t>
      </w:r>
    </w:p>
    <w:p>
      <w:pPr>
        <w:pStyle w:val="ListNumber"/>
      </w:pPr>
      <w:r>
        <w:rPr>
          <w:b/>
        </w:rPr>
        <w:t xml:space="preserve">Re-negotiate Carrier SLAs for Standard Class: </w:t>
      </w:r>
      <w:r>
        <w:t>Standard Class shipping accounts for the largest share of delays. Partner with core regional carriers to tighten baseline turnaround commitments.</w:t>
      </w:r>
    </w:p>
    <w:p>
      <w:pPr>
        <w:pStyle w:val="ListNumber"/>
      </w:pPr>
      <w:r>
        <w:rPr>
          <w:b/>
        </w:rPr>
        <w:t xml:space="preserve">Implement Dynamic Buffer Scheduling: </w:t>
      </w:r>
      <w:r>
        <w:t>Adjust promised delivery dates dynamically for high-risk zones (such as Central Africa) and high-volume seasonal windows to keep customer expectations aligned with real-world constraints.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9595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