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FE096E0" w:rsidR="00A1000D" w:rsidRPr="00B00C71" w:rsidRDefault="00732A11"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37662"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56DC985" w:rsidR="00DD55D2" w:rsidRPr="00B00C71" w:rsidRDefault="00A37662"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732A11">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1B0A5CC" w:rsidR="00570925" w:rsidRPr="00B00C71" w:rsidRDefault="00B3191B" w:rsidP="00DD55D2">
            <w:pPr>
              <w:rPr>
                <w:rFonts w:ascii="Arial" w:hAnsi="Arial" w:cs="Arial"/>
                <w:sz w:val="28"/>
              </w:rPr>
            </w:pPr>
            <w:r>
              <w:rPr>
                <w:rFonts w:ascii="Arial" w:hAnsi="Arial" w:cs="Arial"/>
                <w:sz w:val="28"/>
              </w:rPr>
              <w:t>59016, 59022, 59025, 59031, 59034, 59035, 59050, 59066, 59075, 59089, 59007, 59008, 59013, 59014, 59026, 59029, 59041, 59068, 59070, 59071, 59301, 59336, 59338, 59351, 59054, 59059, 59072, 59073, 59003, 59004, 59012, 59039, 59043, 59083 59312, 59323, 59327, 59333, 59347, 59001, 59019, 59028, 59061, 59063, 59067, 59069, 59011, 59033, 59052, 59055, 59010, 59038, 59076, 59002,</w:t>
            </w:r>
            <w:r w:rsidR="00D274AF">
              <w:rPr>
                <w:rFonts w:ascii="Arial" w:hAnsi="Arial" w:cs="Arial"/>
                <w:sz w:val="28"/>
              </w:rPr>
              <w:t xml:space="preserve"> 59025, 59031, 59034, 59035, 59050, 59066, 59075, 59089, 5900</w:t>
            </w:r>
            <w:r w:rsidR="004B2AFE">
              <w:rPr>
                <w:rFonts w:ascii="Arial" w:hAnsi="Arial" w:cs="Arial"/>
                <w:sz w:val="28"/>
              </w:rPr>
              <w:t>7, 59008, 59013, 59014, 59026, 59029, 59041, 59068, 59070, 59071, 59301, 59336, 59338, 59351, 59054, 59059, 59072, 59073, 59003, 59004, 59012, 59039, 59043, 59083, 59312, 59323, 59327, 59333, 59347, 59001, 59019, 59028, 59061, 59063, 59067, 59069, 59011, 59033, 59052, 59055, 59010, 59038, 59076, 59002, 59006, 59015, 59024,59037, 59044, 59057, 59064, 59079, 59088, 59101, 59102, 59103, 59104, 59105, 59106, 59107, 59108, 59111</w:t>
            </w:r>
            <w:r w:rsidR="005B700B">
              <w:rPr>
                <w:rFonts w:ascii="Arial" w:hAnsi="Arial" w:cs="Arial"/>
                <w:sz w:val="28"/>
              </w:rPr>
              <w:t>, 59112, 59114, 59115, 59116, 59117</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39AA947" w:rsidR="00DD55D2" w:rsidRPr="007B04B8" w:rsidRDefault="00F8027F" w:rsidP="003C5521">
            <w:pPr>
              <w:rPr>
                <w:rFonts w:ascii="Arial" w:hAnsi="Arial" w:cs="Arial"/>
                <w:b/>
                <w:color w:val="000000"/>
                <w:szCs w:val="22"/>
              </w:rPr>
            </w:pPr>
            <w:r w:rsidRPr="007B04B8">
              <w:rPr>
                <w:rFonts w:ascii="Arial" w:hAnsi="Arial" w:cs="Arial"/>
                <w:b/>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3766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3766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33A0004" w:rsidR="00FC690E" w:rsidRPr="00B00C71" w:rsidRDefault="00A37662"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C2376C">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37662"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0B9A78D8"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A5D018F" w14:textId="77777777" w:rsidR="00C2376C" w:rsidRPr="00B00C71" w:rsidRDefault="00C2376C" w:rsidP="00C2376C">
            <w:pPr>
              <w:rPr>
                <w:rFonts w:ascii="Arial" w:hAnsi="Arial" w:cs="Arial"/>
                <w:color w:val="000000"/>
                <w:szCs w:val="22"/>
              </w:rPr>
            </w:pPr>
            <w:r>
              <w:rPr>
                <w:rFonts w:ascii="Arial" w:hAnsi="Arial" w:cs="Arial"/>
                <w:color w:val="000000"/>
                <w:szCs w:val="22"/>
              </w:rPr>
              <w:t>Help keep the civil liberties momentum rolling in your community!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285D08C" w14:textId="77777777" w:rsidR="00A37662" w:rsidRPr="00B00C71" w:rsidRDefault="00A37662" w:rsidP="00A37662">
            <w:pPr>
              <w:rPr>
                <w:rFonts w:ascii="Arial" w:hAnsi="Arial" w:cs="Arial"/>
                <w:color w:val="000000"/>
                <w:szCs w:val="22"/>
              </w:rPr>
            </w:pPr>
            <w:r>
              <w:rPr>
                <w:rFonts w:ascii="Arial" w:hAnsi="Arial" w:cs="Arial"/>
                <w:color w:val="000000"/>
                <w:szCs w:val="22"/>
              </w:rPr>
              <w:lastRenderedPageBreak/>
              <w:t>Join the ACLU of Montana today and tomorrow for Montana Gives day!</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27824DCD" w:rsidR="002B117E" w:rsidRDefault="00A37662" w:rsidP="002F55CE">
            <w:pPr>
              <w:rPr>
                <w:rStyle w:val="Hyperlink"/>
              </w:rPr>
            </w:pPr>
            <w:hyperlink r:id="rId18" w:history="1">
              <w:r w:rsidR="000A1F59" w:rsidRPr="00C4642F">
                <w:rPr>
                  <w:rStyle w:val="Hyperlink"/>
                </w:rPr>
                <w:t>https://www.aclumontana.org/en/press-releases/protecting-native-american-voting-rights-in-montana</w:t>
              </w:r>
            </w:hyperlink>
          </w:p>
          <w:p w14:paraId="4CEF70F0" w14:textId="77777777" w:rsidR="000A1F59" w:rsidRPr="00B00C71" w:rsidRDefault="000A1F59" w:rsidP="002F55CE">
            <w:pPr>
              <w:rPr>
                <w:rFonts w:ascii="Arial" w:hAnsi="Arial" w:cs="Arial"/>
                <w:color w:val="000000"/>
                <w:szCs w:val="22"/>
              </w:rPr>
            </w:pPr>
          </w:p>
          <w:p w14:paraId="7532AEFF" w14:textId="77777777" w:rsidR="002B117E" w:rsidRDefault="00A37662" w:rsidP="002F55CE">
            <w:pPr>
              <w:rPr>
                <w:rStyle w:val="Hyperlink"/>
              </w:rPr>
            </w:pPr>
            <w:hyperlink r:id="rId19" w:history="1">
              <w:r w:rsidR="000A1F59" w:rsidRPr="00937050">
                <w:rPr>
                  <w:rStyle w:val="Hyperlink"/>
                </w:rPr>
                <w:t>https://www.aclu.org/news/aclu-montana-hails-50000-settlement-first-racial-profiling-case-brought-under-state-human</w:t>
              </w:r>
            </w:hyperlink>
          </w:p>
          <w:p w14:paraId="5806861C" w14:textId="77777777" w:rsidR="000A1F59" w:rsidRDefault="000A1F59" w:rsidP="002F55CE">
            <w:pPr>
              <w:rPr>
                <w:rStyle w:val="Hyperlink"/>
              </w:rPr>
            </w:pPr>
          </w:p>
          <w:p w14:paraId="552C1BD7" w14:textId="77777777" w:rsidR="000A1F59" w:rsidRDefault="00A37662" w:rsidP="002F55CE">
            <w:pPr>
              <w:rPr>
                <w:rStyle w:val="Hyperlink"/>
              </w:rPr>
            </w:pPr>
            <w:hyperlink r:id="rId20" w:history="1">
              <w:r w:rsidR="000A1F59" w:rsidRPr="00C4642F">
                <w:rPr>
                  <w:rStyle w:val="Hyperlink"/>
                </w:rPr>
                <w:t>https://www.aclumontana.org/sites/default/files/field_documents/womensprisonreleaseoct2013.pdf</w:t>
              </w:r>
            </w:hyperlink>
          </w:p>
          <w:p w14:paraId="7B659F70" w14:textId="77777777" w:rsidR="00A37662" w:rsidRDefault="00A37662" w:rsidP="002F55CE">
            <w:pPr>
              <w:rPr>
                <w:rStyle w:val="Hyperlink"/>
              </w:rPr>
            </w:pPr>
          </w:p>
          <w:p w14:paraId="04A2823A" w14:textId="696AAC2E" w:rsidR="00A37662" w:rsidRDefault="00A37662" w:rsidP="002F55CE">
            <w:pPr>
              <w:rPr>
                <w:rStyle w:val="Hyperlink"/>
              </w:rPr>
            </w:pPr>
            <w:hyperlink r:id="rId21" w:history="1">
              <w:r w:rsidRPr="00BC4D8E">
                <w:rPr>
                  <w:rStyle w:val="Hyperlink"/>
                  <w:rFonts w:cstheme="minorHAnsi"/>
                  <w:color w:val="365899"/>
                </w:rPr>
                <w:t>https://www.yellowstonegives.org/organizations/american-civil-liberties-union-of-montana-foundation-aclu-mt-cd856638-dc05-4e72-8317-ae2561ea8541</w:t>
              </w:r>
            </w:hyperlink>
            <w:r w:rsidRPr="00BC4D8E">
              <w:rPr>
                <w:rStyle w:val="apple-converted-space"/>
                <w:rFonts w:cstheme="minorHAnsi"/>
                <w:color w:val="1D2129"/>
                <w:shd w:val="clear" w:color="auto" w:fill="FFFFFF"/>
              </w:rPr>
              <w:t> </w:t>
            </w:r>
          </w:p>
          <w:p w14:paraId="626513C8" w14:textId="688F499E" w:rsidR="000A1F59" w:rsidRPr="000A1F59" w:rsidRDefault="000A1F59" w:rsidP="002F55CE">
            <w:pPr>
              <w:rPr>
                <w:rFonts w:cstheme="minorHAnsi"/>
                <w:color w:val="365899"/>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FAEEE1C" w14:textId="520813BA" w:rsidR="000A1F59" w:rsidRDefault="000A1F59" w:rsidP="000A1F59">
            <w:pPr>
              <w:rPr>
                <w:rFonts w:cstheme="minorHAnsi"/>
              </w:rPr>
            </w:pPr>
            <w:r>
              <w:rPr>
                <w:rFonts w:cstheme="minorHAnsi"/>
              </w:rPr>
              <w:t>Dear friends of the ACLU of Montana,</w:t>
            </w:r>
          </w:p>
          <w:p w14:paraId="34F18682" w14:textId="77777777" w:rsidR="000A1F59" w:rsidRDefault="000A1F59" w:rsidP="000A1F59">
            <w:pPr>
              <w:rPr>
                <w:rFonts w:cstheme="minorHAnsi"/>
              </w:rPr>
            </w:pPr>
          </w:p>
          <w:p w14:paraId="175A4191" w14:textId="77777777" w:rsidR="00C2376C" w:rsidRPr="005A20B0" w:rsidRDefault="00C2376C" w:rsidP="00C2376C">
            <w:pPr>
              <w:rPr>
                <w:rFonts w:cstheme="minorHAnsi"/>
                <w:color w:val="auto"/>
              </w:rPr>
            </w:pPr>
            <w:r w:rsidRPr="005A20B0">
              <w:rPr>
                <w:rFonts w:cstheme="minorHAnsi"/>
                <w:color w:val="auto"/>
              </w:rPr>
              <w:t xml:space="preserve">In our last email, we shared some ACLU of Montana victories that benefited people across the state. We’ve </w:t>
            </w:r>
            <w:r w:rsidRPr="005A20B0">
              <w:rPr>
                <w:rFonts w:cstheme="minorHAnsi"/>
                <w:color w:val="auto"/>
              </w:rPr>
              <w:lastRenderedPageBreak/>
              <w:t xml:space="preserve">also taken on a few issues in your own backyard! </w:t>
            </w:r>
          </w:p>
          <w:p w14:paraId="7C920F92" w14:textId="77777777" w:rsidR="00C2376C" w:rsidRPr="005A20B0" w:rsidRDefault="00C2376C" w:rsidP="00C2376C">
            <w:pPr>
              <w:rPr>
                <w:rFonts w:cstheme="minorHAnsi"/>
                <w:color w:val="auto"/>
              </w:rPr>
            </w:pPr>
          </w:p>
          <w:p w14:paraId="0A6C4CB7" w14:textId="409C9F7D" w:rsidR="00C2376C" w:rsidRPr="005A20B0" w:rsidRDefault="00C2376C" w:rsidP="00C2376C">
            <w:pPr>
              <w:rPr>
                <w:rFonts w:cstheme="minorHAnsi"/>
                <w:color w:val="auto"/>
              </w:rPr>
            </w:pPr>
            <w:r w:rsidRPr="005A20B0">
              <w:rPr>
                <w:rFonts w:cstheme="minorHAnsi"/>
                <w:color w:val="auto"/>
              </w:rPr>
              <w:t xml:space="preserve">Here are a few of the cases and causes we’ve worked on </w:t>
            </w:r>
            <w:r>
              <w:rPr>
                <w:rFonts w:cstheme="minorHAnsi"/>
                <w:color w:val="auto"/>
              </w:rPr>
              <w:t>near Billings</w:t>
            </w:r>
            <w:r w:rsidRPr="005A20B0">
              <w:rPr>
                <w:rFonts w:cstheme="minorHAnsi"/>
                <w:color w:val="auto"/>
              </w:rPr>
              <w:t>:</w:t>
            </w:r>
          </w:p>
          <w:p w14:paraId="1C61224A" w14:textId="77777777" w:rsidR="000A1F59" w:rsidRDefault="000A1F59" w:rsidP="000A1F59">
            <w:pPr>
              <w:rPr>
                <w:rFonts w:cstheme="minorHAnsi"/>
              </w:rPr>
            </w:pPr>
          </w:p>
          <w:p w14:paraId="6D12E270" w14:textId="01F80B2B" w:rsidR="000A1F59" w:rsidRDefault="000A1F59" w:rsidP="000A1F59">
            <w:pPr>
              <w:pStyle w:val="ListParagraph"/>
              <w:numPr>
                <w:ilvl w:val="0"/>
                <w:numId w:val="18"/>
              </w:numPr>
            </w:pPr>
            <w:r>
              <w:t xml:space="preserve">In 1986, the ACLU of Montana challenged unfair voting districts in the landmark case </w:t>
            </w:r>
            <w:r>
              <w:rPr>
                <w:i/>
              </w:rPr>
              <w:t xml:space="preserve">Windy Boy </w:t>
            </w:r>
            <w:r>
              <w:t xml:space="preserve">v. </w:t>
            </w:r>
            <w:r>
              <w:rPr>
                <w:i/>
              </w:rPr>
              <w:t>Bighorn County</w:t>
            </w:r>
            <w:r>
              <w:t>. It resulted in redrawn districts that gave Indigenous Montanans more equitable voting power</w:t>
            </w:r>
            <w:r w:rsidR="00C2376C">
              <w:t>. It</w:t>
            </w:r>
            <w:r>
              <w:t xml:space="preserve"> was the first </w:t>
            </w:r>
            <w:r w:rsidR="00C2376C">
              <w:t xml:space="preserve">time </w:t>
            </w:r>
            <w:r>
              <w:t xml:space="preserve">the 1965 Voting Rights Act was applied </w:t>
            </w:r>
            <w:r w:rsidR="00C2376C">
              <w:t>for</w:t>
            </w:r>
            <w:r>
              <w:t xml:space="preserve"> Native Americans. </w:t>
            </w:r>
            <w:hyperlink r:id="rId22" w:history="1">
              <w:r w:rsidRPr="00C4642F">
                <w:rPr>
                  <w:rStyle w:val="Hyperlink"/>
                </w:rPr>
                <w:t>https://www.aclumontana.org/en/press-releases/protecting-native-american-voting-rights-in-montana</w:t>
              </w:r>
            </w:hyperlink>
          </w:p>
          <w:p w14:paraId="0DC834E4" w14:textId="77777777" w:rsidR="000A1F59" w:rsidRPr="00CA6B9F" w:rsidRDefault="000A1F59" w:rsidP="000A1F59">
            <w:pPr>
              <w:pStyle w:val="ListParagraph"/>
              <w:numPr>
                <w:ilvl w:val="0"/>
                <w:numId w:val="18"/>
              </w:numPr>
              <w:rPr>
                <w:rStyle w:val="Hyperlink"/>
                <w:color w:val="auto"/>
              </w:rPr>
            </w:pPr>
            <w:r>
              <w:t xml:space="preserve">In 2001, the ACLU of Montana settled the first racial profiling case brought under the Montana Human Rights Act. Officers of the Billings Police Department repeatedly pulled over a Mexican-American couple and needlessly searched their vehicle. The couple was awarded $50,000 and the police department implemented new internal procedures to help prevent future racial profiling. </w:t>
            </w:r>
            <w:hyperlink r:id="rId23" w:history="1">
              <w:r w:rsidRPr="00937050">
                <w:rPr>
                  <w:rStyle w:val="Hyperlink"/>
                </w:rPr>
                <w:t>https://www.aclu.org/news/aclu-montana-hails-50000-settlement-first-racial-profiling-case-brought-under-state-human</w:t>
              </w:r>
            </w:hyperlink>
          </w:p>
          <w:p w14:paraId="54A1B591" w14:textId="77777777" w:rsidR="000A1F59" w:rsidRDefault="000A1F59" w:rsidP="000A1F59">
            <w:pPr>
              <w:pStyle w:val="ListParagraph"/>
              <w:numPr>
                <w:ilvl w:val="0"/>
                <w:numId w:val="18"/>
              </w:numPr>
            </w:pPr>
            <w:r>
              <w:t xml:space="preserve">In 2013, a major instance of gender discrimination was tackled at Montana Women’s Prison in Billings. The ACLU of Montana successfully sued the Montana Department of Corrections on behalf of female prisoners who were denied the same access to boot camp that male prisoners received. Boot camp provided an opportunity for training, education and reduced sentences. </w:t>
            </w:r>
            <w:hyperlink r:id="rId24" w:history="1">
              <w:r w:rsidRPr="00C4642F">
                <w:rPr>
                  <w:rStyle w:val="Hyperlink"/>
                </w:rPr>
                <w:t>https://www.aclumontana.org/sites/default/files/field_documents/womensprisonreleaseoct2013.pdf</w:t>
              </w:r>
            </w:hyperlink>
          </w:p>
          <w:p w14:paraId="266589EB" w14:textId="5ABF51FE" w:rsidR="000A1F59" w:rsidRDefault="000A1F59" w:rsidP="000A1F59">
            <w:pPr>
              <w:rPr>
                <w:rFonts w:cstheme="minorHAnsi"/>
              </w:rPr>
            </w:pPr>
          </w:p>
          <w:p w14:paraId="2EF6B8FB" w14:textId="77777777" w:rsidR="00A37662" w:rsidRPr="005A20B0" w:rsidRDefault="00A37662" w:rsidP="00A37662">
            <w:pPr>
              <w:rPr>
                <w:color w:val="auto"/>
              </w:rPr>
            </w:pPr>
            <w:r w:rsidRPr="005A20B0">
              <w:rPr>
                <w:rFonts w:cstheme="minorHAnsi"/>
                <w:color w:val="auto"/>
              </w:rPr>
              <w:t>And our work goes on! Our vision is to ensure that</w:t>
            </w:r>
            <w:r w:rsidRPr="005A20B0">
              <w:rPr>
                <w:color w:val="auto"/>
              </w:rPr>
              <w:t xml:space="preserve"> civil liberties become a reality for everyone in Montana, and we couldn’t do it without friends, allies, and supporters like you</w:t>
            </w:r>
            <w:r>
              <w:rPr>
                <w:color w:val="auto"/>
              </w:rPr>
              <w:t>.</w:t>
            </w:r>
            <w:r w:rsidRPr="005A20B0">
              <w:rPr>
                <w:color w:val="auto"/>
              </w:rPr>
              <w:t xml:space="preserve"> Thank you for standing with the ACLU of Montana to protect the fundamental freedoms of all Montanans</w:t>
            </w:r>
            <w:r>
              <w:rPr>
                <w:color w:val="auto"/>
              </w:rPr>
              <w:t>.</w:t>
            </w:r>
            <w:r w:rsidRPr="005A20B0">
              <w:rPr>
                <w:color w:val="auto"/>
              </w:rPr>
              <w:t xml:space="preserve"> </w:t>
            </w:r>
          </w:p>
          <w:p w14:paraId="4A234282" w14:textId="77777777" w:rsidR="00A37662" w:rsidRPr="005A20B0" w:rsidRDefault="00A37662" w:rsidP="00A37662">
            <w:pPr>
              <w:rPr>
                <w:color w:val="auto"/>
              </w:rPr>
            </w:pPr>
          </w:p>
          <w:p w14:paraId="45BB6073" w14:textId="761F7DD7" w:rsidR="00A37662" w:rsidRPr="005A20B0" w:rsidRDefault="00A37662" w:rsidP="00A37662">
            <w:pPr>
              <w:rPr>
                <w:rFonts w:cstheme="minorHAnsi"/>
                <w:color w:val="auto"/>
              </w:rPr>
            </w:pPr>
            <w:r w:rsidRPr="005A20B0">
              <w:rPr>
                <w:color w:val="auto"/>
              </w:rPr>
              <w:t xml:space="preserve">Please join us </w:t>
            </w:r>
            <w:r>
              <w:rPr>
                <w:color w:val="auto"/>
              </w:rPr>
              <w:t xml:space="preserve">today and tomorrow to celebrate </w:t>
            </w:r>
            <w:r w:rsidRPr="005A20B0">
              <w:rPr>
                <w:color w:val="auto"/>
              </w:rPr>
              <w:t>Montana Gives Day</w:t>
            </w:r>
            <w:r>
              <w:rPr>
                <w:color w:val="auto"/>
              </w:rPr>
              <w:t>! This</w:t>
            </w:r>
            <w:r w:rsidRPr="005A20B0">
              <w:rPr>
                <w:color w:val="auto"/>
              </w:rPr>
              <w:t xml:space="preserve"> 24-hour online celebration of giving connect</w:t>
            </w:r>
            <w:r>
              <w:rPr>
                <w:color w:val="auto"/>
              </w:rPr>
              <w:t>s</w:t>
            </w:r>
            <w:r w:rsidRPr="005A20B0">
              <w:rPr>
                <w:color w:val="auto"/>
              </w:rPr>
              <w:t xml:space="preserve"> community members with the causes they care most about.</w:t>
            </w:r>
            <w:r>
              <w:rPr>
                <w:color w:val="auto"/>
              </w:rPr>
              <w:t xml:space="preserve"> </w:t>
            </w:r>
            <w:bookmarkStart w:id="0" w:name="_GoBack"/>
            <w:bookmarkEnd w:id="0"/>
          </w:p>
          <w:p w14:paraId="406FF2D8" w14:textId="77777777" w:rsidR="00A37662" w:rsidRPr="005A20B0" w:rsidRDefault="00A37662" w:rsidP="00A37662">
            <w:pPr>
              <w:rPr>
                <w:rFonts w:cstheme="minorHAnsi"/>
                <w:color w:val="auto"/>
              </w:rPr>
            </w:pPr>
          </w:p>
          <w:p w14:paraId="21C424DC" w14:textId="77777777" w:rsidR="00A37662" w:rsidRPr="005A20B0" w:rsidRDefault="00A37662" w:rsidP="00A37662">
            <w:pPr>
              <w:rPr>
                <w:rFonts w:cstheme="minorHAnsi"/>
                <w:color w:val="auto"/>
              </w:rPr>
            </w:pPr>
            <w:r w:rsidRPr="005A20B0">
              <w:rPr>
                <w:rFonts w:cstheme="minorHAnsi"/>
                <w:color w:val="auto"/>
              </w:rPr>
              <w:t xml:space="preserve">Thank you for your continued </w:t>
            </w:r>
            <w:r w:rsidRPr="00FA259B">
              <w:rPr>
                <w:color w:val="auto"/>
              </w:rPr>
              <w:t>support!</w:t>
            </w:r>
          </w:p>
          <w:p w14:paraId="7CC6BDF8" w14:textId="77777777" w:rsidR="00A37662" w:rsidRPr="00AF6436" w:rsidRDefault="00A37662" w:rsidP="00A37662">
            <w:pPr>
              <w:rPr>
                <w:rFonts w:cstheme="minorHAnsi"/>
                <w:iCs/>
              </w:rPr>
            </w:pPr>
          </w:p>
          <w:p w14:paraId="6F72E02E" w14:textId="77777777" w:rsidR="00A37662" w:rsidRPr="00AF6436" w:rsidRDefault="00A37662" w:rsidP="00A37662">
            <w:pPr>
              <w:rPr>
                <w:rFonts w:cstheme="minorHAnsi"/>
                <w:iCs/>
              </w:rPr>
            </w:pPr>
            <w:r w:rsidRPr="00AF6436">
              <w:rPr>
                <w:rFonts w:cstheme="minorHAnsi"/>
                <w:iCs/>
              </w:rPr>
              <w:t>Caitlin Borgmann</w:t>
            </w:r>
          </w:p>
          <w:p w14:paraId="250F461D" w14:textId="77777777" w:rsidR="00A37662" w:rsidRPr="00B00C71" w:rsidRDefault="00A37662" w:rsidP="00A37662">
            <w:pPr>
              <w:rPr>
                <w:rStyle w:val="Emphasis"/>
                <w:rFonts w:ascii="Arial" w:hAnsi="Arial" w:cs="Arial"/>
                <w:i w:val="0"/>
                <w:sz w:val="20"/>
                <w:szCs w:val="20"/>
              </w:rPr>
            </w:pPr>
          </w:p>
          <w:p w14:paraId="560194AF" w14:textId="77777777" w:rsidR="00A37662" w:rsidRPr="00B00C71" w:rsidRDefault="00A37662" w:rsidP="00A37662">
            <w:pPr>
              <w:rPr>
                <w:rStyle w:val="Emphasis"/>
                <w:rFonts w:ascii="Arial" w:hAnsi="Arial" w:cs="Arial"/>
                <w:i w:val="0"/>
                <w:sz w:val="20"/>
                <w:szCs w:val="20"/>
              </w:rPr>
            </w:pPr>
            <w:r>
              <w:rPr>
                <w:rFonts w:ascii="Arial" w:hAnsi="Arial" w:cs="Arial"/>
                <w:iCs/>
                <w:noProof/>
                <w:sz w:val="20"/>
                <w:szCs w:val="20"/>
              </w:rPr>
              <w:lastRenderedPageBreak/>
              <w:drawing>
                <wp:inline distT="0" distB="0" distL="0" distR="0" wp14:anchorId="15B1E8B9" wp14:editId="6539D14E">
                  <wp:extent cx="1341343" cy="2006930"/>
                  <wp:effectExtent l="0" t="0" r="0" b="0"/>
                  <wp:docPr id="7" name="Picture 7" descr="S:\Communications\CAN\Montana Gives\CHAOS restructuring 04.30.18\Finished\Caitlin Borgmann_Executive Dir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unications\CAN\Montana Gives\CHAOS restructuring 04.30.18\Finished\Caitlin Borgmann_Executive Directo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41282" cy="2006839"/>
                          </a:xfrm>
                          <a:prstGeom prst="rect">
                            <a:avLst/>
                          </a:prstGeom>
                          <a:noFill/>
                          <a:ln>
                            <a:noFill/>
                          </a:ln>
                        </pic:spPr>
                      </pic:pic>
                    </a:graphicData>
                  </a:graphic>
                </wp:inline>
              </w:drawing>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p w14:paraId="1AC5AB53" w14:textId="77777777" w:rsidR="00B00C71" w:rsidRPr="00B00C71" w:rsidRDefault="00B00C71" w:rsidP="002B117E">
      <w:pPr>
        <w:rPr>
          <w:rFonts w:ascii="Arial" w:hAnsi="Arial" w:cs="Arial"/>
        </w:rPr>
      </w:pPr>
    </w:p>
    <w:sectPr w:rsidR="00B00C71" w:rsidRPr="00B00C71" w:rsidSect="00B00C71">
      <w:headerReference w:type="default" r:id="rId26"/>
      <w:footerReference w:type="default" r:id="rId27"/>
      <w:pgSz w:w="12240" w:h="15840"/>
      <w:pgMar w:top="720" w:right="720" w:bottom="1080" w:left="720" w:header="720" w:footer="288"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78A8C" w15:done="0"/>
  <w15:commentEx w15:paraId="3E5BF806" w15:done="0"/>
  <w15:commentEx w15:paraId="301AF3F5" w15:done="0"/>
  <w15:commentEx w15:paraId="48597B5B" w15:done="0"/>
  <w15:commentEx w15:paraId="401A9DBB" w15:done="0"/>
  <w15:commentEx w15:paraId="3C568C47" w15:done="0"/>
  <w15:commentEx w15:paraId="543F8E0C" w15:done="0"/>
  <w15:commentEx w15:paraId="345091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78A8C" w16cid:durableId="1E81DC07"/>
  <w16cid:commentId w16cid:paraId="3E5BF806" w16cid:durableId="1E81DC08"/>
  <w16cid:commentId w16cid:paraId="301AF3F5" w16cid:durableId="1E81DC09"/>
  <w16cid:commentId w16cid:paraId="48597B5B" w16cid:durableId="1E81DC0A"/>
  <w16cid:commentId w16cid:paraId="401A9DBB" w16cid:durableId="1E81DC0B"/>
  <w16cid:commentId w16cid:paraId="3C568C47" w16cid:durableId="1E81DC0C"/>
  <w16cid:commentId w16cid:paraId="543F8E0C" w16cid:durableId="1E81DC0D"/>
  <w16cid:commentId w16cid:paraId="34509183" w16cid:durableId="1E81DC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A1B8C" w14:textId="77777777" w:rsidR="00170ADC" w:rsidRDefault="00170ADC" w:rsidP="00746B86">
      <w:r>
        <w:separator/>
      </w:r>
    </w:p>
  </w:endnote>
  <w:endnote w:type="continuationSeparator" w:id="0">
    <w:p w14:paraId="68CED483" w14:textId="77777777" w:rsidR="00170ADC" w:rsidRDefault="00170AD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F07EC" w14:textId="77777777" w:rsidR="00170ADC" w:rsidRDefault="00170ADC" w:rsidP="00746B86">
      <w:r>
        <w:separator/>
      </w:r>
    </w:p>
  </w:footnote>
  <w:footnote w:type="continuationSeparator" w:id="0">
    <w:p w14:paraId="4B0A14D4" w14:textId="77777777" w:rsidR="00170ADC" w:rsidRDefault="00170ADC"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CA3837"/>
    <w:multiLevelType w:val="hybridMultilevel"/>
    <w:tmpl w:val="CF66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A1F59"/>
    <w:rsid w:val="000E44FC"/>
    <w:rsid w:val="00164AC6"/>
    <w:rsid w:val="00170ADC"/>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1602A"/>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2AFE"/>
    <w:rsid w:val="004D1074"/>
    <w:rsid w:val="005301C8"/>
    <w:rsid w:val="00556774"/>
    <w:rsid w:val="00570925"/>
    <w:rsid w:val="0059137D"/>
    <w:rsid w:val="005B700B"/>
    <w:rsid w:val="005C0A08"/>
    <w:rsid w:val="005C0C9D"/>
    <w:rsid w:val="005C24D6"/>
    <w:rsid w:val="005F5B06"/>
    <w:rsid w:val="00604B19"/>
    <w:rsid w:val="00616FE1"/>
    <w:rsid w:val="00623E55"/>
    <w:rsid w:val="00696B47"/>
    <w:rsid w:val="006E03E3"/>
    <w:rsid w:val="006F5107"/>
    <w:rsid w:val="00707040"/>
    <w:rsid w:val="007301D5"/>
    <w:rsid w:val="00732A11"/>
    <w:rsid w:val="00741AF8"/>
    <w:rsid w:val="00743F9F"/>
    <w:rsid w:val="00746B86"/>
    <w:rsid w:val="0074760E"/>
    <w:rsid w:val="00782673"/>
    <w:rsid w:val="007B04B8"/>
    <w:rsid w:val="007C43D4"/>
    <w:rsid w:val="007C7AA6"/>
    <w:rsid w:val="007D2DB4"/>
    <w:rsid w:val="0080252E"/>
    <w:rsid w:val="00851F51"/>
    <w:rsid w:val="008560B3"/>
    <w:rsid w:val="00870AC3"/>
    <w:rsid w:val="008726A1"/>
    <w:rsid w:val="008D10B2"/>
    <w:rsid w:val="008D7C18"/>
    <w:rsid w:val="008E721A"/>
    <w:rsid w:val="008F04AC"/>
    <w:rsid w:val="008F688B"/>
    <w:rsid w:val="00904FAE"/>
    <w:rsid w:val="00906FF8"/>
    <w:rsid w:val="00945796"/>
    <w:rsid w:val="00950FF9"/>
    <w:rsid w:val="009624A0"/>
    <w:rsid w:val="00973768"/>
    <w:rsid w:val="00985681"/>
    <w:rsid w:val="00994014"/>
    <w:rsid w:val="009C4565"/>
    <w:rsid w:val="009E74A6"/>
    <w:rsid w:val="00A1000D"/>
    <w:rsid w:val="00A37662"/>
    <w:rsid w:val="00A4255E"/>
    <w:rsid w:val="00AD6F9E"/>
    <w:rsid w:val="00AE42E2"/>
    <w:rsid w:val="00B00C71"/>
    <w:rsid w:val="00B03107"/>
    <w:rsid w:val="00B05B88"/>
    <w:rsid w:val="00B2330C"/>
    <w:rsid w:val="00B3191B"/>
    <w:rsid w:val="00B34085"/>
    <w:rsid w:val="00B51603"/>
    <w:rsid w:val="00B73E36"/>
    <w:rsid w:val="00B84897"/>
    <w:rsid w:val="00BC4483"/>
    <w:rsid w:val="00BF5A30"/>
    <w:rsid w:val="00C20EC3"/>
    <w:rsid w:val="00C2376C"/>
    <w:rsid w:val="00C26D35"/>
    <w:rsid w:val="00C3721C"/>
    <w:rsid w:val="00C56AED"/>
    <w:rsid w:val="00C601AE"/>
    <w:rsid w:val="00CC1145"/>
    <w:rsid w:val="00CE0238"/>
    <w:rsid w:val="00D03599"/>
    <w:rsid w:val="00D274AF"/>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24D8F"/>
    <w:rsid w:val="00F64E5C"/>
    <w:rsid w:val="00F725EB"/>
    <w:rsid w:val="00F7264B"/>
    <w:rsid w:val="00F8027F"/>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0A1F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0A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www.aclumontana.org/en/press-releases/protecting-native-american-voting-rights-in-montana"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l.facebook.com/l.php?u=https%3A%2F%2Fwww.yellowstonegives.org%2Forganizations%2Famerican-civil-liberties-union-of-montana-foundation-aclu-mt-cd856638-dc05-4e72-8317-ae2561ea8541&amp;h=ATM1kTzHfsSLuAn41v1cSCOxLVH2PAE2Zi7jxvuMRJyD_F4F3Fyb7govt0NhakEE21-X1IXJZyGU-nfV8_0vwQa0jEeE2mufiM283adQudJwTADIDCf20gg&amp;s=1"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clumontana.org/sites/default/files/field_documents/womensprisonreleaseoct2013.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aclumontana.org/sites/default/files/field_documents/womensprisonreleaseoct2013.pdf"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aclu.org/news/aclu-montana-hails-50000-settlement-first-racial-profiling-case-brought-under-state-human"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aclu.org/news/aclu-montana-hails-50000-settlement-first-racial-profiling-case-brought-under-state-human"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aclumontana.org/en/press-releases/protecting-native-american-voting-rights-in-montana" TargetMode="External"/><Relationship Id="rId27" Type="http://schemas.openxmlformats.org/officeDocument/2006/relationships/footer" Target="footer1.xml"/><Relationship Id="rId30"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98AF24E7-80E2-49EF-B569-ACE610165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Beall</cp:lastModifiedBy>
  <cp:revision>2</cp:revision>
  <dcterms:created xsi:type="dcterms:W3CDTF">2018-04-30T21:50:00Z</dcterms:created>
  <dcterms:modified xsi:type="dcterms:W3CDTF">2018-04-30T21:50:00Z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