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40C2D3F6" w:rsidR="00A1000D" w:rsidRPr="00B00C71" w:rsidRDefault="00590F46" w:rsidP="00A4255E">
            <w:pPr>
              <w:rPr>
                <w:rFonts w:ascii="Arial" w:hAnsi="Arial" w:cs="Arial"/>
                <w:color w:val="000000"/>
              </w:rPr>
            </w:pPr>
            <w:r>
              <w:rPr>
                <w:rFonts w:ascii="Arial" w:hAnsi="Arial" w:cs="Arial"/>
                <w:color w:val="000000"/>
              </w:rPr>
              <w:t>Wisconsin</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B34D018" w:rsidR="00DD55D2" w:rsidRPr="00B00C71" w:rsidRDefault="00F24C89" w:rsidP="00DD55D2">
            <w:pPr>
              <w:rPr>
                <w:rFonts w:ascii="Arial" w:hAnsi="Arial" w:cs="Arial"/>
              </w:rPr>
            </w:pPr>
            <w:sdt>
              <w:sdtPr>
                <w:rPr>
                  <w:rFonts w:ascii="Arial" w:hAnsi="Arial" w:cs="Arial"/>
                  <w:sz w:val="28"/>
                </w:rPr>
                <w:id w:val="615722602"/>
                <w14:checkbox>
                  <w14:checked w14:val="1"/>
                  <w14:checkedState w14:val="2612" w14:font="Times New Roman"/>
                  <w14:uncheckedState w14:val="2610" w14:font="Times New Roman"/>
                </w14:checkbox>
              </w:sdtPr>
              <w:sdtEndPr/>
              <w:sdtContent>
                <w:r w:rsidR="00590F46">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F24C89" w:rsidP="002F55CE">
            <w:pPr>
              <w:rPr>
                <w:rFonts w:ascii="Arial" w:hAnsi="Arial" w:cs="Arial"/>
                <w:color w:val="000000"/>
              </w:rPr>
            </w:pPr>
            <w:sdt>
              <w:sdtPr>
                <w:rPr>
                  <w:rFonts w:ascii="Arial" w:hAnsi="Arial" w:cs="Arial"/>
                  <w:sz w:val="28"/>
                </w:rPr>
                <w:id w:val="-584448642"/>
                <w14:checkbox>
                  <w14:checked w14:val="0"/>
                  <w14:checkedState w14:val="2612" w14:font="Times New Roman"/>
                  <w14:uncheckedState w14:val="2610" w14:font="Times New Roman"/>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6" w14:textId="3420107F" w:rsidR="00DD55D2" w:rsidRPr="00B00C71" w:rsidRDefault="00590F46" w:rsidP="003C5521">
            <w:pPr>
              <w:rPr>
                <w:rFonts w:ascii="Arial" w:hAnsi="Arial" w:cs="Arial"/>
                <w:color w:val="000000"/>
                <w:szCs w:val="22"/>
              </w:rPr>
            </w:pPr>
            <w:r>
              <w:rPr>
                <w:rFonts w:ascii="Arial" w:hAnsi="Arial" w:cs="Arial"/>
                <w:color w:val="000000"/>
                <w:szCs w:val="22"/>
              </w:rPr>
              <w:t>cbowers@aclu-wi.org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7B6F1B0" w:rsidR="00FC690E" w:rsidRPr="00B00C71" w:rsidRDefault="00F24C89" w:rsidP="00570925">
            <w:pPr>
              <w:rPr>
                <w:rFonts w:ascii="Arial" w:hAnsi="Arial" w:cs="Arial"/>
              </w:rPr>
            </w:pPr>
            <w:sdt>
              <w:sdtPr>
                <w:rPr>
                  <w:rFonts w:ascii="Arial" w:hAnsi="Arial" w:cs="Arial"/>
                  <w:sz w:val="28"/>
                </w:rPr>
                <w:id w:val="-963275154"/>
                <w14:checkbox>
                  <w14:checked w14:val="1"/>
                  <w14:checkedState w14:val="2612" w14:font="Times New Roman"/>
                  <w14:uncheckedState w14:val="2610" w14:font="Times New Roman"/>
                </w14:checkbox>
              </w:sdtPr>
              <w:sdtEndPr/>
              <w:sdtContent>
                <w:r w:rsidR="00590F46">
                  <w:rPr>
                    <w:rFonts w:ascii="Segoe UI Symbol" w:hAnsi="Segoe UI Symbol" w:cs="Segoe UI Symbol"/>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F24C89"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F24C89" w:rsidP="00556774">
            <w:pPr>
              <w:rPr>
                <w:rFonts w:ascii="Arial" w:hAnsi="Arial" w:cs="Arial"/>
                <w:sz w:val="28"/>
              </w:rPr>
            </w:pPr>
            <w:sdt>
              <w:sdtPr>
                <w:rPr>
                  <w:rFonts w:ascii="Arial" w:hAnsi="Arial" w:cs="Arial"/>
                  <w:sz w:val="28"/>
                </w:rPr>
                <w:id w:val="1549335262"/>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F24C89"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84CF7D3" w14:textId="77777777" w:rsidR="00C36C83" w:rsidRPr="000073DA" w:rsidRDefault="00C36C83" w:rsidP="00C36C83">
            <w:pPr>
              <w:pStyle w:val="Body"/>
              <w:rPr>
                <w:rFonts w:ascii="Times New Roman" w:eastAsia="Calibri" w:hAnsi="Times New Roman" w:cs="Calibri"/>
                <w:sz w:val="28"/>
                <w:szCs w:val="28"/>
              </w:rPr>
            </w:pPr>
            <w:r w:rsidRPr="000073DA">
              <w:rPr>
                <w:rFonts w:ascii="Times New Roman" w:hAnsi="Times New Roman"/>
                <w:sz w:val="28"/>
                <w:szCs w:val="28"/>
              </w:rPr>
              <w:t>Wisconsin ends solitary confinement for kids</w:t>
            </w:r>
          </w:p>
          <w:p w14:paraId="626513B5" w14:textId="00ABC263"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C" w14:textId="540475CD" w:rsidR="003D7EA1" w:rsidRPr="00B00C71" w:rsidRDefault="00C36C83" w:rsidP="003C5521">
            <w:pPr>
              <w:rPr>
                <w:rFonts w:ascii="Arial" w:hAnsi="Arial" w:cs="Arial"/>
                <w:color w:val="000000"/>
                <w:szCs w:val="22"/>
              </w:rPr>
            </w:pPr>
            <w:r w:rsidRPr="00C36C83">
              <w:rPr>
                <w:rFonts w:ascii="Arial" w:hAnsi="Arial" w:cs="Arial"/>
                <w:color w:val="000000"/>
                <w:szCs w:val="22"/>
              </w:rPr>
              <w:t>Lincoln Hills lawsuit settlement provides critical protections for children</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3B050366" w:rsidR="002B117E" w:rsidRPr="00B00C71" w:rsidRDefault="002B117E" w:rsidP="002F55CE">
            <w:pPr>
              <w:rPr>
                <w:rFonts w:ascii="Arial" w:hAnsi="Arial" w:cs="Arial"/>
                <w:color w:val="000000"/>
                <w:szCs w:val="22"/>
              </w:rPr>
            </w:pPr>
          </w:p>
          <w:p w14:paraId="06395782" w14:textId="1E9D8BBE" w:rsidR="002B117E" w:rsidRDefault="00F24C89" w:rsidP="002F55CE">
            <w:pPr>
              <w:rPr>
                <w:rFonts w:ascii="Arial" w:hAnsi="Arial" w:cs="Arial"/>
                <w:color w:val="000000"/>
                <w:szCs w:val="22"/>
              </w:rPr>
            </w:pPr>
            <w:hyperlink r:id="rId17" w:history="1">
              <w:r w:rsidR="00431106" w:rsidRPr="00DE5E9E">
                <w:rPr>
                  <w:rStyle w:val="Hyperlink"/>
                  <w:rFonts w:ascii="Arial" w:hAnsi="Arial" w:cs="Arial"/>
                  <w:szCs w:val="22"/>
                </w:rPr>
                <w:t>https://www.facebook.com/sharer/sharer.php?u=https%3A//www.facebook.com/ACLUofWi/</w:t>
              </w:r>
            </w:hyperlink>
          </w:p>
          <w:p w14:paraId="1D06B17F" w14:textId="77777777" w:rsidR="00431106" w:rsidRDefault="00431106" w:rsidP="002F55CE">
            <w:pPr>
              <w:rPr>
                <w:rFonts w:ascii="Arial" w:hAnsi="Arial" w:cs="Arial"/>
                <w:color w:val="000000"/>
                <w:szCs w:val="22"/>
              </w:rPr>
            </w:pPr>
          </w:p>
          <w:p w14:paraId="1D63A012" w14:textId="77777777" w:rsidR="00E63987" w:rsidRDefault="00E63987" w:rsidP="002F55CE">
            <w:pPr>
              <w:rPr>
                <w:rFonts w:ascii="Arial" w:hAnsi="Arial" w:cs="Arial"/>
                <w:color w:val="000000"/>
                <w:szCs w:val="22"/>
              </w:rPr>
            </w:pPr>
            <w:r>
              <w:rPr>
                <w:rFonts w:ascii="Arial" w:hAnsi="Arial" w:cs="Arial"/>
                <w:color w:val="000000"/>
                <w:szCs w:val="22"/>
              </w:rPr>
              <w:t>aclu-wi.org</w:t>
            </w:r>
          </w:p>
          <w:p w14:paraId="1200929B" w14:textId="77777777" w:rsidR="00E63987" w:rsidRDefault="00E63987" w:rsidP="002F55CE">
            <w:pPr>
              <w:rPr>
                <w:rFonts w:ascii="Arial" w:hAnsi="Arial" w:cs="Arial"/>
                <w:color w:val="000000"/>
                <w:szCs w:val="22"/>
              </w:rPr>
            </w:pPr>
          </w:p>
          <w:p w14:paraId="626513C8" w14:textId="077DF554" w:rsidR="00431106" w:rsidRPr="00B00C71" w:rsidRDefault="00431106"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46B0CF4" w14:textId="77777777" w:rsidR="002126E3" w:rsidRDefault="002126E3" w:rsidP="002126E3">
            <w:pPr>
              <w:pStyle w:val="Body"/>
              <w:rPr>
                <w:rFonts w:ascii="Times New Roman" w:eastAsia="Times New Roman" w:hAnsi="Times New Roman" w:cs="Times New Roman"/>
                <w:sz w:val="28"/>
                <w:szCs w:val="28"/>
              </w:rPr>
            </w:pPr>
            <w:r>
              <w:rPr>
                <w:rFonts w:ascii="Times New Roman" w:hAnsi="Times New Roman"/>
                <w:sz w:val="28"/>
                <w:szCs w:val="28"/>
              </w:rPr>
              <w:t>We did it: we’re stopping solitary confinement for kids in Wisconsin. Courageous young people who were being held at the youth prison in Wisconsin, represented by the ACLU of Wisconsin, Juvenile Law Center, and the law firm Quarles &amp; Brady, sued last year to stop harmful, punitive tactics like solitary confinement and pepper spray. The Wisconsin Department of Corrections has agreed to settle the case.</w:t>
            </w:r>
          </w:p>
          <w:p w14:paraId="79DCE832" w14:textId="77777777" w:rsidR="002126E3" w:rsidRDefault="002126E3" w:rsidP="002126E3">
            <w:pPr>
              <w:pStyle w:val="Body"/>
              <w:rPr>
                <w:rFonts w:ascii="Times New Roman" w:eastAsia="Times New Roman" w:hAnsi="Times New Roman" w:cs="Times New Roman"/>
                <w:sz w:val="28"/>
                <w:szCs w:val="28"/>
              </w:rPr>
            </w:pPr>
          </w:p>
          <w:p w14:paraId="2AC4B429" w14:textId="77777777" w:rsidR="002126E3" w:rsidRDefault="002126E3" w:rsidP="002126E3">
            <w:pPr>
              <w:pStyle w:val="BodyA"/>
              <w:rPr>
                <w:sz w:val="28"/>
                <w:szCs w:val="28"/>
              </w:rPr>
            </w:pPr>
            <w:r>
              <w:rPr>
                <w:sz w:val="28"/>
                <w:szCs w:val="28"/>
              </w:rPr>
              <w:t xml:space="preserve">You might have already heard that the state legislature has made plans to close Wisconsin's infamous Lincoln Hills and Copper Lake youth prisons, but our </w:t>
            </w:r>
            <w:r>
              <w:rPr>
                <w:sz w:val="28"/>
                <w:szCs w:val="28"/>
              </w:rPr>
              <w:lastRenderedPageBreak/>
              <w:t>breakthrough still matters. It will take years to close these facilities, and we need to protect these children now – and work to make sure those harmful practices don’t come back in the future.</w:t>
            </w:r>
          </w:p>
          <w:p w14:paraId="5740553F" w14:textId="77777777" w:rsidR="002126E3" w:rsidRDefault="002126E3" w:rsidP="002126E3">
            <w:pPr>
              <w:pStyle w:val="Body"/>
              <w:ind w:left="360"/>
              <w:rPr>
                <w:rFonts w:ascii="Times New Roman" w:eastAsia="Times New Roman" w:hAnsi="Times New Roman" w:cs="Times New Roman"/>
                <w:sz w:val="28"/>
                <w:szCs w:val="28"/>
              </w:rPr>
            </w:pPr>
            <w:r>
              <w:rPr>
                <w:rFonts w:ascii="Arial Unicode MS" w:hAnsi="Arial Unicode MS"/>
                <w:sz w:val="28"/>
                <w:szCs w:val="28"/>
              </w:rPr>
              <w:br/>
            </w:r>
            <w:r w:rsidRPr="000073DA">
              <w:rPr>
                <w:rFonts w:eastAsia="Cambria" w:cs="Cambria"/>
                <w:sz w:val="28"/>
                <w:szCs w:val="28"/>
              </w:rPr>
              <w:t>Until we brought our case, Wisconsin was one of the worst states in terms of how it treated youth in its prisons – with just about the most extensive use of solitary confinement. The settlement will help fix these problems. It will include</w:t>
            </w:r>
            <w:r>
              <w:rPr>
                <w:rFonts w:eastAsia="Cambria" w:cs="Cambria"/>
                <w:sz w:val="28"/>
                <w:szCs w:val="28"/>
              </w:rPr>
              <w:t>:</w:t>
            </w:r>
            <w:r w:rsidRPr="000073DA">
              <w:rPr>
                <w:rFonts w:eastAsia="Cambria" w:cs="Cambria"/>
                <w:sz w:val="28"/>
                <w:szCs w:val="28"/>
              </w:rPr>
              <w:br/>
            </w:r>
          </w:p>
          <w:p w14:paraId="5A132F3F" w14:textId="77777777" w:rsidR="002126E3" w:rsidRDefault="002126E3" w:rsidP="002126E3">
            <w:pPr>
              <w:pStyle w:val="ListParagraph"/>
              <w:numPr>
                <w:ilvl w:val="0"/>
                <w:numId w:val="20"/>
              </w:numPr>
              <w:pBdr>
                <w:top w:val="nil"/>
                <w:left w:val="nil"/>
                <w:bottom w:val="nil"/>
                <w:right w:val="nil"/>
                <w:between w:val="nil"/>
                <w:bar w:val="nil"/>
              </w:pBdr>
              <w:contextualSpacing w:val="0"/>
              <w:rPr>
                <w:rFonts w:ascii="Times New Roman" w:hAnsi="Times New Roman"/>
                <w:sz w:val="28"/>
                <w:szCs w:val="28"/>
              </w:rPr>
            </w:pPr>
            <w:r>
              <w:rPr>
                <w:rFonts w:ascii="Times New Roman" w:hAnsi="Times New Roman"/>
                <w:sz w:val="28"/>
                <w:szCs w:val="28"/>
              </w:rPr>
              <w:t>no more punitive solitary confinement within 10 months of when the court approves the settlement,, and strict limits on other use of solitary confinement;</w:t>
            </w:r>
          </w:p>
          <w:p w14:paraId="2D086A2A" w14:textId="77777777" w:rsidR="002126E3" w:rsidRDefault="002126E3" w:rsidP="002126E3">
            <w:pPr>
              <w:pStyle w:val="ListParagraph"/>
              <w:numPr>
                <w:ilvl w:val="0"/>
                <w:numId w:val="20"/>
              </w:numPr>
              <w:pBdr>
                <w:top w:val="nil"/>
                <w:left w:val="nil"/>
                <w:bottom w:val="nil"/>
                <w:right w:val="nil"/>
                <w:between w:val="nil"/>
                <w:bar w:val="nil"/>
              </w:pBdr>
              <w:contextualSpacing w:val="0"/>
              <w:rPr>
                <w:rFonts w:ascii="Times New Roman" w:hAnsi="Times New Roman"/>
                <w:sz w:val="28"/>
                <w:szCs w:val="28"/>
              </w:rPr>
            </w:pPr>
            <w:r>
              <w:rPr>
                <w:rFonts w:ascii="Times New Roman" w:hAnsi="Times New Roman"/>
                <w:sz w:val="28"/>
                <w:szCs w:val="28"/>
              </w:rPr>
              <w:t>phasing out the use of pepper spray;</w:t>
            </w:r>
          </w:p>
          <w:p w14:paraId="36DDA4C6" w14:textId="77777777" w:rsidR="002126E3" w:rsidRDefault="002126E3" w:rsidP="002126E3">
            <w:pPr>
              <w:pStyle w:val="ListParagraph"/>
              <w:numPr>
                <w:ilvl w:val="0"/>
                <w:numId w:val="20"/>
              </w:numPr>
              <w:pBdr>
                <w:top w:val="nil"/>
                <w:left w:val="nil"/>
                <w:bottom w:val="nil"/>
                <w:right w:val="nil"/>
                <w:between w:val="nil"/>
                <w:bar w:val="nil"/>
              </w:pBdr>
              <w:contextualSpacing w:val="0"/>
              <w:rPr>
                <w:rFonts w:ascii="Times New Roman" w:hAnsi="Times New Roman"/>
                <w:sz w:val="28"/>
                <w:szCs w:val="28"/>
              </w:rPr>
            </w:pPr>
            <w:proofErr w:type="gramStart"/>
            <w:r>
              <w:rPr>
                <w:rFonts w:ascii="Times New Roman" w:hAnsi="Times New Roman"/>
                <w:sz w:val="28"/>
                <w:szCs w:val="28"/>
              </w:rPr>
              <w:t>strict</w:t>
            </w:r>
            <w:proofErr w:type="gramEnd"/>
            <w:r>
              <w:rPr>
                <w:rFonts w:ascii="Times New Roman" w:hAnsi="Times New Roman"/>
                <w:sz w:val="28"/>
                <w:szCs w:val="28"/>
              </w:rPr>
              <w:t xml:space="preserve"> limits on handcuffing youth and other restraints, like belly chains, and an end to cuffing youth to objects like tables. The use of these restraints will be the </w:t>
            </w:r>
            <w:r>
              <w:rPr>
                <w:rFonts w:ascii="Times New Roman" w:hAnsi="Times New Roman"/>
                <w:b/>
                <w:bCs/>
                <w:sz w:val="28"/>
                <w:szCs w:val="28"/>
              </w:rPr>
              <w:t>exception</w:t>
            </w:r>
            <w:r>
              <w:rPr>
                <w:rFonts w:ascii="Times New Roman" w:hAnsi="Times New Roman"/>
                <w:sz w:val="28"/>
                <w:szCs w:val="28"/>
              </w:rPr>
              <w:t>, not the rule;</w:t>
            </w:r>
          </w:p>
          <w:p w14:paraId="70071FC3" w14:textId="77777777" w:rsidR="002126E3" w:rsidRDefault="002126E3" w:rsidP="002126E3">
            <w:pPr>
              <w:pStyle w:val="ListParagraph"/>
              <w:numPr>
                <w:ilvl w:val="0"/>
                <w:numId w:val="20"/>
              </w:numPr>
              <w:pBdr>
                <w:top w:val="nil"/>
                <w:left w:val="nil"/>
                <w:bottom w:val="nil"/>
                <w:right w:val="nil"/>
                <w:between w:val="nil"/>
                <w:bar w:val="nil"/>
              </w:pBdr>
              <w:contextualSpacing w:val="0"/>
              <w:rPr>
                <w:rFonts w:ascii="Times New Roman" w:hAnsi="Times New Roman"/>
                <w:sz w:val="28"/>
                <w:szCs w:val="28"/>
              </w:rPr>
            </w:pPr>
            <w:r>
              <w:rPr>
                <w:rFonts w:ascii="Times New Roman" w:hAnsi="Times New Roman"/>
                <w:sz w:val="28"/>
                <w:szCs w:val="28"/>
              </w:rPr>
              <w:t>no strip searches without specific, individualized justification;</w:t>
            </w:r>
          </w:p>
          <w:p w14:paraId="5C5A61E4" w14:textId="77777777" w:rsidR="002126E3" w:rsidRDefault="002126E3" w:rsidP="002126E3">
            <w:pPr>
              <w:pStyle w:val="ListParagraph"/>
              <w:numPr>
                <w:ilvl w:val="0"/>
                <w:numId w:val="20"/>
              </w:numPr>
              <w:pBdr>
                <w:top w:val="nil"/>
                <w:left w:val="nil"/>
                <w:bottom w:val="nil"/>
                <w:right w:val="nil"/>
                <w:between w:val="nil"/>
                <w:bar w:val="nil"/>
              </w:pBdr>
              <w:contextualSpacing w:val="0"/>
              <w:rPr>
                <w:rFonts w:ascii="Times New Roman" w:hAnsi="Times New Roman"/>
                <w:sz w:val="28"/>
                <w:szCs w:val="28"/>
              </w:rPr>
            </w:pPr>
            <w:r>
              <w:rPr>
                <w:rFonts w:ascii="Times New Roman" w:hAnsi="Times New Roman"/>
                <w:sz w:val="28"/>
                <w:szCs w:val="28"/>
              </w:rPr>
              <w:t>all staff in the facilities will receive de-escalation training;</w:t>
            </w:r>
          </w:p>
          <w:p w14:paraId="126A50F5" w14:textId="77777777" w:rsidR="002126E3" w:rsidRDefault="002126E3" w:rsidP="002126E3">
            <w:pPr>
              <w:pStyle w:val="ListParagraph"/>
              <w:numPr>
                <w:ilvl w:val="0"/>
                <w:numId w:val="20"/>
              </w:numPr>
              <w:pBdr>
                <w:top w:val="nil"/>
                <w:left w:val="nil"/>
                <w:bottom w:val="nil"/>
                <w:right w:val="nil"/>
                <w:between w:val="nil"/>
                <w:bar w:val="nil"/>
              </w:pBdr>
              <w:contextualSpacing w:val="0"/>
              <w:rPr>
                <w:rFonts w:ascii="Times New Roman" w:hAnsi="Times New Roman"/>
                <w:sz w:val="28"/>
                <w:szCs w:val="28"/>
              </w:rPr>
            </w:pPr>
            <w:proofErr w:type="gramStart"/>
            <w:r>
              <w:rPr>
                <w:rFonts w:ascii="Times New Roman" w:hAnsi="Times New Roman"/>
                <w:sz w:val="28"/>
                <w:szCs w:val="28"/>
              </w:rPr>
              <w:t>outside</w:t>
            </w:r>
            <w:proofErr w:type="gramEnd"/>
            <w:r>
              <w:rPr>
                <w:rFonts w:ascii="Times New Roman" w:hAnsi="Times New Roman"/>
                <w:sz w:val="28"/>
                <w:szCs w:val="28"/>
              </w:rPr>
              <w:t xml:space="preserve"> monitoring and inspection, with the ability to interview youth, to ensure that the prisons meet the terms of this agreement.</w:t>
            </w:r>
          </w:p>
          <w:p w14:paraId="13B0746A" w14:textId="77777777" w:rsidR="002126E3" w:rsidRDefault="002126E3" w:rsidP="002126E3">
            <w:pPr>
              <w:pStyle w:val="Body"/>
              <w:rPr>
                <w:rFonts w:ascii="Times New Roman" w:eastAsia="Times New Roman" w:hAnsi="Times New Roman" w:cs="Times New Roman"/>
                <w:sz w:val="28"/>
                <w:szCs w:val="28"/>
              </w:rPr>
            </w:pPr>
          </w:p>
          <w:p w14:paraId="736EBCD4" w14:textId="77777777" w:rsidR="002126E3" w:rsidRDefault="002126E3" w:rsidP="002126E3">
            <w:pPr>
              <w:pStyle w:val="ListParagraph"/>
              <w:ind w:left="0"/>
              <w:rPr>
                <w:rFonts w:ascii="Times New Roman" w:hAnsi="Times New Roman"/>
                <w:sz w:val="28"/>
                <w:szCs w:val="28"/>
              </w:rPr>
            </w:pPr>
            <w:r>
              <w:rPr>
                <w:rFonts w:ascii="Times New Roman" w:hAnsi="Times New Roman"/>
                <w:sz w:val="28"/>
                <w:szCs w:val="28"/>
              </w:rPr>
              <w:t>Lincoln Hills and Copper Lake should give young people who have made mistakes a chance to learn, overcome them, and become productive members of society. This settlement agreement takes a step in that direction.</w:t>
            </w:r>
          </w:p>
          <w:p w14:paraId="7A4F054D" w14:textId="77777777" w:rsidR="002126E3" w:rsidRDefault="002126E3" w:rsidP="002126E3">
            <w:pPr>
              <w:pStyle w:val="Body"/>
            </w:pPr>
          </w:p>
          <w:p w14:paraId="448B5794" w14:textId="77777777" w:rsidR="002126E3" w:rsidRDefault="002126E3" w:rsidP="002126E3">
            <w:pPr>
              <w:pStyle w:val="Body"/>
              <w:rPr>
                <w:rFonts w:ascii="Times New Roman" w:eastAsia="Times New Roman" w:hAnsi="Times New Roman" w:cs="Times New Roman"/>
                <w:sz w:val="28"/>
                <w:szCs w:val="28"/>
              </w:rPr>
            </w:pPr>
            <w:r>
              <w:rPr>
                <w:rFonts w:ascii="Times New Roman" w:hAnsi="Times New Roman"/>
                <w:sz w:val="28"/>
                <w:szCs w:val="28"/>
              </w:rPr>
              <w:t>Thank you for supporting the ACLU of Wisconsin as we do this work to end excessive and extreme punishments, and to make us safer by taking a smarter approach to justice.</w:t>
            </w:r>
          </w:p>
          <w:p w14:paraId="30ABA54E" w14:textId="77777777" w:rsidR="002126E3" w:rsidRDefault="002126E3" w:rsidP="002126E3">
            <w:pPr>
              <w:pStyle w:val="Body"/>
              <w:rPr>
                <w:rFonts w:ascii="Times New Roman" w:eastAsia="Times New Roman" w:hAnsi="Times New Roman" w:cs="Times New Roman"/>
                <w:sz w:val="28"/>
                <w:szCs w:val="28"/>
              </w:rPr>
            </w:pPr>
          </w:p>
          <w:p w14:paraId="43F16153" w14:textId="77777777" w:rsidR="002126E3" w:rsidRDefault="002126E3" w:rsidP="002126E3">
            <w:pPr>
              <w:pStyle w:val="Body"/>
              <w:rPr>
                <w:rFonts w:ascii="Times New Roman" w:eastAsia="Times New Roman" w:hAnsi="Times New Roman" w:cs="Times New Roman"/>
                <w:sz w:val="28"/>
                <w:szCs w:val="28"/>
              </w:rPr>
            </w:pPr>
            <w:r>
              <w:rPr>
                <w:rFonts w:ascii="Times New Roman" w:hAnsi="Times New Roman"/>
                <w:sz w:val="28"/>
                <w:szCs w:val="28"/>
              </w:rPr>
              <w:t xml:space="preserve">Sincerely, </w:t>
            </w:r>
          </w:p>
          <w:p w14:paraId="1E2F8BA4" w14:textId="77777777" w:rsidR="002126E3" w:rsidRDefault="002126E3" w:rsidP="002126E3">
            <w:pPr>
              <w:pStyle w:val="Body"/>
              <w:rPr>
                <w:rFonts w:ascii="Times New Roman" w:eastAsia="Times New Roman" w:hAnsi="Times New Roman" w:cs="Times New Roman"/>
                <w:sz w:val="28"/>
                <w:szCs w:val="28"/>
              </w:rPr>
            </w:pPr>
          </w:p>
          <w:p w14:paraId="210CC7EE" w14:textId="77777777" w:rsidR="002126E3" w:rsidRDefault="002126E3" w:rsidP="002126E3">
            <w:pPr>
              <w:pStyle w:val="Body"/>
              <w:rPr>
                <w:rFonts w:ascii="Times New Roman" w:eastAsia="Times New Roman" w:hAnsi="Times New Roman" w:cs="Times New Roman"/>
                <w:sz w:val="28"/>
                <w:szCs w:val="28"/>
              </w:rPr>
            </w:pPr>
            <w:r>
              <w:rPr>
                <w:rFonts w:ascii="Times New Roman" w:hAnsi="Times New Roman"/>
                <w:sz w:val="28"/>
                <w:szCs w:val="28"/>
                <w:lang w:val="da-DK"/>
              </w:rPr>
              <w:t>Chris Ott</w:t>
            </w:r>
          </w:p>
          <w:p w14:paraId="626513DA" w14:textId="025EB587" w:rsidR="00973768" w:rsidRPr="00B00C71" w:rsidRDefault="002126E3" w:rsidP="002126E3">
            <w:pPr>
              <w:rPr>
                <w:rStyle w:val="Emphasis"/>
                <w:rFonts w:ascii="Arial" w:hAnsi="Arial" w:cs="Arial"/>
                <w:i w:val="0"/>
                <w:sz w:val="20"/>
                <w:szCs w:val="20"/>
              </w:rPr>
            </w:pPr>
            <w:r>
              <w:rPr>
                <w:rFonts w:ascii="Times New Roman" w:hAnsi="Times New Roman"/>
                <w:sz w:val="28"/>
                <w:szCs w:val="28"/>
              </w:rPr>
              <w:t>Executive Director</w:t>
            </w:r>
            <w:bookmarkStart w:id="0" w:name="_GoBack"/>
            <w:bookmarkEnd w:id="0"/>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0" w:type="auto"/>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662"/>
      </w:tblGrid>
      <w:tr w:rsidR="00B00C71" w:rsidRPr="00B00C71" w14:paraId="33631002" w14:textId="77777777" w:rsidTr="00431106">
        <w:trPr>
          <w:trHeight w:val="504"/>
        </w:trPr>
        <w:tc>
          <w:tcPr>
            <w:tcW w:w="0" w:type="auto"/>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431106">
        <w:trPr>
          <w:trHeight w:val="504"/>
        </w:trPr>
        <w:tc>
          <w:tcPr>
            <w:tcW w:w="0" w:type="auto"/>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431106">
        <w:trPr>
          <w:trHeight w:val="1797"/>
        </w:trPr>
        <w:tc>
          <w:tcPr>
            <w:tcW w:w="0" w:type="auto"/>
          </w:tcPr>
          <w:p w14:paraId="40258A29" w14:textId="77777777" w:rsidR="00B00C71" w:rsidRPr="00B00C71" w:rsidRDefault="00B00C71" w:rsidP="0033798F">
            <w:pPr>
              <w:rPr>
                <w:rFonts w:ascii="Arial" w:hAnsi="Arial" w:cs="Arial"/>
                <w:szCs w:val="20"/>
              </w:rPr>
            </w:pPr>
          </w:p>
          <w:p w14:paraId="4B27949A" w14:textId="7FA3A551" w:rsidR="00B00C71" w:rsidRPr="00B00C71" w:rsidRDefault="00431106" w:rsidP="0033798F">
            <w:pPr>
              <w:rPr>
                <w:rFonts w:ascii="Arial" w:hAnsi="Arial" w:cs="Arial"/>
                <w:szCs w:val="20"/>
              </w:rPr>
            </w:pPr>
            <w:r w:rsidRPr="00431106">
              <w:rPr>
                <w:rFonts w:ascii="Arial" w:hAnsi="Arial" w:cs="Arial"/>
                <w:szCs w:val="20"/>
              </w:rPr>
              <w:t>https://twitter.com/home?status=Settlement%20reached%20in%20Lincoln%20Hills%20lawsuit.%20https%3A//twitter.com/ACLUofWisconsin%20aclu-wi.org</w:t>
            </w: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54C54" w14:textId="77777777" w:rsidR="00F24C89" w:rsidRDefault="00F24C89" w:rsidP="00746B86">
      <w:r>
        <w:separator/>
      </w:r>
    </w:p>
  </w:endnote>
  <w:endnote w:type="continuationSeparator" w:id="0">
    <w:p w14:paraId="35359173" w14:textId="77777777" w:rsidR="00F24C89" w:rsidRDefault="00F24C89"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00E865" w14:textId="77777777" w:rsidR="00F24C89" w:rsidRDefault="00F24C89" w:rsidP="00746B86">
      <w:r>
        <w:separator/>
      </w:r>
    </w:p>
  </w:footnote>
  <w:footnote w:type="continuationSeparator" w:id="0">
    <w:p w14:paraId="76B164B2" w14:textId="77777777" w:rsidR="00F24C89" w:rsidRDefault="00F24C89"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6868F72"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C87042"/>
    <w:multiLevelType w:val="hybridMultilevel"/>
    <w:tmpl w:val="E85CC34A"/>
    <w:styleLink w:val="ImportedStyle1"/>
    <w:lvl w:ilvl="0" w:tplc="900A4FBA">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5465E4C">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6943E7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8E0FF4">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3D8E12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E8034C">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1FCADE4">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FD064EC">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503C02">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CB4BAC"/>
    <w:multiLevelType w:val="hybridMultilevel"/>
    <w:tmpl w:val="E85CC34A"/>
    <w:numStyleLink w:val="ImportedStyle1"/>
  </w:abstractNum>
  <w:abstractNum w:abstractNumId="16" w15:restartNumberingAfterBreak="0">
    <w:nsid w:val="70D60D64"/>
    <w:multiLevelType w:val="hybridMultilevel"/>
    <w:tmpl w:val="BE2AC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8"/>
  </w:num>
  <w:num w:numId="5">
    <w:abstractNumId w:val="2"/>
  </w:num>
  <w:num w:numId="6">
    <w:abstractNumId w:val="17"/>
  </w:num>
  <w:num w:numId="7">
    <w:abstractNumId w:val="5"/>
  </w:num>
  <w:num w:numId="8">
    <w:abstractNumId w:val="3"/>
  </w:num>
  <w:num w:numId="9">
    <w:abstractNumId w:val="11"/>
  </w:num>
  <w:num w:numId="10">
    <w:abstractNumId w:val="19"/>
  </w:num>
  <w:num w:numId="11">
    <w:abstractNumId w:val="9"/>
  </w:num>
  <w:num w:numId="12">
    <w:abstractNumId w:val="0"/>
  </w:num>
  <w:num w:numId="13">
    <w:abstractNumId w:val="14"/>
  </w:num>
  <w:num w:numId="14">
    <w:abstractNumId w:val="1"/>
  </w:num>
  <w:num w:numId="15">
    <w:abstractNumId w:val="10"/>
  </w:num>
  <w:num w:numId="16">
    <w:abstractNumId w:val="7"/>
  </w:num>
  <w:num w:numId="17">
    <w:abstractNumId w:val="18"/>
  </w:num>
  <w:num w:numId="18">
    <w:abstractNumId w:val="16"/>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126E3"/>
    <w:rsid w:val="00225612"/>
    <w:rsid w:val="002409C9"/>
    <w:rsid w:val="002617B9"/>
    <w:rsid w:val="00297E6F"/>
    <w:rsid w:val="002B117E"/>
    <w:rsid w:val="002C5BBA"/>
    <w:rsid w:val="00303594"/>
    <w:rsid w:val="00307140"/>
    <w:rsid w:val="00307971"/>
    <w:rsid w:val="003124D5"/>
    <w:rsid w:val="003620C7"/>
    <w:rsid w:val="00364F7B"/>
    <w:rsid w:val="00375821"/>
    <w:rsid w:val="003815DF"/>
    <w:rsid w:val="003A0FA7"/>
    <w:rsid w:val="003A1F8C"/>
    <w:rsid w:val="003B741C"/>
    <w:rsid w:val="003C5521"/>
    <w:rsid w:val="003D7EA1"/>
    <w:rsid w:val="003E791A"/>
    <w:rsid w:val="003F0E0D"/>
    <w:rsid w:val="00407013"/>
    <w:rsid w:val="0041026D"/>
    <w:rsid w:val="00410852"/>
    <w:rsid w:val="00412CE1"/>
    <w:rsid w:val="00414863"/>
    <w:rsid w:val="00431106"/>
    <w:rsid w:val="00433C4F"/>
    <w:rsid w:val="00440E52"/>
    <w:rsid w:val="00453CFD"/>
    <w:rsid w:val="004C3A8A"/>
    <w:rsid w:val="004D1074"/>
    <w:rsid w:val="005301C8"/>
    <w:rsid w:val="00556774"/>
    <w:rsid w:val="00570925"/>
    <w:rsid w:val="00590F46"/>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59F"/>
    <w:rsid w:val="00746B86"/>
    <w:rsid w:val="0074760E"/>
    <w:rsid w:val="00782673"/>
    <w:rsid w:val="007C43D4"/>
    <w:rsid w:val="007C7AA6"/>
    <w:rsid w:val="007D2DB4"/>
    <w:rsid w:val="00843D8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6C83"/>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63987"/>
    <w:rsid w:val="00EA79BA"/>
    <w:rsid w:val="00EB3479"/>
    <w:rsid w:val="00EE41FC"/>
    <w:rsid w:val="00EE43C4"/>
    <w:rsid w:val="00EF479F"/>
    <w:rsid w:val="00F10EA3"/>
    <w:rsid w:val="00F24C89"/>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770C12F0-A404-4AAA-8BEA-3DA3532D1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customStyle="1" w:styleId="Body">
    <w:name w:val="Body"/>
    <w:rsid w:val="00590F46"/>
    <w:pPr>
      <w:pBdr>
        <w:top w:val="nil"/>
        <w:left w:val="nil"/>
        <w:bottom w:val="nil"/>
        <w:right w:val="nil"/>
        <w:between w:val="nil"/>
        <w:bar w:val="nil"/>
      </w:pBdr>
    </w:pPr>
    <w:rPr>
      <w:rFonts w:ascii="Cambria" w:eastAsia="Arial Unicode MS" w:hAnsi="Cambria" w:cs="Arial Unicode MS"/>
      <w:color w:val="000000"/>
      <w:sz w:val="24"/>
      <w:szCs w:val="24"/>
      <w:u w:color="000000"/>
      <w:bdr w:val="nil"/>
    </w:rPr>
  </w:style>
  <w:style w:type="paragraph" w:customStyle="1" w:styleId="BodyA">
    <w:name w:val="Body A"/>
    <w:rsid w:val="00C36C83"/>
    <w:pPr>
      <w:pBdr>
        <w:top w:val="nil"/>
        <w:left w:val="nil"/>
        <w:bottom w:val="nil"/>
        <w:right w:val="nil"/>
        <w:between w:val="nil"/>
        <w:bar w:val="nil"/>
      </w:pBdr>
    </w:pPr>
    <w:rPr>
      <w:rFonts w:ascii="Cambria" w:eastAsia="Cambria" w:hAnsi="Cambria" w:cs="Cambria"/>
      <w:color w:val="000000"/>
      <w:sz w:val="24"/>
      <w:szCs w:val="24"/>
      <w:u w:color="000000"/>
      <w:bdr w:val="nil"/>
    </w:rPr>
  </w:style>
  <w:style w:type="numbering" w:customStyle="1" w:styleId="ImportedStyle1">
    <w:name w:val="Imported Style 1"/>
    <w:rsid w:val="00C36C83"/>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www.facebook.com/sharer/sharer.php?u=https%3A//www.facebook.com/ACLUofWi/"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D446A7F6-C70C-4B3E-A7BC-CA58B8D5C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Cassandra Bowers</cp:lastModifiedBy>
  <cp:revision>9</cp:revision>
  <dcterms:created xsi:type="dcterms:W3CDTF">2018-05-31T01:46:00Z</dcterms:created>
  <dcterms:modified xsi:type="dcterms:W3CDTF">2018-05-31T17:53:00Z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