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r w:rsidDel="00000000" w:rsidR="00000000" w:rsidRPr="00000000">
        <w:rPr>
          <w:sz w:val="44"/>
          <w:szCs w:val="44"/>
          <w:rtl w:val="0"/>
        </w:rPr>
        <w:t xml:space="preserve">Έγγραφο απαιτήσεων εμπλεκομένων μερών (StRS) Stakeholders Requirements Specification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pStyle w:val="Subtitle"/>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Εταιρία Παραγωγής Ηλεκτρικής Ενέργειας / ΔΕΔΔΗΕ</w:t>
      </w:r>
      <w:r w:rsidDel="00000000" w:rsidR="00000000" w:rsidRPr="00000000">
        <w:rPr>
          <w:rtl w:val="0"/>
        </w:rPr>
      </w:r>
    </w:p>
    <w:p w:rsidR="00000000" w:rsidDel="00000000" w:rsidP="00000000" w:rsidRDefault="00000000" w:rsidRPr="00000000" w14:paraId="00000004">
      <w:pPr>
        <w:pStyle w:val="Heading1"/>
        <w:numPr>
          <w:ilvl w:val="0"/>
          <w:numId w:val="4"/>
        </w:numPr>
        <w:ind w:left="360" w:hanging="360"/>
        <w:rPr/>
      </w:pPr>
      <w:r w:rsidDel="00000000" w:rsidR="00000000" w:rsidRPr="00000000">
        <w:rPr>
          <w:rtl w:val="0"/>
        </w:rPr>
        <w:t xml:space="preserve">Εισαγωγή</w:t>
      </w:r>
    </w:p>
    <w:p w:rsidR="00000000" w:rsidDel="00000000" w:rsidP="00000000" w:rsidRDefault="00000000" w:rsidRPr="00000000" w14:paraId="00000005">
      <w:pPr>
        <w:pStyle w:val="Heading2"/>
        <w:rPr/>
      </w:pPr>
      <w:r w:rsidDel="00000000" w:rsidR="00000000" w:rsidRPr="00000000">
        <w:rPr>
          <w:rtl w:val="0"/>
        </w:rPr>
        <w:t xml:space="preserve">1.1</w:t>
        <w:tab/>
        <w:t xml:space="preserve">Ταυτότητα - επιχειρησιακοί στόχοι</w:t>
      </w:r>
    </w:p>
    <w:p w:rsidR="00000000" w:rsidDel="00000000" w:rsidP="00000000" w:rsidRDefault="00000000" w:rsidRPr="00000000" w14:paraId="00000006">
      <w:pPr>
        <w:spacing w:line="276" w:lineRule="auto"/>
        <w:rPr/>
      </w:pPr>
      <w:r w:rsidDel="00000000" w:rsidR="00000000" w:rsidRPr="00000000">
        <w:rPr>
          <w:rtl w:val="0"/>
        </w:rPr>
        <w:t xml:space="preserve">Βασική φιλοδοξία της εταιρείας μέσα από την εφαρμογή είναι η αποκόμιση χρήσιμων και επίκαιρων στατιστικών που αφορούν την κατανάλωση ηλεκτρικού ρεύματος από τους κατόχους ηλεκτροκίνητων οχημάτων, και την κατανομή ζήτησης ρεύματος ανά περιοχή, ώστε να οργανωθεί καταλληλότερα η υποστήριξη της υποδομής του ηλεκτρικού δικτύου. Παράλληλα, εξέχουσα προτεραιότητα αποτελεί η δυνατότητα συνεργασίας με τους κατόχους των σταθμών φόρτισης, </w:t>
      </w:r>
      <w:r w:rsidDel="00000000" w:rsidR="00000000" w:rsidRPr="00000000">
        <w:rPr>
          <w:rtl w:val="0"/>
        </w:rPr>
        <w:t xml:space="preserve">μέσα από τη συλλογή των κατάλληλων δεδομένων, για την παροχή αντίστοιχων προγραμμάτων παροχής ρεύματος και αύξηση των πελατών</w:t>
      </w: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tl w:val="0"/>
        </w:rPr>
        <w:t xml:space="preserve">1.2</w:t>
        <w:tab/>
        <w:t xml:space="preserve">Περίγραμμα επιχειρησιακών λειτουργιών</w:t>
      </w:r>
    </w:p>
    <w:p w:rsidR="00000000" w:rsidDel="00000000" w:rsidP="00000000" w:rsidRDefault="00000000" w:rsidRPr="00000000" w14:paraId="00000008">
      <w:pPr>
        <w:spacing w:line="276" w:lineRule="auto"/>
        <w:rPr/>
      </w:pPr>
      <w:r w:rsidDel="00000000" w:rsidR="00000000" w:rsidRPr="00000000">
        <w:rPr>
          <w:rtl w:val="0"/>
        </w:rPr>
        <w:t xml:space="preserve">Κύρια επιχειρησιακή λειτουργία είναι η παροχή πλατφόρμας πάνω στην οποία να μπορούν να γίνουν πληρωμές και να εκδοθούν τιμολόγια, τόσο προς τους ιδιοκτήτες οχημάτων όσο και προς τους ιδιοκτήτες σταθμών φόρτισης. Ακόμη, είναι σημαντική η καταγραφή και προσμέτρηση των δεδομένων κάθε γεγονότος φόρτισης, και η ανάλυσή τους υπό διάφορες σκοπιές για εξαγωγή προβλέψεων: ανά περιοχή, ανά κατασκευαστή, ανά χρονική περίοδο κλπ. Ιδιάζουσα σημασία έχει και η υποστήριξη κάποιου τρόπου υποβολής προβλημάτων στην ηλεκτροδότηση από τους ιδιοκτήτες των σταθμών, και τρόπου ανακοίνωσης σφαλμάτων στο δίκτυο ηλεκτροδότησης μέσω της εφαρμογής</w:t>
      </w:r>
    </w:p>
    <w:p w:rsidR="00000000" w:rsidDel="00000000" w:rsidP="00000000" w:rsidRDefault="00000000" w:rsidRPr="00000000" w14:paraId="00000009">
      <w:pPr>
        <w:pStyle w:val="Heading1"/>
        <w:numPr>
          <w:ilvl w:val="0"/>
          <w:numId w:val="4"/>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0A">
      <w:pPr>
        <w:rPr/>
      </w:pPr>
      <w:r w:rsidDel="00000000" w:rsidR="00000000" w:rsidRPr="00000000">
        <w:rPr>
          <w:rtl w:val="0"/>
        </w:rPr>
        <w:t xml:space="preserve">N/A</w:t>
      </w:r>
    </w:p>
    <w:p w:rsidR="00000000" w:rsidDel="00000000" w:rsidP="00000000" w:rsidRDefault="00000000" w:rsidRPr="00000000" w14:paraId="0000000B">
      <w:pPr>
        <w:pStyle w:val="Heading1"/>
        <w:numPr>
          <w:ilvl w:val="0"/>
          <w:numId w:val="4"/>
        </w:numPr>
        <w:ind w:left="360" w:hanging="360"/>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0C">
      <w:pPr>
        <w:pStyle w:val="Heading2"/>
        <w:rPr/>
      </w:pPr>
      <w:r w:rsidDel="00000000" w:rsidR="00000000" w:rsidRPr="00000000">
        <w:rPr>
          <w:rtl w:val="0"/>
        </w:rPr>
        <w:t xml:space="preserve">3.1</w:t>
        <w:tab/>
        <w:t xml:space="preserve">Επιχειρησιακές διαδικασίες</w:t>
      </w:r>
    </w:p>
    <w:p w:rsidR="00000000" w:rsidDel="00000000" w:rsidP="00000000" w:rsidRDefault="00000000" w:rsidRPr="00000000" w14:paraId="0000000D">
      <w:pPr>
        <w:spacing w:line="276" w:lineRule="auto"/>
        <w:rPr/>
      </w:pPr>
      <w:r w:rsidDel="00000000" w:rsidR="00000000" w:rsidRPr="00000000">
        <w:rPr>
          <w:rtl w:val="0"/>
        </w:rPr>
        <w:t xml:space="preserve">Η επιχείρηση κρίνει απαραίτητη την επίτευξη των παρακάτω μέσα από τις υπηρεσίες που προσφέρει η εφαρμογή:</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Σύναψη οικονομικών σχέσεων με τους ιδιοκτήτες των σταθμών φόρτισης αυτοκινήτων, προσφορά ειδικών τιμολογίων για την κατανάλωση ηλεκτρικού ρεύματος προς αύξηση της πελατείας και των κερδών.</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72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Αύξηση του πλήθους ηλεκτρικών οχημάτων στην κυκλοφορία, με την διάδοση των ηλεκτρικών σταθμών και την εδραίωσή τους ως σημαντικό ποσοστό των Ι.Χ. που κυκλοφορούν στους δρόμους, προς αύξηση των εν δυνάμει πελατών και κερδών</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Ενίσχυση των σχέσεων με τους κατασκευαστές αυτοκινήτων, και συνεισφορά στην ώθηση της εδραίωσης των ηλεκτροκίνητων οχημάτων και στην προσέλκυση πελατών για την ενίσχυση της βιομηχανίας.</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Προσέλκυση πελατών στο δίκτυο ηλεκτροδότησης της εταιρίας για τα σπίτια τους, προσφέροντας διευκόλυνση με συνδυασμό του λογαριασμού φόρτισης αυτοκινήτου και ηλεκτροδότησης οικίας.</w:t>
      </w:r>
    </w:p>
    <w:p w:rsidR="00000000" w:rsidDel="00000000" w:rsidP="00000000" w:rsidRDefault="00000000" w:rsidRPr="00000000" w14:paraId="00000015">
      <w:pPr>
        <w:pStyle w:val="Heading2"/>
        <w:rPr/>
      </w:pPr>
      <w:r w:rsidDel="00000000" w:rsidR="00000000" w:rsidRPr="00000000">
        <w:rPr>
          <w:rtl w:val="0"/>
        </w:rPr>
        <w:t xml:space="preserve">3.2</w:t>
        <w:tab/>
        <w:tab/>
        <w:t xml:space="preserve">Δείκτες ποιότητας</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Πλήθος εγγεγραμμένων χρηστών στην εφαρμογή.</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72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Πλήθος χρηστών που κάνουν τακτική χρήση της εφαρμογής.</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Ποσοστό χρηστών που κάνουν τακτική χρήση της εφαρμογής.</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Ύπαρξη αξιόπιστου αρχείου δεδομένων χρηστών και πληρωμών.</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Προβολή διαφημίσεων και προσφορών σε χρήστες που αρμόζουν με τις προτιμήσεις τους και είναι πιο πιθανό να ενδιαφερθούν.</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Υποστήριξη πολλών τύπων πιστωτικών καρτών.</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Υποστήριξη διαφόρων τρόπων πληρωμής οφειλών.</w:t>
      </w:r>
    </w:p>
    <w:p w:rsidR="00000000" w:rsidDel="00000000" w:rsidP="00000000" w:rsidRDefault="00000000" w:rsidRPr="00000000" w14:paraId="00000023">
      <w:pPr>
        <w:pStyle w:val="Heading1"/>
        <w:numPr>
          <w:ilvl w:val="0"/>
          <w:numId w:val="4"/>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Η επιχείρηση απαιτεί από την εφαρμογή να μπορεί να εξάγει αξιόπιστα αποτελέσματα, για αυτό είναι αναγκαία η ύπαρξη σημαντικού όγκου ενεργών χρηστών, καθώς και η εξακρίβωση της αξιοπιστίας των δεδομένων που εξάγονται από αυτούς. Είναι σημαντικός ο εντοπισμός και η απομόνωση κακόβουλων χρηστών που προσπαθούν να διαβάλλουν τα αποτελέσματα των στατιστικών που εξάγονται από την εφαρμογή. Ακόμη ανάγκη είναι η  διαχείριση των οικονομικών εκκρεμοτήτων των χρηστών, τόσο των ιδιοκτητών σταθμών φόρτισης, όσο και αυτοκινήτων.</w:t>
      </w:r>
    </w:p>
    <w:p w:rsidR="00000000" w:rsidDel="00000000" w:rsidP="00000000" w:rsidRDefault="00000000" w:rsidRPr="00000000" w14:paraId="00000025">
      <w:pPr>
        <w:pStyle w:val="Heading1"/>
        <w:numPr>
          <w:ilvl w:val="0"/>
          <w:numId w:val="4"/>
        </w:numPr>
        <w:ind w:left="360" w:hanging="360"/>
        <w:rPr/>
      </w:pPr>
      <w:r w:rsidDel="00000000" w:rsidR="00000000" w:rsidRPr="00000000">
        <w:rPr>
          <w:rtl w:val="0"/>
        </w:rPr>
        <w:t xml:space="preserve">Αρχές του προτεινόμενου συστήματος</w:t>
      </w:r>
    </w:p>
    <w:p w:rsidR="00000000" w:rsidDel="00000000" w:rsidP="00000000" w:rsidRDefault="00000000" w:rsidRPr="00000000" w14:paraId="00000026">
      <w:pPr>
        <w:spacing w:line="276" w:lineRule="auto"/>
        <w:rPr/>
      </w:pPr>
      <w:r w:rsidDel="00000000" w:rsidR="00000000" w:rsidRPr="00000000">
        <w:rPr>
          <w:rtl w:val="0"/>
        </w:rPr>
        <w:t xml:space="preserve">Απαραίτητη είναι για την εταιρία η δυνατότητα όψης των δεδομένων των χρηστών με ταυτοποιήσιμο τρόπο, όταν πρόκειται για πελάτες της ίδιας, ενώ με μη ταυτοποιήσιμο τρόπο, όταν δεν πρόκειται για πελάτες της. Ακόμη, το σύστημα πληρωμής των οφειλών πρέπει να είναι συμβατό με τα συστήματα που χρησιμοποιεί ήδη η εταιρία, και να παρέχει άμεση δυνατότητα εξόφλησης των λογαριασμών στους χρήστες. Επιτακτική ανάγκη είναι επίσης η αλληλεπίδραση μεταξύ της επιχείρησης και των ιδιοκτητών των σταθμών φόρτισης, μέσα από λειτουργίες της εφαρμογής και η ελαχιστοποίηση της ανάγκης εξωτερικής επικοινωνίας μαζί τους.</w:t>
      </w:r>
    </w:p>
    <w:p w:rsidR="00000000" w:rsidDel="00000000" w:rsidP="00000000" w:rsidRDefault="00000000" w:rsidRPr="00000000" w14:paraId="00000027">
      <w:pPr>
        <w:pStyle w:val="Heading1"/>
        <w:numPr>
          <w:ilvl w:val="0"/>
          <w:numId w:val="4"/>
        </w:numPr>
        <w:ind w:left="360" w:hanging="360"/>
        <w:rPr/>
      </w:pPr>
      <w:r w:rsidDel="00000000" w:rsidR="00000000" w:rsidRPr="00000000">
        <w:rPr>
          <w:rtl w:val="0"/>
        </w:rPr>
        <w:t xml:space="preserve">Περιορισμοί στο πλαίσιο του έργου</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Η εφαρμογή θα είναι σε δοκιμαστικό στάδιο μέχρι το τέλος του έτους, και σταδιακά σε διάστημα άλλου μισού έτους θα γίνει διαθέσιμη στο ευρύ κοινό.</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72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Τα δεδομένα των χρηστών της εφαρμογής θα πρέπει να διαχειρίζονται από την εταιρία με απόλυτο σεβασμό της ιδιωτικότητας και ποτέ σε αντίθεση με το προσωπικό και εταιρικό απόρρητο και την νομοθεσία GDPR.</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Χρήση του δημοσίου για ανταλλαγή δεδομένων.</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Δυνατότητα για αποθήκευση μεγάλου όγκου δεδομένων συνολικών χρηστών, αλλά δυνατότητα ταυτόχρονης εξυπηρέτησης περιορισμένου αριθμού ταυτόχρονα.</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Αδυναμία εξαγωγής αξιόπιστων στατιστικών και δεδομένων στα αρχικά στάδια κανονικής λειτουργίας της εφαρμογής, λόγω του σχετικά μικρού αριθμού χρηστών.</w:t>
      </w:r>
    </w:p>
    <w:p w:rsidR="00000000" w:rsidDel="00000000" w:rsidP="00000000" w:rsidRDefault="00000000" w:rsidRPr="00000000" w14:paraId="00000031">
      <w:pPr>
        <w:pStyle w:val="Heading1"/>
        <w:numPr>
          <w:ilvl w:val="0"/>
          <w:numId w:val="4"/>
        </w:numPr>
        <w:ind w:left="360" w:hanging="360"/>
        <w:rPr/>
      </w:pPr>
      <w:r w:rsidDel="00000000" w:rsidR="00000000" w:rsidRPr="00000000">
        <w:rPr>
          <w:rtl w:val="0"/>
        </w:rPr>
        <w:t xml:space="preserve">Παράρτημα: ακρωνύμια και συντομογραφίες </w:t>
      </w:r>
    </w:p>
    <w:p w:rsidR="00000000" w:rsidDel="00000000" w:rsidP="00000000" w:rsidRDefault="00000000" w:rsidRPr="00000000" w14:paraId="00000032">
      <w:pPr>
        <w:rPr/>
      </w:pPr>
      <w:r w:rsidDel="00000000" w:rsidR="00000000" w:rsidRPr="00000000">
        <w:rPr>
          <w:rtl w:val="0"/>
        </w:rPr>
        <w:t xml:space="preserve">Ι.Χ.: Ιδιωτικής Χρήσεως (οχήματα)</w:t>
      </w:r>
    </w:p>
    <w:p w:rsidR="00000000" w:rsidDel="00000000" w:rsidP="00000000" w:rsidRDefault="00000000" w:rsidRPr="00000000" w14:paraId="00000033">
      <w:pPr>
        <w:rPr/>
      </w:pPr>
      <w:r w:rsidDel="00000000" w:rsidR="00000000" w:rsidRPr="00000000">
        <w:rPr>
          <w:rtl w:val="0"/>
        </w:rPr>
        <w:t xml:space="preserve">GDPR: General Data Protection Regulation</w:t>
      </w:r>
    </w:p>
    <w:sectPr>
      <w:footerReference r:id="rId7"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w:t>
      <w:tab/>
      <w:t xml:space="preserve">ΕΓΓΡΑΦΟ StRS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BE4961"/>
    <w:pPr>
      <w:keepNext w:val="1"/>
      <w:keepLines w:val="1"/>
      <w:spacing w:before="240"/>
      <w:ind w:left="567" w:hanging="567"/>
      <w:outlineLvl w:val="1"/>
    </w:pPr>
    <w:rPr>
      <w:rFonts w:asciiTheme="majorHAnsi" w:cstheme="majorBidi" w:eastAsiaTheme="majorEastAsia" w:hAnsiTheme="majorHAnsi"/>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BE4961"/>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772CA3"/>
    <w:pPr>
      <w:spacing w:before="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72CA3"/>
    <w:rPr>
      <w:rFonts w:asciiTheme="majorHAnsi" w:cstheme="majorBidi" w:eastAsiaTheme="majorEastAsia" w:hAnsiTheme="majorHAnsi"/>
      <w:spacing w:val="-10"/>
      <w:kern w:val="28"/>
      <w:sz w:val="56"/>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A642AE"/>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A642AE"/>
    <w:rPr>
      <w:rFonts w:eastAsiaTheme="minorEastAsia"/>
      <w:color w:val="5a5a5a" w:themeColor="text1" w:themeTint="0000A5"/>
      <w:spacing w:val="15"/>
      <w:sz w:val="28"/>
      <w:szCs w:val="22"/>
      <w:lang w:val="el-GR"/>
    </w:rPr>
  </w:style>
  <w:style w:type="paragraph" w:styleId="ListParagraph">
    <w:name w:val="List Paragraph"/>
    <w:basedOn w:val="Normal"/>
    <w:uiPriority w:val="34"/>
    <w:qFormat w:val="1"/>
    <w:rsid w:val="00197260"/>
    <w:pPr>
      <w:ind w:left="720"/>
      <w:contextualSpacing w:val="1"/>
    </w:pPr>
  </w:style>
  <w:style w:type="paragraph" w:styleId="NoSpacing">
    <w:name w:val="No Spacing"/>
    <w:uiPriority w:val="1"/>
    <w:qFormat w:val="1"/>
    <w:rsid w:val="00F04295"/>
    <w:pPr>
      <w:snapToGrid w:val="0"/>
    </w:pPr>
    <w:rPr>
      <w:lang w:val="el-GR"/>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1EjA0lycpaGLQz4zaUuhHlACOg==">AMUW2mWsvMMtSNPPaHIprsTxiXRi3zksvXgaZ/JPUgqxHWACX6nWyUF1aqZZ2ZEImNWFHFDcLaMuokRtaexn41YzchbmrRfbXwdFgNn46I3uJI3PLu4nwd8=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2020-11-30T20:32:00Z</dcterms:created>
  <dc:creator>Vassilios Vescoukis</dc:creator>
</cp:coreProperties>
</file>