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基于启发式搜索算法的，单工序处理物料情况的动态调度模型建立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基本假设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 假设所有CNC生成，发送相应需求，到RGV机器人处理CNC发出的请求总过程，不消耗时间(或者总体时间极小不考虑)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 不考虑RGV机器人在拿取，放下以及行走过程中可能出现的物料掉落，机器人损坏，亦或是传送带损坏，车间断电的所有不可控的小概率事件。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 假设可提供的生料不存在用完的情况，每当CNC发出空闲请求处理生料信号，都能够获得所需材料。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 不考虑传送带延迟时间，每台CNC机器发生故障的概率相互独立，且满足泊松分布。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符号说明</w:t>
      </w:r>
    </w:p>
    <w:tbl>
      <w:tblPr>
        <w:tblStyle w:val="5"/>
        <w:tblpPr w:leftFromText="180" w:rightFromText="180" w:vertAnchor="text" w:horzAnchor="page" w:tblpX="2432" w:tblpY="630"/>
        <w:tblOverlap w:val="never"/>
        <w:tblW w:w="7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1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所需参数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RGV移动</w:t>
            </w:r>
            <w:r>
              <w:rPr>
                <w:rFonts w:hint="eastAsia"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个单位</w:t>
            </w:r>
            <w:r>
              <w:rPr>
                <w:rFonts w:hint="eastAsia" w:ascii="Times New Roman" w:hAnsi="Times New Roman"/>
                <w:sz w:val="18"/>
                <w:szCs w:val="18"/>
              </w:rPr>
              <w:t>所需</w:t>
            </w:r>
            <w:r>
              <w:rPr>
                <w:rFonts w:ascii="Times New Roman" w:hAnsi="Times New Roman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25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RGV移动</w:t>
            </w:r>
            <w:r>
              <w:rPr>
                <w:rFonts w:hint="eastAsia"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个单位</w:t>
            </w:r>
            <w:r>
              <w:rPr>
                <w:rFonts w:hint="eastAsia" w:ascii="Times New Roman" w:hAnsi="Times New Roman"/>
                <w:sz w:val="18"/>
                <w:szCs w:val="18"/>
              </w:rPr>
              <w:t>所需</w:t>
            </w:r>
            <w:r>
              <w:rPr>
                <w:rFonts w:ascii="Times New Roman" w:hAnsi="Times New Roman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26" o:spt="75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RGV移动</w:t>
            </w:r>
            <w:r>
              <w:rPr>
                <w:rFonts w:hint="eastAsia"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个单位</w:t>
            </w:r>
            <w:r>
              <w:rPr>
                <w:rFonts w:hint="eastAsia" w:ascii="Times New Roman" w:hAnsi="Times New Roman"/>
                <w:sz w:val="18"/>
                <w:szCs w:val="18"/>
              </w:rPr>
              <w:t>所需</w:t>
            </w:r>
            <w:r>
              <w:rPr>
                <w:rFonts w:ascii="Times New Roman" w:hAnsi="Times New Roman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sz w:val="21"/>
                <w:szCs w:val="21"/>
                <w:vertAlign w:val="baseline"/>
                <w:lang w:val="en-US" w:eastAsia="zh-CN"/>
              </w:rPr>
              <w:object>
                <v:shape id="_x0000_i1027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CNC</w:t>
            </w:r>
            <w:r>
              <w:rPr>
                <w:rFonts w:ascii="Times New Roman" w:hAnsi="宋体"/>
                <w:sz w:val="18"/>
                <w:szCs w:val="18"/>
              </w:rPr>
              <w:t>加工</w:t>
            </w:r>
            <w:r>
              <w:rPr>
                <w:rFonts w:hint="eastAsia" w:ascii="Times New Roman" w:hAnsi="宋体"/>
                <w:sz w:val="18"/>
                <w:szCs w:val="18"/>
              </w:rPr>
              <w:t>完成一个</w:t>
            </w:r>
            <w:r>
              <w:rPr>
                <w:rFonts w:ascii="Times New Roman" w:hAnsi="宋体"/>
                <w:sz w:val="18"/>
                <w:szCs w:val="18"/>
              </w:rPr>
              <w:t>一道工序</w:t>
            </w:r>
            <w:r>
              <w:rPr>
                <w:rFonts w:hint="eastAsia" w:ascii="Times New Roman" w:hAnsi="宋体"/>
                <w:sz w:val="18"/>
                <w:szCs w:val="18"/>
              </w:rPr>
              <w:t>的物料所需</w:t>
            </w:r>
            <w:r>
              <w:rPr>
                <w:rFonts w:ascii="Times New Roman" w:hAnsi="宋体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28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CNC</w:t>
            </w:r>
            <w:r>
              <w:rPr>
                <w:rFonts w:ascii="Times New Roman" w:hAnsi="宋体"/>
                <w:sz w:val="18"/>
                <w:szCs w:val="18"/>
              </w:rPr>
              <w:t>加工</w:t>
            </w:r>
            <w:r>
              <w:rPr>
                <w:rFonts w:hint="eastAsia" w:ascii="Times New Roman" w:hAnsi="宋体"/>
                <w:sz w:val="18"/>
                <w:szCs w:val="18"/>
              </w:rPr>
              <w:t>完成一个</w:t>
            </w:r>
            <w:r>
              <w:rPr>
                <w:rFonts w:ascii="Times New Roman" w:hAnsi="Times New Roman"/>
                <w:sz w:val="18"/>
                <w:szCs w:val="18"/>
              </w:rPr>
              <w:t>两</w:t>
            </w:r>
            <w:r>
              <w:rPr>
                <w:rFonts w:ascii="Times New Roman" w:hAnsi="宋体"/>
                <w:sz w:val="18"/>
                <w:szCs w:val="18"/>
              </w:rPr>
              <w:t>道工序</w:t>
            </w:r>
            <w:r>
              <w:rPr>
                <w:rFonts w:hint="eastAsia" w:ascii="Times New Roman" w:hAnsi="宋体"/>
                <w:sz w:val="18"/>
                <w:szCs w:val="18"/>
              </w:rPr>
              <w:t>物料的第一道工序所需</w:t>
            </w:r>
            <w:r>
              <w:rPr>
                <w:rFonts w:ascii="Times New Roman" w:hAnsi="宋体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29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CNC</w:t>
            </w:r>
            <w:r>
              <w:rPr>
                <w:rFonts w:hint="eastAsia" w:ascii="Times New Roman" w:hAnsi="Times New Roman"/>
                <w:sz w:val="18"/>
                <w:szCs w:val="18"/>
              </w:rPr>
              <w:t>加工完成一个</w:t>
            </w:r>
            <w:r>
              <w:rPr>
                <w:rFonts w:ascii="Times New Roman" w:hAnsi="Times New Roman"/>
                <w:sz w:val="18"/>
                <w:szCs w:val="18"/>
              </w:rPr>
              <w:t>两</w:t>
            </w:r>
            <w:r>
              <w:rPr>
                <w:rFonts w:ascii="Times New Roman" w:hAnsi="宋体"/>
                <w:sz w:val="18"/>
                <w:szCs w:val="18"/>
              </w:rPr>
              <w:t>道工序</w:t>
            </w:r>
            <w:r>
              <w:rPr>
                <w:rFonts w:hint="eastAsia" w:ascii="Times New Roman" w:hAnsi="Times New Roman"/>
                <w:sz w:val="18"/>
                <w:szCs w:val="18"/>
              </w:rPr>
              <w:t>物料</w:t>
            </w:r>
            <w:r>
              <w:rPr>
                <w:rFonts w:hint="eastAsia" w:ascii="Times New Roman" w:hAnsi="宋体"/>
                <w:sz w:val="18"/>
                <w:szCs w:val="18"/>
              </w:rPr>
              <w:t>的第</w:t>
            </w:r>
            <w:r>
              <w:rPr>
                <w:rFonts w:hint="eastAsia" w:ascii="Times New Roman" w:hAnsi="Times New Roman"/>
                <w:sz w:val="18"/>
                <w:szCs w:val="18"/>
              </w:rPr>
              <w:t>二道工序所需</w:t>
            </w:r>
            <w:r>
              <w:rPr>
                <w:rFonts w:ascii="Times New Roman" w:hAnsi="宋体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30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RGV为</w:t>
            </w:r>
            <w:r>
              <w:rPr>
                <w:rFonts w:ascii="Times New Roman" w:hAnsi="Times New Roman"/>
                <w:sz w:val="18"/>
                <w:szCs w:val="18"/>
              </w:rPr>
              <w:t>CNC1</w:t>
            </w:r>
            <w:r>
              <w:rPr>
                <w:rFonts w:hint="eastAsia" w:ascii="Times New Roman" w:hAnsi="Times New Roman"/>
                <w:sz w:val="18"/>
                <w:szCs w:val="18"/>
              </w:rPr>
              <w:t>#，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hint="eastAsia" w:ascii="Times New Roman" w:hAnsi="Times New Roman"/>
                <w:sz w:val="18"/>
                <w:szCs w:val="18"/>
              </w:rPr>
              <w:t>#，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hint="eastAsia" w:ascii="Times New Roman" w:hAnsi="Times New Roman"/>
                <w:sz w:val="18"/>
                <w:szCs w:val="18"/>
              </w:rPr>
              <w:t>#，</w:t>
            </w:r>
            <w:r>
              <w:rPr>
                <w:rFonts w:ascii="Times New Roman" w:hAnsi="Times New Roman"/>
                <w:sz w:val="18"/>
                <w:szCs w:val="18"/>
              </w:rPr>
              <w:t>7#</w:t>
            </w:r>
            <w:r>
              <w:rPr>
                <w:rFonts w:hint="eastAsia" w:ascii="Times New Roman" w:hAnsi="Times New Roman"/>
                <w:sz w:val="18"/>
                <w:szCs w:val="18"/>
              </w:rPr>
              <w:t>一次</w:t>
            </w:r>
            <w:r>
              <w:rPr>
                <w:rFonts w:ascii="Times New Roman" w:hAnsi="Times New Roman"/>
                <w:sz w:val="18"/>
                <w:szCs w:val="18"/>
              </w:rPr>
              <w:t>上下料</w:t>
            </w:r>
            <w:r>
              <w:rPr>
                <w:rFonts w:hint="eastAsia" w:ascii="Times New Roman" w:hAnsi="Times New Roman"/>
                <w:sz w:val="18"/>
                <w:szCs w:val="18"/>
              </w:rPr>
              <w:t>所需</w:t>
            </w:r>
            <w:r>
              <w:rPr>
                <w:rFonts w:ascii="Times New Roman" w:hAnsi="Times New Roman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31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RGV为</w:t>
            </w:r>
            <w:r>
              <w:rPr>
                <w:rFonts w:ascii="Times New Roman" w:hAnsi="Times New Roman"/>
                <w:sz w:val="18"/>
                <w:szCs w:val="18"/>
              </w:rPr>
              <w:t>CNC2</w:t>
            </w:r>
            <w:r>
              <w:rPr>
                <w:rFonts w:hint="eastAsia" w:ascii="Times New Roman" w:hAnsi="Times New Roman"/>
                <w:sz w:val="18"/>
                <w:szCs w:val="18"/>
              </w:rPr>
              <w:t>#</w:t>
            </w:r>
            <w:r>
              <w:rPr>
                <w:rFonts w:ascii="Times New Roman" w:hAnsi="Times New Roman"/>
                <w:sz w:val="18"/>
                <w:szCs w:val="18"/>
              </w:rPr>
              <w:t>，4</w:t>
            </w:r>
            <w:r>
              <w:rPr>
                <w:rFonts w:hint="eastAsia" w:ascii="Times New Roman" w:hAnsi="Times New Roman"/>
                <w:sz w:val="18"/>
                <w:szCs w:val="18"/>
              </w:rPr>
              <w:t>#</w:t>
            </w:r>
            <w:r>
              <w:rPr>
                <w:rFonts w:ascii="Times New Roman" w:hAnsi="Times New Roman"/>
                <w:sz w:val="18"/>
                <w:szCs w:val="18"/>
              </w:rPr>
              <w:t>，6</w:t>
            </w:r>
            <w:r>
              <w:rPr>
                <w:rFonts w:hint="eastAsia" w:ascii="Times New Roman" w:hAnsi="Times New Roman"/>
                <w:sz w:val="18"/>
                <w:szCs w:val="18"/>
              </w:rPr>
              <w:t>#</w:t>
            </w:r>
            <w:r>
              <w:rPr>
                <w:rFonts w:ascii="Times New Roman" w:hAnsi="Times New Roman"/>
                <w:sz w:val="18"/>
                <w:szCs w:val="18"/>
              </w:rPr>
              <w:t>，8#</w:t>
            </w:r>
            <w:r>
              <w:rPr>
                <w:rFonts w:hint="eastAsia" w:ascii="Times New Roman" w:hAnsi="Times New Roman"/>
                <w:sz w:val="18"/>
                <w:szCs w:val="18"/>
              </w:rPr>
              <w:t>一次</w:t>
            </w:r>
            <w:r>
              <w:rPr>
                <w:rFonts w:ascii="Times New Roman" w:hAnsi="Times New Roman"/>
                <w:sz w:val="18"/>
                <w:szCs w:val="18"/>
              </w:rPr>
              <w:t>上下料</w:t>
            </w:r>
            <w:r>
              <w:rPr>
                <w:rFonts w:hint="eastAsia" w:ascii="Times New Roman" w:hAnsi="Times New Roman"/>
                <w:sz w:val="18"/>
                <w:szCs w:val="18"/>
              </w:rPr>
              <w:t>所需</w:t>
            </w:r>
            <w:r>
              <w:rPr>
                <w:rFonts w:ascii="Times New Roman" w:hAnsi="Times New Roman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32" o:spt="75" type="#_x0000_t75" style="height:17pt;width:1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RGV完</w:t>
            </w:r>
            <w:r>
              <w:rPr>
                <w:rFonts w:hint="eastAsia" w:ascii="Times New Roman" w:hAnsi="Times New Roman"/>
                <w:sz w:val="18"/>
                <w:szCs w:val="18"/>
              </w:rPr>
              <w:t>成</w:t>
            </w:r>
            <w:r>
              <w:rPr>
                <w:rFonts w:ascii="Times New Roman" w:hAnsi="Times New Roman"/>
                <w:sz w:val="18"/>
                <w:szCs w:val="18"/>
              </w:rPr>
              <w:t>一个物料</w:t>
            </w:r>
            <w:r>
              <w:rPr>
                <w:rFonts w:hint="eastAsia" w:ascii="Times New Roman" w:hAnsi="Times New Roman"/>
                <w:sz w:val="18"/>
                <w:szCs w:val="18"/>
              </w:rPr>
              <w:t>的清洗作业所需</w:t>
            </w:r>
            <w:r>
              <w:rPr>
                <w:rFonts w:ascii="Times New Roman" w:hAnsi="Times New Roman"/>
                <w:sz w:val="18"/>
                <w:szCs w:val="18"/>
              </w:rPr>
              <w:t>时间</w:t>
            </w:r>
          </w:p>
        </w:tc>
        <w:tc>
          <w:tcPr>
            <w:tcW w:w="2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sz w:val="21"/>
                <w:szCs w:val="21"/>
                <w:vertAlign w:val="baseline"/>
                <w:lang w:val="en-US" w:eastAsia="zh-CN"/>
              </w:rPr>
              <w:object>
                <v:shape id="_x0000_i1033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0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7300" w:type="dxa"/>
        <w:tblInd w:w="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3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自定义参数</w:t>
            </w: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所有物料集合</w:t>
            </w: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所有CNC机器集合</w:t>
            </w: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加工生料所需的工序集合</w:t>
            </w: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某个物料的代号</w:t>
            </w: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某台CNC机器代号</w:t>
            </w: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模型建立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题目总述与算法引入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度模型的建立，最核心的部分应该建立在调度次序的选择决策算法上。本题目中的RGV小车通过调度模型，在接收到不同的CNC机器发出请求之后，根据模型的输出来决定移动与否，以及下一步的工作方向和工作步骤。确定某个动态调度模型的效率高低的标准，实际上体现在固定时间内的总体产出成品数，亦或是单位时间内净产出率。基于以上的调度模型评价标准，我们引入建立在启发式搜索之上的仿进程执行的队列调度算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所谓的仿进程的队列调度算法，实际上就是将每个CNC机器向RGV机器人发出的请求归纳为一个等待执行的计算机进程，每当一个请求产生，我们将该任务放置到等待队列中。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V机器人在每一步的工作执行之前，检查队列中的首位进程任务，并执行相应的操作，将该任务从等待队列中移出。这样一来，队列对于每项任务的排序就显得十分必要，因为我们希望的情况必须是RGV所移动的路径所导致的结果为产出最大，即引向最优解的方向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那么最重要的问题则是：</w:t>
      </w:r>
      <w:r>
        <w:rPr>
          <w:rFonts w:hint="eastAsia"/>
          <w:b/>
          <w:bCs/>
          <w:lang w:val="en-US" w:eastAsia="zh-CN"/>
        </w:rPr>
        <w:t>我们如何优化队列的搜索排序函数，使得RGV每一次执行的首位任务都是可得出当前最优解的方向呢？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“目光短浅”的贪心算法与启发式搜索算法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基于对所有任务的排序需求，我们能够直接想到的则是对于当前一步执行过程所需要的代价数值，作为估价函数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6pt;width:27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的评判标准，此估价函数值作为每一个任务代表的“执行价值”，是队列排序的决定性因素。那么，当且仅当考虑某个任务T与RGV小车之间的直线距离移动所消耗的时间t</w:t>
      </w:r>
      <w:r>
        <w:rPr>
          <w:rFonts w:hint="eastAsia"/>
          <w:b w:val="0"/>
          <w:bCs w:val="0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>，以及执行T消耗的上下料时间t</w:t>
      </w:r>
      <w:r>
        <w:rPr>
          <w:rFonts w:hint="eastAsia"/>
          <w:b w:val="0"/>
          <w:bCs w:val="0"/>
          <w:vertAlign w:val="subscript"/>
          <w:lang w:val="en-US" w:eastAsia="zh-CN"/>
        </w:rPr>
        <w:t>2，</w:t>
      </w:r>
      <w:r>
        <w:rPr>
          <w:rFonts w:hint="eastAsia"/>
          <w:b w:val="0"/>
          <w:bCs w:val="0"/>
          <w:lang w:val="en-US" w:eastAsia="zh-CN"/>
        </w:rPr>
        <w:t>作为估价因子的算法，我们称为</w:t>
      </w:r>
      <w:r>
        <w:rPr>
          <w:rFonts w:hint="eastAsia"/>
          <w:b/>
          <w:bCs/>
          <w:lang w:val="en-US" w:eastAsia="zh-CN"/>
        </w:rPr>
        <w:t>直接贪心算法</w:t>
      </w:r>
      <w:r>
        <w:rPr>
          <w:rFonts w:hint="eastAsia"/>
          <w:b w:val="0"/>
          <w:bCs w:val="0"/>
          <w:lang w:val="en-US" w:eastAsia="zh-CN"/>
        </w:rPr>
        <w:t>，该算法只考虑每个任务对RGV下一步解的影响情况，是最为简单的局部最优解算法，估价函数公式：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35" o:spt="75" type="#_x0000_t75" style="height:33.1pt;width:18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//可能需要分析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为了更好地求解得出较优的动态调度模型，我们引入了具有局域性分析的算法 -- 启发式搜索算法，它不仅仅基于当前任务与RGV位置之间，或者执行时间等直接影响因素，更重要的则是引入了搜索路径模拟的概念，</w:t>
      </w:r>
      <w:r>
        <w:rPr>
          <w:rFonts w:hint="eastAsia"/>
          <w:b/>
          <w:bCs/>
          <w:lang w:val="en-US" w:eastAsia="zh-CN"/>
        </w:rPr>
        <w:t>通过假设执行下一任务的情况，找出该操作对整个系统造成的路径选择上的影响，并将该影响数值化纳入估价数值中。</w:t>
      </w:r>
      <w:r>
        <w:rPr>
          <w:rFonts w:hint="eastAsia"/>
          <w:b w:val="0"/>
          <w:bCs w:val="0"/>
          <w:lang w:val="en-US" w:eastAsia="zh-CN"/>
        </w:rPr>
        <w:t>用于Matlab程序算法的设计中，我们采用模拟任务队列的方法，假设某一任务真正地被执行，然后依据改变后的其余任务对于RGV的执行代价计算(执行距离所需时间，操作时间)，加入估价因子中。同样地，我们采用按距离排序其余任务法，将距离短者放在虚拟队列的首部，避免RGV在改变后的系统中出现随机搜索执行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7F8371"/>
    <w:multiLevelType w:val="singleLevel"/>
    <w:tmpl w:val="F87F83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0A31A0"/>
    <w:multiLevelType w:val="singleLevel"/>
    <w:tmpl w:val="1D0A31A0"/>
    <w:lvl w:ilvl="0" w:tentative="0">
      <w:start w:val="1"/>
      <w:numFmt w:val="chineseCounting"/>
      <w:suff w:val="nothing"/>
      <w:lvlText w:val="第%1部分、"/>
      <w:lvlJc w:val="left"/>
      <w:rPr>
        <w:rFonts w:hint="eastAsia"/>
      </w:rPr>
    </w:lvl>
  </w:abstractNum>
  <w:abstractNum w:abstractNumId="2">
    <w:nsid w:val="44EB6A81"/>
    <w:multiLevelType w:val="singleLevel"/>
    <w:tmpl w:val="44EB6A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209C7"/>
    <w:rsid w:val="22E0750D"/>
    <w:rsid w:val="43CD59D9"/>
    <w:rsid w:val="60901FA7"/>
    <w:rsid w:val="67F90302"/>
    <w:rsid w:val="6BED0F82"/>
    <w:rsid w:val="74E1184D"/>
    <w:rsid w:val="7BD221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微软雅黑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[CML.......]</cp:lastModifiedBy>
  <dcterms:modified xsi:type="dcterms:W3CDTF">2018-09-14T16:59:30Z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