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6B402" w14:textId="40957A03" w:rsidR="00512E56" w:rsidRPr="009216DC" w:rsidRDefault="00512E56" w:rsidP="009216DC">
      <w:pPr>
        <w:pStyle w:val="Title"/>
        <w:jc w:val="center"/>
        <w:rPr>
          <w:sz w:val="40"/>
          <w:szCs w:val="48"/>
        </w:rPr>
      </w:pPr>
      <w:r w:rsidRPr="009216DC">
        <w:rPr>
          <w:sz w:val="40"/>
          <w:szCs w:val="48"/>
        </w:rPr>
        <w:t xml:space="preserve">Trade </w:t>
      </w:r>
      <w:r w:rsidR="00A55E6B" w:rsidRPr="009216DC">
        <w:rPr>
          <w:sz w:val="40"/>
          <w:szCs w:val="48"/>
        </w:rPr>
        <w:t>agreements</w:t>
      </w:r>
      <w:r w:rsidRPr="009216DC">
        <w:rPr>
          <w:sz w:val="40"/>
          <w:szCs w:val="48"/>
        </w:rPr>
        <w:t>, trade patterns, and nutrition security</w:t>
      </w:r>
    </w:p>
    <w:p w14:paraId="16F554D4" w14:textId="4642EFDC" w:rsidR="00512E56" w:rsidRPr="009216DC" w:rsidRDefault="00512E56" w:rsidP="009216DC">
      <w:pPr>
        <w:pStyle w:val="Title"/>
        <w:jc w:val="center"/>
        <w:rPr>
          <w:sz w:val="40"/>
          <w:szCs w:val="48"/>
        </w:rPr>
      </w:pPr>
      <w:r w:rsidRPr="009216DC">
        <w:rPr>
          <w:sz w:val="40"/>
          <w:szCs w:val="48"/>
        </w:rPr>
        <w:t xml:space="preserve">(Three research </w:t>
      </w:r>
      <w:r w:rsidR="00A55E6B" w:rsidRPr="009216DC">
        <w:rPr>
          <w:sz w:val="40"/>
          <w:szCs w:val="48"/>
        </w:rPr>
        <w:t>Proposals</w:t>
      </w:r>
      <w:r w:rsidRPr="009216DC">
        <w:rPr>
          <w:sz w:val="40"/>
          <w:szCs w:val="48"/>
        </w:rPr>
        <w:t>)</w:t>
      </w:r>
    </w:p>
    <w:p w14:paraId="2399BABF" w14:textId="77777777" w:rsidR="00512E56" w:rsidRDefault="00512E56">
      <w:pPr>
        <w:spacing w:after="160" w:line="259" w:lineRule="auto"/>
      </w:pPr>
    </w:p>
    <w:sdt>
      <w:sdtPr>
        <w:rPr>
          <w:rFonts w:ascii="Arial" w:eastAsia="Arial" w:hAnsi="Arial" w:cs="Arial"/>
          <w:color w:val="auto"/>
          <w:sz w:val="22"/>
          <w:szCs w:val="22"/>
          <w:lang w:val="en" w:eastAsia="en-GB"/>
        </w:rPr>
        <w:id w:val="1188950220"/>
        <w:docPartObj>
          <w:docPartGallery w:val="Table of Contents"/>
          <w:docPartUnique/>
        </w:docPartObj>
      </w:sdtPr>
      <w:sdtEndPr>
        <w:rPr>
          <w:b/>
          <w:bCs/>
          <w:noProof/>
        </w:rPr>
      </w:sdtEndPr>
      <w:sdtContent>
        <w:p w14:paraId="01C9B131" w14:textId="77777777" w:rsidR="00512E56" w:rsidRPr="00512E56" w:rsidRDefault="00512E56" w:rsidP="00512E56">
          <w:pPr>
            <w:pStyle w:val="TOCHeading"/>
            <w:rPr>
              <w:szCs w:val="30"/>
            </w:rPr>
          </w:pPr>
          <w:r w:rsidRPr="00512E56">
            <w:rPr>
              <w:szCs w:val="30"/>
            </w:rPr>
            <w:t>Contents</w:t>
          </w:r>
        </w:p>
        <w:p w14:paraId="319F5581" w14:textId="6E679CB5" w:rsidR="00512E56" w:rsidRPr="00512E56" w:rsidRDefault="00512E56" w:rsidP="00512E56">
          <w:pPr>
            <w:pStyle w:val="Title"/>
            <w:numPr>
              <w:ilvl w:val="0"/>
              <w:numId w:val="9"/>
            </w:numPr>
            <w:spacing w:after="120"/>
            <w:ind w:left="851" w:hanging="567"/>
            <w:rPr>
              <w:b/>
              <w:bCs/>
              <w:color w:val="4472C4" w:themeColor="accent1"/>
              <w:sz w:val="28"/>
              <w:szCs w:val="28"/>
            </w:rPr>
          </w:pPr>
          <w:r w:rsidRPr="00512E56">
            <w:rPr>
              <w:b/>
              <w:bCs/>
              <w:color w:val="4472C4" w:themeColor="accent1"/>
              <w:sz w:val="28"/>
              <w:szCs w:val="28"/>
            </w:rPr>
            <w:t>The impact of FTAs on trade diversification</w:t>
          </w:r>
        </w:p>
        <w:p w14:paraId="48A01241" w14:textId="77777777" w:rsidR="00512E56" w:rsidRPr="00512E56" w:rsidRDefault="00512E56" w:rsidP="00512E56">
          <w:pPr>
            <w:pStyle w:val="TOC1"/>
            <w:tabs>
              <w:tab w:val="right" w:leader="dot" w:pos="9017"/>
            </w:tabs>
            <w:rPr>
              <w:noProof/>
              <w:sz w:val="24"/>
              <w:szCs w:val="24"/>
            </w:rPr>
          </w:pPr>
          <w:r w:rsidRPr="00512E56">
            <w:rPr>
              <w:sz w:val="28"/>
              <w:szCs w:val="28"/>
            </w:rPr>
            <w:fldChar w:fldCharType="begin"/>
          </w:r>
          <w:r w:rsidRPr="00512E56">
            <w:rPr>
              <w:sz w:val="28"/>
              <w:szCs w:val="28"/>
            </w:rPr>
            <w:instrText xml:space="preserve"> TOC \o "1-3" \h \z \u </w:instrText>
          </w:r>
          <w:r w:rsidRPr="00512E56">
            <w:rPr>
              <w:sz w:val="28"/>
              <w:szCs w:val="28"/>
            </w:rPr>
            <w:fldChar w:fldCharType="separate"/>
          </w:r>
          <w:hyperlink w:anchor="_Toc155551029" w:history="1">
            <w:r w:rsidRPr="00512E56">
              <w:rPr>
                <w:rStyle w:val="Hyperlink"/>
                <w:noProof/>
                <w:sz w:val="24"/>
                <w:szCs w:val="24"/>
              </w:rPr>
              <w:t>Motivation</w:t>
            </w:r>
            <w:r w:rsidRPr="00512E56">
              <w:rPr>
                <w:noProof/>
                <w:webHidden/>
                <w:sz w:val="24"/>
                <w:szCs w:val="24"/>
              </w:rPr>
              <w:tab/>
            </w:r>
            <w:r w:rsidRPr="00512E56">
              <w:rPr>
                <w:noProof/>
                <w:webHidden/>
                <w:sz w:val="24"/>
                <w:szCs w:val="24"/>
              </w:rPr>
              <w:fldChar w:fldCharType="begin"/>
            </w:r>
            <w:r w:rsidRPr="00512E56">
              <w:rPr>
                <w:noProof/>
                <w:webHidden/>
                <w:sz w:val="24"/>
                <w:szCs w:val="24"/>
              </w:rPr>
              <w:instrText xml:space="preserve"> PAGEREF _Toc155551029 \h </w:instrText>
            </w:r>
            <w:r w:rsidRPr="00512E56">
              <w:rPr>
                <w:noProof/>
                <w:webHidden/>
                <w:sz w:val="24"/>
                <w:szCs w:val="24"/>
              </w:rPr>
            </w:r>
            <w:r w:rsidRPr="00512E56">
              <w:rPr>
                <w:noProof/>
                <w:webHidden/>
                <w:sz w:val="24"/>
                <w:szCs w:val="24"/>
              </w:rPr>
              <w:fldChar w:fldCharType="separate"/>
            </w:r>
            <w:r w:rsidRPr="00512E56">
              <w:rPr>
                <w:noProof/>
                <w:webHidden/>
                <w:sz w:val="24"/>
                <w:szCs w:val="24"/>
              </w:rPr>
              <w:t>1</w:t>
            </w:r>
            <w:r w:rsidRPr="00512E56">
              <w:rPr>
                <w:noProof/>
                <w:webHidden/>
                <w:sz w:val="24"/>
                <w:szCs w:val="24"/>
              </w:rPr>
              <w:fldChar w:fldCharType="end"/>
            </w:r>
          </w:hyperlink>
        </w:p>
        <w:p w14:paraId="3FE910AB" w14:textId="77777777" w:rsidR="00512E56" w:rsidRPr="00512E56" w:rsidRDefault="00575406" w:rsidP="00512E56">
          <w:pPr>
            <w:pStyle w:val="TOC1"/>
            <w:tabs>
              <w:tab w:val="right" w:leader="dot" w:pos="9017"/>
            </w:tabs>
            <w:rPr>
              <w:noProof/>
              <w:sz w:val="24"/>
              <w:szCs w:val="24"/>
            </w:rPr>
          </w:pPr>
          <w:hyperlink w:anchor="_Toc155551030" w:history="1">
            <w:r w:rsidR="00512E56" w:rsidRPr="00512E56">
              <w:rPr>
                <w:rStyle w:val="Hyperlink"/>
                <w:noProof/>
                <w:sz w:val="24"/>
                <w:szCs w:val="24"/>
              </w:rPr>
              <w:t>General and Specific Objective</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_Toc155551030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1</w:t>
            </w:r>
            <w:r w:rsidR="00512E56" w:rsidRPr="00512E56">
              <w:rPr>
                <w:noProof/>
                <w:webHidden/>
                <w:sz w:val="24"/>
                <w:szCs w:val="24"/>
              </w:rPr>
              <w:fldChar w:fldCharType="end"/>
            </w:r>
          </w:hyperlink>
        </w:p>
        <w:p w14:paraId="6B314DC7" w14:textId="77777777" w:rsidR="00512E56" w:rsidRPr="00512E56" w:rsidRDefault="00575406" w:rsidP="00512E56">
          <w:pPr>
            <w:pStyle w:val="TOC1"/>
            <w:tabs>
              <w:tab w:val="right" w:leader="dot" w:pos="9017"/>
            </w:tabs>
            <w:rPr>
              <w:rStyle w:val="Hyperlink"/>
              <w:noProof/>
              <w:sz w:val="24"/>
              <w:szCs w:val="24"/>
            </w:rPr>
          </w:pPr>
          <w:hyperlink w:anchor="_Toc155551031" w:history="1">
            <w:r w:rsidR="00512E56" w:rsidRPr="00512E56">
              <w:rPr>
                <w:rStyle w:val="Hyperlink"/>
                <w:noProof/>
                <w:sz w:val="24"/>
                <w:szCs w:val="24"/>
              </w:rPr>
              <w:t>Regression specifications</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_Toc155551031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1</w:t>
            </w:r>
            <w:r w:rsidR="00512E56" w:rsidRPr="00512E56">
              <w:rPr>
                <w:noProof/>
                <w:webHidden/>
                <w:sz w:val="24"/>
                <w:szCs w:val="24"/>
              </w:rPr>
              <w:fldChar w:fldCharType="end"/>
            </w:r>
          </w:hyperlink>
        </w:p>
        <w:p w14:paraId="5D81CD71" w14:textId="28077B71" w:rsidR="00512E56" w:rsidRPr="00512E56" w:rsidRDefault="00512E56" w:rsidP="00512E56">
          <w:pPr>
            <w:pStyle w:val="Title"/>
            <w:spacing w:after="120"/>
            <w:ind w:left="851" w:hanging="567"/>
            <w:rPr>
              <w:b/>
              <w:bCs/>
              <w:sz w:val="28"/>
              <w:szCs w:val="28"/>
            </w:rPr>
          </w:pPr>
          <w:r>
            <w:rPr>
              <w:b/>
              <w:bCs/>
              <w:sz w:val="24"/>
              <w:szCs w:val="24"/>
            </w:rPr>
            <w:t xml:space="preserve">2. </w:t>
          </w:r>
          <w:r>
            <w:rPr>
              <w:b/>
              <w:bCs/>
              <w:sz w:val="24"/>
              <w:szCs w:val="24"/>
            </w:rPr>
            <w:tab/>
          </w:r>
          <w:r w:rsidRPr="00512E56">
            <w:rPr>
              <w:b/>
              <w:bCs/>
              <w:color w:val="4472C4" w:themeColor="accent1"/>
              <w:sz w:val="28"/>
              <w:szCs w:val="28"/>
            </w:rPr>
            <w:t>Countries integration to the trade network and its impact on Nutrition Security</w:t>
          </w:r>
        </w:p>
        <w:p w14:paraId="57B35585" w14:textId="77777777" w:rsidR="00512E56" w:rsidRPr="00512E56" w:rsidRDefault="00575406" w:rsidP="00512E56">
          <w:pPr>
            <w:pStyle w:val="TOC1"/>
            <w:tabs>
              <w:tab w:val="right" w:leader="dot" w:pos="9017"/>
            </w:tabs>
            <w:rPr>
              <w:noProof/>
              <w:sz w:val="24"/>
              <w:szCs w:val="24"/>
            </w:rPr>
          </w:pPr>
          <w:hyperlink w:anchor="_Toc155551032" w:history="1">
            <w:r w:rsidR="00512E56" w:rsidRPr="00512E56">
              <w:rPr>
                <w:rStyle w:val="Hyperlink"/>
                <w:noProof/>
                <w:sz w:val="24"/>
                <w:szCs w:val="24"/>
              </w:rPr>
              <w:t>Motivation</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_Toc155551032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7</w:t>
            </w:r>
            <w:r w:rsidR="00512E56" w:rsidRPr="00512E56">
              <w:rPr>
                <w:noProof/>
                <w:webHidden/>
                <w:sz w:val="24"/>
                <w:szCs w:val="24"/>
              </w:rPr>
              <w:fldChar w:fldCharType="end"/>
            </w:r>
          </w:hyperlink>
        </w:p>
        <w:p w14:paraId="15E4B79F" w14:textId="77777777" w:rsidR="00512E56" w:rsidRPr="00512E56" w:rsidRDefault="00575406" w:rsidP="00512E56">
          <w:pPr>
            <w:pStyle w:val="TOC1"/>
            <w:tabs>
              <w:tab w:val="right" w:leader="dot" w:pos="9017"/>
            </w:tabs>
            <w:rPr>
              <w:noProof/>
              <w:sz w:val="24"/>
              <w:szCs w:val="24"/>
            </w:rPr>
          </w:pPr>
          <w:hyperlink w:anchor="_Toc155551033" w:history="1">
            <w:r w:rsidR="00512E56" w:rsidRPr="00512E56">
              <w:rPr>
                <w:rStyle w:val="Hyperlink"/>
                <w:noProof/>
                <w:sz w:val="24"/>
                <w:szCs w:val="24"/>
              </w:rPr>
              <w:t>Objective</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_Toc155551033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7</w:t>
            </w:r>
            <w:r w:rsidR="00512E56" w:rsidRPr="00512E56">
              <w:rPr>
                <w:noProof/>
                <w:webHidden/>
                <w:sz w:val="24"/>
                <w:szCs w:val="24"/>
              </w:rPr>
              <w:fldChar w:fldCharType="end"/>
            </w:r>
          </w:hyperlink>
        </w:p>
        <w:p w14:paraId="0264FC3F" w14:textId="77777777" w:rsidR="00512E56" w:rsidRPr="00512E56" w:rsidRDefault="00575406" w:rsidP="00512E56">
          <w:pPr>
            <w:pStyle w:val="TOC1"/>
            <w:tabs>
              <w:tab w:val="right" w:leader="dot" w:pos="9017"/>
            </w:tabs>
            <w:rPr>
              <w:rStyle w:val="Hyperlink"/>
              <w:noProof/>
              <w:sz w:val="24"/>
              <w:szCs w:val="24"/>
            </w:rPr>
          </w:pPr>
          <w:hyperlink w:anchor="_Toc155551034" w:history="1">
            <w:r w:rsidR="00512E56" w:rsidRPr="00512E56">
              <w:rPr>
                <w:rStyle w:val="Hyperlink"/>
                <w:noProof/>
                <w:sz w:val="24"/>
                <w:szCs w:val="24"/>
              </w:rPr>
              <w:t>Methodology</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_Toc155551034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7</w:t>
            </w:r>
            <w:r w:rsidR="00512E56" w:rsidRPr="00512E56">
              <w:rPr>
                <w:noProof/>
                <w:webHidden/>
                <w:sz w:val="24"/>
                <w:szCs w:val="24"/>
              </w:rPr>
              <w:fldChar w:fldCharType="end"/>
            </w:r>
          </w:hyperlink>
        </w:p>
        <w:p w14:paraId="772DBA2D" w14:textId="68B22B3E" w:rsidR="00512E56" w:rsidRPr="00512E56" w:rsidRDefault="00512E56" w:rsidP="00512E56">
          <w:pPr>
            <w:pStyle w:val="Title"/>
            <w:spacing w:after="120"/>
            <w:ind w:left="851" w:hanging="567"/>
            <w:rPr>
              <w:b/>
              <w:bCs/>
              <w:color w:val="4472C4" w:themeColor="accent1"/>
              <w:sz w:val="24"/>
              <w:szCs w:val="24"/>
            </w:rPr>
          </w:pPr>
          <w:r>
            <w:rPr>
              <w:b/>
              <w:bCs/>
              <w:sz w:val="24"/>
              <w:szCs w:val="24"/>
            </w:rPr>
            <w:t>3.</w:t>
          </w:r>
          <w:r>
            <w:rPr>
              <w:b/>
              <w:bCs/>
              <w:sz w:val="24"/>
              <w:szCs w:val="24"/>
            </w:rPr>
            <w:tab/>
          </w:r>
          <w:r w:rsidRPr="00512E56">
            <w:rPr>
              <w:b/>
              <w:bCs/>
              <w:color w:val="4472C4" w:themeColor="accent1"/>
              <w:sz w:val="28"/>
              <w:szCs w:val="28"/>
            </w:rPr>
            <w:t>Countries trade patterns and its impact on nutrition Security</w:t>
          </w:r>
        </w:p>
        <w:p w14:paraId="304C4085" w14:textId="77777777" w:rsidR="00512E56" w:rsidRPr="00512E56" w:rsidRDefault="00575406" w:rsidP="00512E56">
          <w:pPr>
            <w:pStyle w:val="TOC1"/>
            <w:tabs>
              <w:tab w:val="right" w:leader="dot" w:pos="9017"/>
            </w:tabs>
            <w:rPr>
              <w:noProof/>
              <w:sz w:val="24"/>
              <w:szCs w:val="24"/>
            </w:rPr>
          </w:pPr>
          <w:hyperlink w:anchor="_Toc155551035" w:history="1">
            <w:r w:rsidR="00512E56" w:rsidRPr="00512E56">
              <w:rPr>
                <w:rStyle w:val="Hyperlink"/>
                <w:noProof/>
                <w:sz w:val="24"/>
                <w:szCs w:val="24"/>
              </w:rPr>
              <w:t>Motivation</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_Toc155551035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14</w:t>
            </w:r>
            <w:r w:rsidR="00512E56" w:rsidRPr="00512E56">
              <w:rPr>
                <w:noProof/>
                <w:webHidden/>
                <w:sz w:val="24"/>
                <w:szCs w:val="24"/>
              </w:rPr>
              <w:fldChar w:fldCharType="end"/>
            </w:r>
          </w:hyperlink>
        </w:p>
        <w:p w14:paraId="7853F592" w14:textId="77777777" w:rsidR="00512E56" w:rsidRPr="00512E56" w:rsidRDefault="00575406" w:rsidP="00512E56">
          <w:pPr>
            <w:pStyle w:val="TOC1"/>
            <w:tabs>
              <w:tab w:val="right" w:leader="dot" w:pos="9017"/>
            </w:tabs>
            <w:rPr>
              <w:noProof/>
              <w:sz w:val="24"/>
              <w:szCs w:val="24"/>
            </w:rPr>
          </w:pPr>
          <w:hyperlink w:anchor="_Toc155551036" w:history="1">
            <w:r w:rsidR="00512E56" w:rsidRPr="00512E56">
              <w:rPr>
                <w:rStyle w:val="Hyperlink"/>
                <w:noProof/>
                <w:sz w:val="24"/>
                <w:szCs w:val="24"/>
              </w:rPr>
              <w:t>Objective</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_Toc155551036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14</w:t>
            </w:r>
            <w:r w:rsidR="00512E56" w:rsidRPr="00512E56">
              <w:rPr>
                <w:noProof/>
                <w:webHidden/>
                <w:sz w:val="24"/>
                <w:szCs w:val="24"/>
              </w:rPr>
              <w:fldChar w:fldCharType="end"/>
            </w:r>
          </w:hyperlink>
        </w:p>
        <w:p w14:paraId="4800D847" w14:textId="0035101F" w:rsidR="00512E56" w:rsidRDefault="00575406" w:rsidP="00512E56">
          <w:pPr>
            <w:pStyle w:val="TOC1"/>
            <w:tabs>
              <w:tab w:val="right" w:leader="dot" w:pos="9017"/>
            </w:tabs>
            <w:rPr>
              <w:rStyle w:val="Hyperlink"/>
              <w:noProof/>
              <w:sz w:val="24"/>
              <w:szCs w:val="24"/>
            </w:rPr>
          </w:pPr>
          <w:hyperlink w:anchor="_Toc155551037" w:history="1">
            <w:r w:rsidR="00512E56" w:rsidRPr="00512E56">
              <w:rPr>
                <w:rStyle w:val="Hyperlink"/>
                <w:noProof/>
                <w:sz w:val="24"/>
                <w:szCs w:val="24"/>
              </w:rPr>
              <w:t>Regression Specification</w:t>
            </w:r>
            <w:r w:rsidR="00512E56" w:rsidRPr="00512E56">
              <w:rPr>
                <w:noProof/>
                <w:webHidden/>
                <w:sz w:val="24"/>
                <w:szCs w:val="24"/>
              </w:rPr>
              <w:tab/>
            </w:r>
            <w:r w:rsidR="00512E56" w:rsidRPr="00512E56">
              <w:rPr>
                <w:noProof/>
                <w:webHidden/>
                <w:sz w:val="24"/>
                <w:szCs w:val="24"/>
              </w:rPr>
              <w:fldChar w:fldCharType="begin"/>
            </w:r>
            <w:r w:rsidR="00512E56" w:rsidRPr="00512E56">
              <w:rPr>
                <w:noProof/>
                <w:webHidden/>
                <w:sz w:val="24"/>
                <w:szCs w:val="24"/>
              </w:rPr>
              <w:instrText xml:space="preserve"> PAGEREF _Toc155551037 \h </w:instrText>
            </w:r>
            <w:r w:rsidR="00512E56" w:rsidRPr="00512E56">
              <w:rPr>
                <w:noProof/>
                <w:webHidden/>
                <w:sz w:val="24"/>
                <w:szCs w:val="24"/>
              </w:rPr>
            </w:r>
            <w:r w:rsidR="00512E56" w:rsidRPr="00512E56">
              <w:rPr>
                <w:noProof/>
                <w:webHidden/>
                <w:sz w:val="24"/>
                <w:szCs w:val="24"/>
              </w:rPr>
              <w:fldChar w:fldCharType="separate"/>
            </w:r>
            <w:r w:rsidR="00512E56" w:rsidRPr="00512E56">
              <w:rPr>
                <w:noProof/>
                <w:webHidden/>
                <w:sz w:val="24"/>
                <w:szCs w:val="24"/>
              </w:rPr>
              <w:t>14</w:t>
            </w:r>
            <w:r w:rsidR="00512E56" w:rsidRPr="00512E56">
              <w:rPr>
                <w:noProof/>
                <w:webHidden/>
                <w:sz w:val="24"/>
                <w:szCs w:val="24"/>
              </w:rPr>
              <w:fldChar w:fldCharType="end"/>
            </w:r>
          </w:hyperlink>
        </w:p>
        <w:p w14:paraId="0EB815DC" w14:textId="77777777" w:rsidR="00512E56" w:rsidRPr="00512E56" w:rsidRDefault="00512E56" w:rsidP="00512E56"/>
        <w:p w14:paraId="6375E78B" w14:textId="14FB58B0" w:rsidR="00512E56" w:rsidRPr="00512E56" w:rsidRDefault="00575406" w:rsidP="00512E56">
          <w:pPr>
            <w:pStyle w:val="TOC1"/>
            <w:tabs>
              <w:tab w:val="right" w:leader="dot" w:pos="9017"/>
            </w:tabs>
            <w:rPr>
              <w:noProof/>
              <w:sz w:val="28"/>
              <w:szCs w:val="28"/>
            </w:rPr>
          </w:pPr>
          <w:hyperlink w:anchor="_Toc155551038" w:history="1">
            <w:r w:rsidR="00512E56">
              <w:rPr>
                <w:rStyle w:val="Hyperlink"/>
                <w:noProof/>
                <w:sz w:val="28"/>
                <w:szCs w:val="28"/>
              </w:rPr>
              <w:t>References</w:t>
            </w:r>
            <w:r w:rsidR="00512E56" w:rsidRPr="00512E56">
              <w:rPr>
                <w:noProof/>
                <w:webHidden/>
                <w:sz w:val="28"/>
                <w:szCs w:val="28"/>
              </w:rPr>
              <w:tab/>
            </w:r>
            <w:r w:rsidR="00512E56" w:rsidRPr="00512E56">
              <w:rPr>
                <w:noProof/>
                <w:webHidden/>
                <w:sz w:val="28"/>
                <w:szCs w:val="28"/>
              </w:rPr>
              <w:fldChar w:fldCharType="begin"/>
            </w:r>
            <w:r w:rsidR="00512E56" w:rsidRPr="00512E56">
              <w:rPr>
                <w:noProof/>
                <w:webHidden/>
                <w:sz w:val="28"/>
                <w:szCs w:val="28"/>
              </w:rPr>
              <w:instrText xml:space="preserve"> PAGEREF _Toc155551038 \h </w:instrText>
            </w:r>
            <w:r w:rsidR="00512E56" w:rsidRPr="00512E56">
              <w:rPr>
                <w:noProof/>
                <w:webHidden/>
                <w:sz w:val="28"/>
                <w:szCs w:val="28"/>
              </w:rPr>
            </w:r>
            <w:r w:rsidR="00512E56" w:rsidRPr="00512E56">
              <w:rPr>
                <w:noProof/>
                <w:webHidden/>
                <w:sz w:val="28"/>
                <w:szCs w:val="28"/>
              </w:rPr>
              <w:fldChar w:fldCharType="separate"/>
            </w:r>
            <w:r w:rsidR="00512E56" w:rsidRPr="00512E56">
              <w:rPr>
                <w:noProof/>
                <w:webHidden/>
                <w:sz w:val="28"/>
                <w:szCs w:val="28"/>
              </w:rPr>
              <w:t>16</w:t>
            </w:r>
            <w:r w:rsidR="00512E56" w:rsidRPr="00512E56">
              <w:rPr>
                <w:noProof/>
                <w:webHidden/>
                <w:sz w:val="28"/>
                <w:szCs w:val="28"/>
              </w:rPr>
              <w:fldChar w:fldCharType="end"/>
            </w:r>
          </w:hyperlink>
        </w:p>
        <w:p w14:paraId="3D40B1D6" w14:textId="77777777" w:rsidR="00512E56" w:rsidRDefault="00512E56" w:rsidP="00512E56">
          <w:r w:rsidRPr="00512E56">
            <w:rPr>
              <w:b/>
              <w:bCs/>
              <w:noProof/>
              <w:sz w:val="28"/>
              <w:szCs w:val="28"/>
            </w:rPr>
            <w:fldChar w:fldCharType="end"/>
          </w:r>
        </w:p>
      </w:sdtContent>
    </w:sdt>
    <w:p w14:paraId="00222172" w14:textId="75F33F9F" w:rsidR="00512E56" w:rsidRDefault="00512E56" w:rsidP="00512E56">
      <w:pPr>
        <w:spacing w:after="160" w:line="259" w:lineRule="auto"/>
        <w:rPr>
          <w:rFonts w:asciiTheme="majorHAnsi" w:eastAsiaTheme="majorEastAsia" w:hAnsiTheme="majorHAnsi" w:cstheme="majorBidi"/>
          <w:spacing w:val="-10"/>
          <w:kern w:val="28"/>
          <w:sz w:val="56"/>
          <w:szCs w:val="56"/>
        </w:rPr>
      </w:pPr>
      <w:r>
        <w:t xml:space="preserve"> </w:t>
      </w:r>
      <w:r>
        <w:br w:type="page"/>
      </w:r>
    </w:p>
    <w:p w14:paraId="01EB58DC" w14:textId="54490144" w:rsidR="00512E56" w:rsidRDefault="00512E56" w:rsidP="00512E56">
      <w:pPr>
        <w:pStyle w:val="Title"/>
        <w:jc w:val="center"/>
      </w:pPr>
      <w:r w:rsidRPr="0007294F">
        <w:lastRenderedPageBreak/>
        <w:t>The impact of F</w:t>
      </w:r>
      <w:r w:rsidR="000B70DE">
        <w:t xml:space="preserve">ree </w:t>
      </w:r>
      <w:r w:rsidRPr="0007294F">
        <w:t>T</w:t>
      </w:r>
      <w:r w:rsidR="000B70DE">
        <w:t xml:space="preserve">rade </w:t>
      </w:r>
      <w:r w:rsidRPr="0007294F">
        <w:t>A</w:t>
      </w:r>
      <w:r w:rsidR="000B70DE">
        <w:t>greement</w:t>
      </w:r>
      <w:r w:rsidRPr="0007294F">
        <w:t>s on trade diversification</w:t>
      </w:r>
    </w:p>
    <w:p w14:paraId="12B3A69E" w14:textId="5480CC36" w:rsidR="002F5969" w:rsidRDefault="007B60F0" w:rsidP="00947FAF">
      <w:pPr>
        <w:pStyle w:val="Heading1"/>
      </w:pPr>
      <w:bookmarkStart w:id="0" w:name="_Toc155551029"/>
      <w:r w:rsidRPr="0007294F">
        <w:t>Motivation</w:t>
      </w:r>
      <w:bookmarkEnd w:id="0"/>
    </w:p>
    <w:p w14:paraId="250E590E" w14:textId="687226F0" w:rsidR="00920A90" w:rsidRPr="002F5969" w:rsidRDefault="007B60F0" w:rsidP="00CF781B">
      <w:pPr>
        <w:spacing w:before="120" w:after="120"/>
        <w:jc w:val="both"/>
        <w:rPr>
          <w:rFonts w:ascii="Cambria" w:hAnsi="Cambria"/>
          <w:sz w:val="24"/>
          <w:szCs w:val="24"/>
        </w:rPr>
      </w:pPr>
      <w:r w:rsidRPr="002F5969">
        <w:rPr>
          <w:rFonts w:ascii="Cambria" w:hAnsi="Cambria"/>
          <w:sz w:val="24"/>
          <w:szCs w:val="24"/>
        </w:rPr>
        <w:t xml:space="preserve">The number of FTAs has increased rapidly, particularly during the 2000s, thereby boosting a country's trade. However, FTAs are expected to alter the trade patterns of countries. They can enhance trade diversity in terms of products and country links if they reduce the cost of establishing new trade links, provided that this increase does not outweigh the potential reduction in the number of already established trade links. Additionally, FTAs may lead to an increase in the concentration of trade activities within the countries involved in the FTA, potentially resulting in a significant reduction in trade with already established links. Consequently, the impact of FTAs on the diversity of trade links </w:t>
      </w:r>
      <w:r w:rsidR="00FF444D" w:rsidRPr="002F5969">
        <w:rPr>
          <w:rFonts w:ascii="Cambria" w:hAnsi="Cambria"/>
          <w:sz w:val="24"/>
          <w:szCs w:val="24"/>
        </w:rPr>
        <w:t>requires</w:t>
      </w:r>
      <w:r w:rsidRPr="002F5969">
        <w:rPr>
          <w:rFonts w:ascii="Cambria" w:hAnsi="Cambria"/>
          <w:sz w:val="24"/>
          <w:szCs w:val="24"/>
        </w:rPr>
        <w:t xml:space="preserve"> empirical assessment.</w:t>
      </w:r>
      <w:r w:rsidR="00C53593">
        <w:rPr>
          <w:rFonts w:ascii="Cambria" w:hAnsi="Cambria"/>
          <w:sz w:val="24"/>
          <w:szCs w:val="24"/>
        </w:rPr>
        <w:t xml:space="preserve"> </w:t>
      </w:r>
    </w:p>
    <w:p w14:paraId="3BB1ACBB" w14:textId="1D48610C" w:rsidR="00920A90" w:rsidRPr="0007294F" w:rsidRDefault="00920A90" w:rsidP="00947FAF">
      <w:pPr>
        <w:pStyle w:val="Heading1"/>
      </w:pPr>
      <w:bookmarkStart w:id="1" w:name="_Toc155551030"/>
      <w:r w:rsidRPr="0007294F">
        <w:t xml:space="preserve">General and Specific </w:t>
      </w:r>
      <w:r w:rsidR="00265CF0">
        <w:t>Objective</w:t>
      </w:r>
      <w:bookmarkEnd w:id="1"/>
    </w:p>
    <w:p w14:paraId="2A3C688D" w14:textId="7E45379C" w:rsidR="00920A90" w:rsidRPr="002F5969" w:rsidRDefault="00775E64" w:rsidP="00CF781B">
      <w:pPr>
        <w:spacing w:before="120" w:after="120"/>
        <w:jc w:val="both"/>
        <w:rPr>
          <w:rFonts w:ascii="Cambria" w:hAnsi="Cambria"/>
          <w:sz w:val="24"/>
          <w:szCs w:val="24"/>
        </w:rPr>
      </w:pPr>
      <w:r w:rsidRPr="002F5969">
        <w:rPr>
          <w:rFonts w:ascii="Cambria" w:hAnsi="Cambria"/>
          <w:sz w:val="24"/>
          <w:szCs w:val="24"/>
        </w:rPr>
        <w:t>This study particularly look</w:t>
      </w:r>
      <w:r w:rsidR="007D16AD">
        <w:rPr>
          <w:rFonts w:ascii="Cambria" w:hAnsi="Cambria"/>
          <w:sz w:val="24"/>
          <w:szCs w:val="24"/>
        </w:rPr>
        <w:t>s</w:t>
      </w:r>
      <w:r w:rsidRPr="002F5969">
        <w:rPr>
          <w:rFonts w:ascii="Cambria" w:hAnsi="Cambria"/>
          <w:sz w:val="24"/>
          <w:szCs w:val="24"/>
        </w:rPr>
        <w:t xml:space="preserve"> at the impact of the number of countries</w:t>
      </w:r>
      <w:r w:rsidR="00B24924">
        <w:rPr>
          <w:rFonts w:ascii="Cambria" w:hAnsi="Cambria"/>
          <w:sz w:val="24"/>
          <w:szCs w:val="24"/>
        </w:rPr>
        <w:t>'</w:t>
      </w:r>
      <w:r w:rsidRPr="002F5969">
        <w:rPr>
          <w:rFonts w:ascii="Cambria" w:hAnsi="Cambria"/>
          <w:sz w:val="24"/>
          <w:szCs w:val="24"/>
        </w:rPr>
        <w:t xml:space="preserve"> FTAs’ and FTAs depth on countries</w:t>
      </w:r>
      <w:r w:rsidR="00B24924">
        <w:rPr>
          <w:rFonts w:ascii="Cambria" w:hAnsi="Cambria"/>
          <w:sz w:val="24"/>
          <w:szCs w:val="24"/>
        </w:rPr>
        <w:t>'</w:t>
      </w:r>
      <w:r w:rsidRPr="002F5969">
        <w:rPr>
          <w:rFonts w:ascii="Cambria" w:hAnsi="Cambria"/>
          <w:sz w:val="24"/>
          <w:szCs w:val="24"/>
        </w:rPr>
        <w:t xml:space="preserve"> trade diversification.</w:t>
      </w:r>
      <w:r w:rsidR="00D83BB6">
        <w:rPr>
          <w:rFonts w:ascii="Cambria" w:hAnsi="Cambria"/>
          <w:sz w:val="24"/>
          <w:szCs w:val="24"/>
        </w:rPr>
        <w:t xml:space="preserve"> </w:t>
      </w:r>
      <w:r w:rsidR="001A6A08" w:rsidRPr="002F5969">
        <w:rPr>
          <w:rFonts w:ascii="Cambria" w:hAnsi="Cambria"/>
          <w:sz w:val="24"/>
          <w:szCs w:val="24"/>
        </w:rPr>
        <w:t>Furthermore, it analyzes the impact</w:t>
      </w:r>
      <w:r w:rsidR="00C53593">
        <w:rPr>
          <w:rFonts w:ascii="Cambria" w:hAnsi="Cambria"/>
          <w:sz w:val="24"/>
          <w:szCs w:val="24"/>
        </w:rPr>
        <w:t>s</w:t>
      </w:r>
      <w:r w:rsidR="001A6A08" w:rsidRPr="002F5969">
        <w:rPr>
          <w:rFonts w:ascii="Cambria" w:hAnsi="Cambria"/>
          <w:sz w:val="24"/>
          <w:szCs w:val="24"/>
        </w:rPr>
        <w:t xml:space="preserve"> </w:t>
      </w:r>
      <w:r w:rsidR="00B24924">
        <w:rPr>
          <w:rFonts w:ascii="Cambria" w:hAnsi="Cambria"/>
          <w:sz w:val="24"/>
          <w:szCs w:val="24"/>
        </w:rPr>
        <w:t>concerning</w:t>
      </w:r>
      <w:r w:rsidR="001A6A08" w:rsidRPr="002F5969">
        <w:rPr>
          <w:rFonts w:ascii="Cambria" w:hAnsi="Cambria"/>
          <w:sz w:val="24"/>
          <w:szCs w:val="24"/>
        </w:rPr>
        <w:t xml:space="preserve"> different characteristics of FTAs, including the size of FTAs and whether FTAs are bilateral or involve multiple countries.</w:t>
      </w:r>
    </w:p>
    <w:p w14:paraId="5797DFC2" w14:textId="125356AC" w:rsidR="00920A90" w:rsidRDefault="00265CF0" w:rsidP="00947FAF">
      <w:pPr>
        <w:pStyle w:val="Heading1"/>
      </w:pPr>
      <w:bookmarkStart w:id="2" w:name="_Toc155551031"/>
      <w:r>
        <w:t>Regression specifications</w:t>
      </w:r>
      <w:bookmarkEnd w:id="2"/>
    </w:p>
    <w:p w14:paraId="2230AF58" w14:textId="128AA213" w:rsidR="00C53593" w:rsidRPr="00C53593" w:rsidRDefault="00C53593" w:rsidP="00C53593">
      <w:pPr>
        <w:spacing w:before="120" w:after="120"/>
        <w:rPr>
          <w:rFonts w:ascii="Cambria" w:hAnsi="Cambria"/>
          <w:sz w:val="28"/>
          <w:szCs w:val="28"/>
        </w:rPr>
      </w:pPr>
      <w:r w:rsidRPr="00C53593">
        <w:rPr>
          <w:rFonts w:ascii="Cambria" w:hAnsi="Cambria"/>
          <w:sz w:val="28"/>
          <w:szCs w:val="28"/>
        </w:rPr>
        <w:t>To identify the impact of the number of FTAs</w:t>
      </w:r>
      <w:r>
        <w:rPr>
          <w:rFonts w:ascii="Cambria" w:hAnsi="Cambria"/>
          <w:sz w:val="28"/>
          <w:szCs w:val="28"/>
        </w:rPr>
        <w:t xml:space="preserve"> for each country </w:t>
      </w:r>
      <w:proofErr w:type="spellStart"/>
      <w:r>
        <w:rPr>
          <w:rFonts w:ascii="Cambria" w:hAnsi="Cambria"/>
          <w:sz w:val="28"/>
          <w:szCs w:val="28"/>
        </w:rPr>
        <w:t>i</w:t>
      </w:r>
      <w:proofErr w:type="spellEnd"/>
      <w:r>
        <w:rPr>
          <w:rFonts w:ascii="Cambria" w:hAnsi="Cambria"/>
          <w:sz w:val="28"/>
          <w:szCs w:val="28"/>
        </w:rPr>
        <w:t xml:space="preserve"> at time t</w:t>
      </w:r>
      <w:r w:rsidRPr="00C53593">
        <w:rPr>
          <w:rFonts w:ascii="Cambria" w:hAnsi="Cambria"/>
          <w:sz w:val="28"/>
          <w:szCs w:val="28"/>
        </w:rPr>
        <w:t xml:space="preserve"> </w:t>
      </w:r>
      <w:r>
        <w:rPr>
          <w:rFonts w:ascii="Cambria" w:hAnsi="Cambria"/>
          <w:sz w:val="28"/>
          <w:szCs w:val="28"/>
        </w:rPr>
        <w:t>(</w:t>
      </w:r>
      <m:oMath>
        <m:r>
          <m:rPr>
            <m:sty m:val="bi"/>
          </m:rPr>
          <w:rPr>
            <w:rFonts w:ascii="Cambria Math" w:hAnsi="Cambria Math"/>
            <w:sz w:val="24"/>
            <w:szCs w:val="24"/>
          </w:rPr>
          <m:t>FTACoun</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it</m:t>
            </m:r>
          </m:sub>
        </m:sSub>
      </m:oMath>
      <w:r>
        <w:rPr>
          <w:rFonts w:ascii="Cambria" w:hAnsi="Cambria"/>
          <w:sz w:val="28"/>
          <w:szCs w:val="28"/>
        </w:rPr>
        <w:t>) on trade diversity (</w:t>
      </w:r>
      <m:oMath>
        <m:r>
          <m:rPr>
            <m:sty m:val="bi"/>
          </m:rPr>
          <w:rPr>
            <w:rFonts w:ascii="Cambria Math" w:hAnsi="Cambria Math"/>
            <w:sz w:val="24"/>
            <w:szCs w:val="24"/>
          </w:rPr>
          <m:t>Diversit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it</m:t>
            </m:r>
          </m:sub>
        </m:sSub>
      </m:oMath>
      <w:r>
        <w:rPr>
          <w:rFonts w:ascii="Cambria" w:hAnsi="Cambria"/>
          <w:b/>
          <w:bCs/>
          <w:sz w:val="24"/>
          <w:szCs w:val="24"/>
        </w:rPr>
        <w:t xml:space="preserve">) </w:t>
      </w:r>
      <w:r w:rsidRPr="00C53593">
        <w:rPr>
          <w:rFonts w:ascii="Cambria" w:hAnsi="Cambria"/>
          <w:sz w:val="28"/>
          <w:szCs w:val="28"/>
        </w:rPr>
        <w:t>we specify the following regression</w:t>
      </w:r>
      <w:r>
        <w:rPr>
          <w:rFonts w:ascii="Cambria" w:hAnsi="Cambria"/>
          <w:sz w:val="28"/>
          <w:szCs w:val="28"/>
        </w:rPr>
        <w:t>,</w:t>
      </w:r>
    </w:p>
    <w:p w14:paraId="786FEC17" w14:textId="37755A9B" w:rsidR="00920A90" w:rsidRPr="00265CF0" w:rsidRDefault="00920A90" w:rsidP="00C53593">
      <w:pPr>
        <w:spacing w:before="120" w:after="120"/>
        <w:ind w:right="-329" w:firstLine="142"/>
        <w:rPr>
          <w:rFonts w:ascii="Cambria" w:hAnsi="Cambria"/>
          <w:b/>
          <w:bCs/>
          <w:sz w:val="24"/>
          <w:szCs w:val="24"/>
        </w:rPr>
      </w:pPr>
      <m:oMath>
        <m:r>
          <m:rPr>
            <m:sty m:val="bi"/>
          </m:rPr>
          <w:rPr>
            <w:rFonts w:ascii="Cambria Math" w:hAnsi="Cambria Math"/>
            <w:sz w:val="24"/>
            <w:szCs w:val="24"/>
          </w:rPr>
          <m:t>Diversit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it</m:t>
            </m:r>
          </m:sub>
        </m:sSub>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FTACoun</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it</m:t>
            </m:r>
          </m:sub>
        </m:sSub>
        <m:r>
          <m:rPr>
            <m:sty m:val="bi"/>
          </m:rPr>
          <w:rPr>
            <w:rFonts w:ascii="Cambria Math" w:hAnsi="Cambria Math"/>
            <w:sz w:val="24"/>
            <w:szCs w:val="24"/>
          </w:rPr>
          <m:t>+X</m:t>
        </m:r>
        <m:r>
          <m:rPr>
            <m:scr m:val="sans-serif"/>
            <m:sty m:val="bi"/>
          </m:rPr>
          <w:rPr>
            <w:rFonts w:ascii="Cambria Math" w:hAnsi="Cambria Math"/>
            <w:sz w:val="24"/>
            <w:szCs w:val="24"/>
          </w:rPr>
          <m:t>θ+</m:t>
        </m:r>
        <m:sSub>
          <m:sSubPr>
            <m:ctrlPr>
              <w:rPr>
                <w:rFonts w:ascii="Cambria Math" w:hAnsi="Cambria Math"/>
                <w:b/>
                <w:bCs/>
                <w:i/>
                <w:sz w:val="24"/>
                <w:szCs w:val="24"/>
              </w:rPr>
            </m:ctrlPr>
          </m:sSubPr>
          <m:e>
            <m:r>
              <m:rPr>
                <m:sty m:val="bi"/>
              </m:rPr>
              <w:rPr>
                <w:rFonts w:ascii="Cambria Math" w:hAnsi="Cambria Math"/>
                <w:sz w:val="24"/>
                <w:szCs w:val="24"/>
              </w:rPr>
              <m:t>FE</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FE</m:t>
            </m:r>
          </m:e>
          <m:sub>
            <m:r>
              <m:rPr>
                <m:sty m:val="bi"/>
              </m:rPr>
              <w:rPr>
                <w:rFonts w:ascii="Cambria Math" w:hAnsi="Cambria Math"/>
                <w:sz w:val="24"/>
                <w:szCs w:val="24"/>
              </w:rPr>
              <m:t>t</m:t>
            </m:r>
          </m:sub>
        </m:sSub>
      </m:oMath>
      <w:r w:rsidR="007004A7" w:rsidRPr="00265CF0">
        <w:rPr>
          <w:rFonts w:ascii="Cambria" w:hAnsi="Cambria"/>
          <w:b/>
          <w:bCs/>
          <w:sz w:val="24"/>
          <w:szCs w:val="24"/>
        </w:rPr>
        <w:t xml:space="preserve"> </w:t>
      </w: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it</m:t>
            </m:r>
          </m:sub>
        </m:sSub>
      </m:oMath>
    </w:p>
    <w:p w14:paraId="0552AE0F" w14:textId="105D05DE" w:rsidR="00C53593" w:rsidRDefault="00C53593" w:rsidP="00CF781B">
      <w:pPr>
        <w:ind w:left="720"/>
        <w:rPr>
          <w:rFonts w:ascii="Cambria" w:hAnsi="Cambria"/>
          <w:sz w:val="24"/>
          <w:szCs w:val="24"/>
        </w:rPr>
      </w:pPr>
      <w:proofErr w:type="gramStart"/>
      <w:r w:rsidRPr="00C53593">
        <w:rPr>
          <w:rFonts w:ascii="Cambria" w:hAnsi="Cambria"/>
          <w:b/>
          <w:bCs/>
          <w:sz w:val="24"/>
          <w:szCs w:val="24"/>
        </w:rPr>
        <w:t>X</w:t>
      </w:r>
      <w:r>
        <w:rPr>
          <w:rFonts w:ascii="Cambria" w:hAnsi="Cambria"/>
          <w:sz w:val="24"/>
          <w:szCs w:val="24"/>
        </w:rPr>
        <w:t xml:space="preserve"> :</w:t>
      </w:r>
      <w:proofErr w:type="gramEnd"/>
      <w:r>
        <w:rPr>
          <w:rFonts w:ascii="Cambria" w:hAnsi="Cambria"/>
          <w:sz w:val="24"/>
          <w:szCs w:val="24"/>
        </w:rPr>
        <w:tab/>
        <w:t>A vector of control variables</w:t>
      </w:r>
    </w:p>
    <w:p w14:paraId="26017740" w14:textId="4700D0AF" w:rsidR="00920A90" w:rsidRPr="002F5969" w:rsidRDefault="00265CF0" w:rsidP="00CF781B">
      <w:pPr>
        <w:ind w:left="720"/>
        <w:rPr>
          <w:rFonts w:ascii="Cambria" w:hAnsi="Cambria"/>
          <w:sz w:val="24"/>
          <w:szCs w:val="24"/>
        </w:rPr>
      </w:pPr>
      <w:proofErr w:type="spellStart"/>
      <w:proofErr w:type="gramStart"/>
      <w:r>
        <w:rPr>
          <w:rFonts w:ascii="Cambria" w:hAnsi="Cambria"/>
          <w:sz w:val="24"/>
          <w:szCs w:val="24"/>
        </w:rPr>
        <w:t>FE</w:t>
      </w:r>
      <w:r w:rsidR="00920A90" w:rsidRPr="002F5969">
        <w:rPr>
          <w:rFonts w:ascii="Cambria" w:hAnsi="Cambria"/>
          <w:sz w:val="24"/>
          <w:szCs w:val="24"/>
          <w:vertAlign w:val="subscript"/>
        </w:rPr>
        <w:t>i</w:t>
      </w:r>
      <w:proofErr w:type="spellEnd"/>
      <w:r w:rsidR="00920A90" w:rsidRPr="002F5969">
        <w:rPr>
          <w:rFonts w:ascii="Cambria" w:hAnsi="Cambria"/>
          <w:sz w:val="24"/>
          <w:szCs w:val="24"/>
          <w:vertAlign w:val="subscript"/>
        </w:rPr>
        <w:t xml:space="preserve"> </w:t>
      </w:r>
      <w:r w:rsidR="00920A90" w:rsidRPr="002F5969">
        <w:rPr>
          <w:rFonts w:ascii="Cambria" w:hAnsi="Cambria"/>
          <w:sz w:val="24"/>
          <w:szCs w:val="24"/>
        </w:rPr>
        <w:t>:</w:t>
      </w:r>
      <w:proofErr w:type="gramEnd"/>
      <w:r w:rsidR="00920A90" w:rsidRPr="002F5969">
        <w:rPr>
          <w:rFonts w:ascii="Cambria" w:hAnsi="Cambria"/>
          <w:sz w:val="24"/>
          <w:szCs w:val="24"/>
        </w:rPr>
        <w:t xml:space="preserve"> </w:t>
      </w:r>
      <w:r w:rsidR="00920A90" w:rsidRPr="002F5969">
        <w:rPr>
          <w:rFonts w:ascii="Cambria" w:hAnsi="Cambria"/>
          <w:sz w:val="24"/>
          <w:szCs w:val="24"/>
        </w:rPr>
        <w:tab/>
        <w:t>Country-fixed effects</w:t>
      </w:r>
    </w:p>
    <w:p w14:paraId="2CB6CC72" w14:textId="559350C7" w:rsidR="00920A90" w:rsidRPr="002F5969" w:rsidRDefault="00265CF0" w:rsidP="00CF781B">
      <w:pPr>
        <w:spacing w:before="120" w:after="120"/>
        <w:ind w:left="720"/>
        <w:rPr>
          <w:rFonts w:ascii="Cambria" w:hAnsi="Cambria"/>
          <w:sz w:val="24"/>
          <w:szCs w:val="24"/>
        </w:rPr>
      </w:pPr>
      <w:proofErr w:type="spellStart"/>
      <w:proofErr w:type="gramStart"/>
      <w:r>
        <w:rPr>
          <w:rFonts w:ascii="Cambria" w:hAnsi="Cambria"/>
          <w:sz w:val="24"/>
          <w:szCs w:val="24"/>
        </w:rPr>
        <w:t>FE</w:t>
      </w:r>
      <w:r w:rsidR="00920A90" w:rsidRPr="002F5969">
        <w:rPr>
          <w:rFonts w:ascii="Cambria" w:hAnsi="Cambria"/>
          <w:sz w:val="24"/>
          <w:szCs w:val="24"/>
          <w:vertAlign w:val="subscript"/>
        </w:rPr>
        <w:t>t</w:t>
      </w:r>
      <w:proofErr w:type="spellEnd"/>
      <w:r w:rsidR="00920A90" w:rsidRPr="002F5969">
        <w:rPr>
          <w:rFonts w:ascii="Cambria" w:hAnsi="Cambria"/>
          <w:sz w:val="24"/>
          <w:szCs w:val="24"/>
          <w:vertAlign w:val="subscript"/>
        </w:rPr>
        <w:t xml:space="preserve"> </w:t>
      </w:r>
      <w:r w:rsidR="00920A90" w:rsidRPr="002F5969">
        <w:rPr>
          <w:rFonts w:ascii="Cambria" w:hAnsi="Cambria"/>
          <w:sz w:val="24"/>
          <w:szCs w:val="24"/>
        </w:rPr>
        <w:t>:</w:t>
      </w:r>
      <w:proofErr w:type="gramEnd"/>
      <w:r w:rsidR="00920A90" w:rsidRPr="002F5969">
        <w:rPr>
          <w:rFonts w:ascii="Cambria" w:hAnsi="Cambria"/>
          <w:sz w:val="24"/>
          <w:szCs w:val="24"/>
        </w:rPr>
        <w:t xml:space="preserve"> </w:t>
      </w:r>
      <w:r w:rsidR="00920A90" w:rsidRPr="002F5969">
        <w:rPr>
          <w:rFonts w:ascii="Cambria" w:hAnsi="Cambria"/>
          <w:sz w:val="24"/>
          <w:szCs w:val="24"/>
        </w:rPr>
        <w:tab/>
        <w:t>Time fixed effects</w:t>
      </w:r>
    </w:p>
    <w:p w14:paraId="78E563B8" w14:textId="6B32A480" w:rsidR="00920A90" w:rsidRPr="0007294F" w:rsidRDefault="00920A90" w:rsidP="00A1335E">
      <w:pPr>
        <w:spacing w:before="120" w:after="120"/>
        <w:jc w:val="both"/>
        <w:rPr>
          <w:rFonts w:ascii="Cambria" w:hAnsi="Cambria"/>
          <w:sz w:val="28"/>
          <w:szCs w:val="28"/>
        </w:rPr>
      </w:pPr>
      <w:r w:rsidRPr="002F5969">
        <w:rPr>
          <w:rFonts w:ascii="Cambria" w:hAnsi="Cambria"/>
          <w:sz w:val="24"/>
          <w:szCs w:val="24"/>
        </w:rPr>
        <w:t>The diversity in each country</w:t>
      </w:r>
      <w:r w:rsidR="00A1335E">
        <w:rPr>
          <w:rFonts w:ascii="Cambria" w:hAnsi="Cambria"/>
          <w:sz w:val="24"/>
          <w:szCs w:val="24"/>
        </w:rPr>
        <w:t xml:space="preserve"> will be calculated based on the Shanon index. The diversity</w:t>
      </w:r>
      <w:r w:rsidRPr="002F5969">
        <w:rPr>
          <w:rFonts w:ascii="Cambria" w:hAnsi="Cambria"/>
          <w:sz w:val="24"/>
          <w:szCs w:val="24"/>
        </w:rPr>
        <w:t xml:space="preserve"> is affected by the cumulative</w:t>
      </w:r>
      <w:r w:rsidR="00775E64" w:rsidRPr="002F5969">
        <w:rPr>
          <w:rFonts w:ascii="Cambria" w:hAnsi="Cambria"/>
          <w:sz w:val="24"/>
          <w:szCs w:val="24"/>
        </w:rPr>
        <w:t xml:space="preserve"> number of effective FTAs,</w:t>
      </w:r>
      <w:r w:rsidRPr="002F5969">
        <w:rPr>
          <w:rFonts w:ascii="Cambria" w:hAnsi="Cambria"/>
          <w:sz w:val="24"/>
          <w:szCs w:val="24"/>
        </w:rPr>
        <w:t xml:space="preserve"> </w:t>
      </w:r>
      <w:proofErr w:type="spellStart"/>
      <w:r w:rsidRPr="002F5969">
        <w:rPr>
          <w:rFonts w:ascii="Cambria" w:hAnsi="Cambria"/>
          <w:sz w:val="24"/>
          <w:szCs w:val="24"/>
        </w:rPr>
        <w:t>FTA_count</w:t>
      </w:r>
      <w:proofErr w:type="spellEnd"/>
      <w:r w:rsidR="00775E64" w:rsidRPr="002F5969">
        <w:rPr>
          <w:rFonts w:ascii="Cambria" w:hAnsi="Cambria"/>
          <w:sz w:val="24"/>
          <w:szCs w:val="24"/>
        </w:rPr>
        <w:t>,</w:t>
      </w:r>
      <w:r w:rsidRPr="002F5969">
        <w:rPr>
          <w:rFonts w:ascii="Cambria" w:hAnsi="Cambria"/>
          <w:sz w:val="24"/>
          <w:szCs w:val="24"/>
        </w:rPr>
        <w:t xml:space="preserve"> u</w:t>
      </w:r>
      <w:r w:rsidR="00775E64" w:rsidRPr="002F5969">
        <w:rPr>
          <w:rFonts w:ascii="Cambria" w:hAnsi="Cambria"/>
          <w:sz w:val="24"/>
          <w:szCs w:val="24"/>
        </w:rPr>
        <w:t>ntil a given year</w:t>
      </w:r>
      <w:r w:rsidRPr="002F5969">
        <w:rPr>
          <w:rFonts w:ascii="Cambria" w:hAnsi="Cambria"/>
          <w:sz w:val="24"/>
          <w:szCs w:val="24"/>
        </w:rPr>
        <w:t xml:space="preserve">. Table 1 indicates how the number of FTAs </w:t>
      </w:r>
      <w:r w:rsidR="00C53593">
        <w:rPr>
          <w:rFonts w:ascii="Cambria" w:hAnsi="Cambria"/>
          <w:sz w:val="24"/>
          <w:szCs w:val="24"/>
        </w:rPr>
        <w:t>for a hypothetical country A</w:t>
      </w:r>
      <w:r w:rsidRPr="002F5969">
        <w:rPr>
          <w:rFonts w:ascii="Cambria" w:hAnsi="Cambria"/>
          <w:sz w:val="24"/>
          <w:szCs w:val="24"/>
        </w:rPr>
        <w:t xml:space="preserve"> at a point </w:t>
      </w:r>
      <w:r w:rsidR="00B24924">
        <w:rPr>
          <w:rFonts w:ascii="Cambria" w:hAnsi="Cambria"/>
          <w:sz w:val="24"/>
          <w:szCs w:val="24"/>
        </w:rPr>
        <w:t>in</w:t>
      </w:r>
      <w:r w:rsidRPr="002F5969">
        <w:rPr>
          <w:rFonts w:ascii="Cambria" w:hAnsi="Cambria"/>
          <w:sz w:val="24"/>
          <w:szCs w:val="24"/>
        </w:rPr>
        <w:t xml:space="preserve"> time can be taken into the analysis.</w:t>
      </w:r>
    </w:p>
    <w:p w14:paraId="3B7E7635" w14:textId="2EF1C750" w:rsidR="00340BC2" w:rsidRDefault="00775E64" w:rsidP="00CF781B">
      <w:pPr>
        <w:spacing w:before="120" w:after="120"/>
        <w:rPr>
          <w:rFonts w:ascii="Cambria" w:hAnsi="Cambria"/>
          <w:sz w:val="24"/>
          <w:szCs w:val="24"/>
        </w:rPr>
      </w:pPr>
      <w:r w:rsidRPr="00CF781B">
        <w:rPr>
          <w:rFonts w:ascii="Cambria" w:hAnsi="Cambria"/>
          <w:b/>
          <w:bCs/>
          <w:sz w:val="24"/>
          <w:szCs w:val="24"/>
        </w:rPr>
        <w:t>Table 1</w:t>
      </w:r>
      <w:r w:rsidR="00CF781B">
        <w:rPr>
          <w:rFonts w:ascii="Cambria" w:hAnsi="Cambria"/>
          <w:sz w:val="24"/>
          <w:szCs w:val="24"/>
        </w:rPr>
        <w:t>.</w:t>
      </w:r>
      <w:r w:rsidRPr="0007294F">
        <w:rPr>
          <w:rFonts w:ascii="Cambria" w:hAnsi="Cambria"/>
          <w:sz w:val="24"/>
          <w:szCs w:val="24"/>
        </w:rPr>
        <w:t xml:space="preserve"> Calculation of countries</w:t>
      </w:r>
      <w:r w:rsidR="00B24924">
        <w:rPr>
          <w:rFonts w:ascii="Cambria" w:hAnsi="Cambria"/>
          <w:sz w:val="24"/>
          <w:szCs w:val="24"/>
        </w:rPr>
        <w:t>'</w:t>
      </w:r>
      <w:r w:rsidRPr="0007294F">
        <w:rPr>
          <w:rFonts w:ascii="Cambria" w:hAnsi="Cambria"/>
          <w:sz w:val="24"/>
          <w:szCs w:val="24"/>
        </w:rPr>
        <w:t xml:space="preserve"> cumulative FTAs.</w:t>
      </w:r>
    </w:p>
    <w:tbl>
      <w:tblPr>
        <w:tblW w:w="5000" w:type="pct"/>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9"/>
        <w:gridCol w:w="1307"/>
        <w:gridCol w:w="1889"/>
        <w:gridCol w:w="3922"/>
      </w:tblGrid>
      <w:tr w:rsidR="0007294F" w:rsidRPr="002F5969" w14:paraId="049EAC11" w14:textId="77777777" w:rsidTr="00CF781B">
        <w:tc>
          <w:tcPr>
            <w:tcW w:w="1843" w:type="dxa"/>
            <w:shd w:val="clear" w:color="auto" w:fill="E7E6E6" w:themeFill="background2"/>
            <w:tcMar>
              <w:top w:w="100" w:type="dxa"/>
              <w:left w:w="100" w:type="dxa"/>
              <w:bottom w:w="100" w:type="dxa"/>
              <w:right w:w="100" w:type="dxa"/>
            </w:tcMar>
          </w:tcPr>
          <w:p w14:paraId="132F7C1D"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r w:rsidRPr="002F5969">
              <w:rPr>
                <w:rFonts w:ascii="Cambria" w:hAnsi="Cambria"/>
                <w:b/>
                <w:bCs/>
                <w:sz w:val="24"/>
                <w:szCs w:val="24"/>
              </w:rPr>
              <w:t>Country</w:t>
            </w:r>
          </w:p>
        </w:tc>
        <w:tc>
          <w:tcPr>
            <w:tcW w:w="1275" w:type="dxa"/>
            <w:shd w:val="clear" w:color="auto" w:fill="E7E6E6" w:themeFill="background2"/>
            <w:tcMar>
              <w:top w:w="100" w:type="dxa"/>
              <w:left w:w="100" w:type="dxa"/>
              <w:bottom w:w="100" w:type="dxa"/>
              <w:right w:w="100" w:type="dxa"/>
            </w:tcMar>
          </w:tcPr>
          <w:p w14:paraId="1FB9182A"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r w:rsidRPr="002F5969">
              <w:rPr>
                <w:rFonts w:ascii="Cambria" w:hAnsi="Cambria"/>
                <w:b/>
                <w:bCs/>
                <w:sz w:val="24"/>
                <w:szCs w:val="24"/>
              </w:rPr>
              <w:t>Time</w:t>
            </w:r>
          </w:p>
        </w:tc>
        <w:tc>
          <w:tcPr>
            <w:tcW w:w="1843" w:type="dxa"/>
            <w:shd w:val="clear" w:color="auto" w:fill="E7E6E6" w:themeFill="background2"/>
            <w:tcMar>
              <w:top w:w="100" w:type="dxa"/>
              <w:left w:w="100" w:type="dxa"/>
              <w:bottom w:w="100" w:type="dxa"/>
              <w:right w:w="100" w:type="dxa"/>
            </w:tcMar>
          </w:tcPr>
          <w:p w14:paraId="1AE0BC81" w14:textId="47289DD0" w:rsidR="00920A90" w:rsidRPr="002F5969" w:rsidRDefault="00920A90" w:rsidP="00CF781B">
            <w:pPr>
              <w:widowControl w:val="0"/>
              <w:pBdr>
                <w:top w:val="nil"/>
                <w:left w:val="nil"/>
                <w:bottom w:val="nil"/>
                <w:right w:val="nil"/>
                <w:between w:val="nil"/>
              </w:pBdr>
              <w:rPr>
                <w:rFonts w:ascii="Cambria" w:hAnsi="Cambria"/>
                <w:b/>
                <w:bCs/>
                <w:sz w:val="24"/>
                <w:szCs w:val="24"/>
              </w:rPr>
            </w:pPr>
            <w:r w:rsidRPr="002F5969">
              <w:rPr>
                <w:rFonts w:ascii="Cambria" w:hAnsi="Cambria"/>
                <w:b/>
                <w:bCs/>
                <w:sz w:val="24"/>
                <w:szCs w:val="24"/>
              </w:rPr>
              <w:t>Number of FTA</w:t>
            </w:r>
            <w:r w:rsidR="00C53593">
              <w:rPr>
                <w:rFonts w:ascii="Cambria" w:hAnsi="Cambria"/>
                <w:b/>
                <w:bCs/>
                <w:sz w:val="24"/>
                <w:szCs w:val="24"/>
              </w:rPr>
              <w:t xml:space="preserve"> signed</w:t>
            </w:r>
          </w:p>
        </w:tc>
        <w:tc>
          <w:tcPr>
            <w:tcW w:w="3827" w:type="dxa"/>
            <w:shd w:val="clear" w:color="auto" w:fill="E7E6E6" w:themeFill="background2"/>
            <w:tcMar>
              <w:top w:w="100" w:type="dxa"/>
              <w:left w:w="100" w:type="dxa"/>
              <w:bottom w:w="100" w:type="dxa"/>
              <w:right w:w="100" w:type="dxa"/>
            </w:tcMar>
          </w:tcPr>
          <w:p w14:paraId="3AAC7203" w14:textId="6AAE9328" w:rsidR="00920A90" w:rsidRPr="002F5969" w:rsidRDefault="00920A90" w:rsidP="00CF781B">
            <w:pPr>
              <w:widowControl w:val="0"/>
              <w:pBdr>
                <w:top w:val="nil"/>
                <w:left w:val="nil"/>
                <w:bottom w:val="nil"/>
                <w:right w:val="nil"/>
                <w:between w:val="nil"/>
              </w:pBdr>
              <w:rPr>
                <w:rFonts w:ascii="Cambria" w:hAnsi="Cambria"/>
                <w:b/>
                <w:bCs/>
                <w:sz w:val="24"/>
                <w:szCs w:val="24"/>
              </w:rPr>
            </w:pPr>
            <w:proofErr w:type="spellStart"/>
            <w:r w:rsidRPr="002F5969">
              <w:rPr>
                <w:rFonts w:ascii="Cambria" w:hAnsi="Cambria"/>
                <w:b/>
                <w:bCs/>
                <w:sz w:val="24"/>
                <w:szCs w:val="24"/>
              </w:rPr>
              <w:t>FTA_Count</w:t>
            </w:r>
            <w:r w:rsidRPr="002F5969">
              <w:rPr>
                <w:rFonts w:ascii="Cambria" w:hAnsi="Cambria"/>
                <w:b/>
                <w:bCs/>
                <w:sz w:val="24"/>
                <w:szCs w:val="24"/>
                <w:vertAlign w:val="subscript"/>
              </w:rPr>
              <w:t>it</w:t>
            </w:r>
            <w:proofErr w:type="spellEnd"/>
            <w:r w:rsidR="00340BC2" w:rsidRPr="002F5969">
              <w:rPr>
                <w:rFonts w:ascii="Cambria" w:hAnsi="Cambria"/>
                <w:b/>
                <w:bCs/>
                <w:sz w:val="24"/>
                <w:szCs w:val="24"/>
                <w:vertAlign w:val="subscript"/>
              </w:rPr>
              <w:t xml:space="preserve"> </w:t>
            </w:r>
            <w:r w:rsidRPr="002F5969">
              <w:rPr>
                <w:rFonts w:ascii="Cambria" w:hAnsi="Cambria"/>
                <w:b/>
                <w:bCs/>
                <w:sz w:val="24"/>
                <w:szCs w:val="24"/>
              </w:rPr>
              <w:t>(</w:t>
            </w:r>
            <w:r w:rsidR="00340BC2" w:rsidRPr="002F5969">
              <w:rPr>
                <w:rFonts w:ascii="Cambria" w:hAnsi="Cambria"/>
                <w:b/>
                <w:bCs/>
                <w:sz w:val="24"/>
                <w:szCs w:val="24"/>
              </w:rPr>
              <w:t>C</w:t>
            </w:r>
            <w:r w:rsidRPr="002F5969">
              <w:rPr>
                <w:rFonts w:ascii="Cambria" w:hAnsi="Cambria"/>
                <w:b/>
                <w:bCs/>
                <w:sz w:val="24"/>
                <w:szCs w:val="24"/>
              </w:rPr>
              <w:t>umulative FTA count)</w:t>
            </w:r>
          </w:p>
        </w:tc>
      </w:tr>
      <w:tr w:rsidR="0007294F" w:rsidRPr="002F5969" w14:paraId="747A320E" w14:textId="77777777" w:rsidTr="00CF781B">
        <w:tc>
          <w:tcPr>
            <w:tcW w:w="1843" w:type="dxa"/>
            <w:shd w:val="clear" w:color="auto" w:fill="auto"/>
            <w:tcMar>
              <w:top w:w="100" w:type="dxa"/>
              <w:left w:w="100" w:type="dxa"/>
              <w:bottom w:w="100" w:type="dxa"/>
              <w:right w:w="100" w:type="dxa"/>
            </w:tcMar>
          </w:tcPr>
          <w:p w14:paraId="563BCCE2"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lastRenderedPageBreak/>
              <w:t>A</w:t>
            </w:r>
          </w:p>
        </w:tc>
        <w:tc>
          <w:tcPr>
            <w:tcW w:w="1275" w:type="dxa"/>
            <w:shd w:val="clear" w:color="auto" w:fill="auto"/>
            <w:tcMar>
              <w:top w:w="100" w:type="dxa"/>
              <w:left w:w="100" w:type="dxa"/>
              <w:bottom w:w="100" w:type="dxa"/>
              <w:right w:w="100" w:type="dxa"/>
            </w:tcMar>
          </w:tcPr>
          <w:p w14:paraId="4F2FE998"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1995</w:t>
            </w:r>
          </w:p>
        </w:tc>
        <w:tc>
          <w:tcPr>
            <w:tcW w:w="1843" w:type="dxa"/>
            <w:shd w:val="clear" w:color="auto" w:fill="auto"/>
            <w:tcMar>
              <w:top w:w="100" w:type="dxa"/>
              <w:left w:w="100" w:type="dxa"/>
              <w:bottom w:w="100" w:type="dxa"/>
              <w:right w:w="100" w:type="dxa"/>
            </w:tcMar>
          </w:tcPr>
          <w:p w14:paraId="7C2150D8"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3</w:t>
            </w:r>
          </w:p>
        </w:tc>
        <w:tc>
          <w:tcPr>
            <w:tcW w:w="3827" w:type="dxa"/>
            <w:shd w:val="clear" w:color="auto" w:fill="auto"/>
            <w:tcMar>
              <w:top w:w="100" w:type="dxa"/>
              <w:left w:w="100" w:type="dxa"/>
              <w:bottom w:w="100" w:type="dxa"/>
              <w:right w:w="100" w:type="dxa"/>
            </w:tcMar>
          </w:tcPr>
          <w:p w14:paraId="25276C80"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3</w:t>
            </w:r>
          </w:p>
        </w:tc>
      </w:tr>
      <w:tr w:rsidR="0007294F" w:rsidRPr="002F5969" w14:paraId="0BFFF8C9" w14:textId="77777777" w:rsidTr="00CF781B">
        <w:tc>
          <w:tcPr>
            <w:tcW w:w="1843" w:type="dxa"/>
            <w:shd w:val="clear" w:color="auto" w:fill="auto"/>
            <w:tcMar>
              <w:top w:w="100" w:type="dxa"/>
              <w:left w:w="100" w:type="dxa"/>
              <w:bottom w:w="100" w:type="dxa"/>
              <w:right w:w="100" w:type="dxa"/>
            </w:tcMar>
          </w:tcPr>
          <w:p w14:paraId="0EDF2ED6"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A</w:t>
            </w:r>
          </w:p>
        </w:tc>
        <w:tc>
          <w:tcPr>
            <w:tcW w:w="1275" w:type="dxa"/>
            <w:shd w:val="clear" w:color="auto" w:fill="auto"/>
            <w:tcMar>
              <w:top w:w="100" w:type="dxa"/>
              <w:left w:w="100" w:type="dxa"/>
              <w:bottom w:w="100" w:type="dxa"/>
              <w:right w:w="100" w:type="dxa"/>
            </w:tcMar>
          </w:tcPr>
          <w:p w14:paraId="23148303"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1996</w:t>
            </w:r>
          </w:p>
        </w:tc>
        <w:tc>
          <w:tcPr>
            <w:tcW w:w="1843" w:type="dxa"/>
            <w:shd w:val="clear" w:color="auto" w:fill="auto"/>
            <w:tcMar>
              <w:top w:w="100" w:type="dxa"/>
              <w:left w:w="100" w:type="dxa"/>
              <w:bottom w:w="100" w:type="dxa"/>
              <w:right w:w="100" w:type="dxa"/>
            </w:tcMar>
          </w:tcPr>
          <w:p w14:paraId="64F2D790"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2</w:t>
            </w:r>
          </w:p>
        </w:tc>
        <w:tc>
          <w:tcPr>
            <w:tcW w:w="3827" w:type="dxa"/>
            <w:shd w:val="clear" w:color="auto" w:fill="auto"/>
            <w:tcMar>
              <w:top w:w="100" w:type="dxa"/>
              <w:left w:w="100" w:type="dxa"/>
              <w:bottom w:w="100" w:type="dxa"/>
              <w:right w:w="100" w:type="dxa"/>
            </w:tcMar>
          </w:tcPr>
          <w:p w14:paraId="5344A878"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5</w:t>
            </w:r>
          </w:p>
        </w:tc>
      </w:tr>
      <w:tr w:rsidR="0007294F" w:rsidRPr="002F5969" w14:paraId="26A5B167" w14:textId="77777777" w:rsidTr="00CF781B">
        <w:tc>
          <w:tcPr>
            <w:tcW w:w="1843" w:type="dxa"/>
            <w:shd w:val="clear" w:color="auto" w:fill="auto"/>
            <w:tcMar>
              <w:top w:w="100" w:type="dxa"/>
              <w:left w:w="100" w:type="dxa"/>
              <w:bottom w:w="100" w:type="dxa"/>
              <w:right w:w="100" w:type="dxa"/>
            </w:tcMar>
          </w:tcPr>
          <w:p w14:paraId="75F7EDCA"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 xml:space="preserve">A </w:t>
            </w:r>
          </w:p>
        </w:tc>
        <w:tc>
          <w:tcPr>
            <w:tcW w:w="1275" w:type="dxa"/>
            <w:shd w:val="clear" w:color="auto" w:fill="auto"/>
            <w:tcMar>
              <w:top w:w="100" w:type="dxa"/>
              <w:left w:w="100" w:type="dxa"/>
              <w:bottom w:w="100" w:type="dxa"/>
              <w:right w:w="100" w:type="dxa"/>
            </w:tcMar>
          </w:tcPr>
          <w:p w14:paraId="436A561E"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1997</w:t>
            </w:r>
          </w:p>
        </w:tc>
        <w:tc>
          <w:tcPr>
            <w:tcW w:w="1843" w:type="dxa"/>
            <w:shd w:val="clear" w:color="auto" w:fill="auto"/>
            <w:tcMar>
              <w:top w:w="100" w:type="dxa"/>
              <w:left w:w="100" w:type="dxa"/>
              <w:bottom w:w="100" w:type="dxa"/>
              <w:right w:w="100" w:type="dxa"/>
            </w:tcMar>
          </w:tcPr>
          <w:p w14:paraId="6176A0ED"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4</w:t>
            </w:r>
          </w:p>
        </w:tc>
        <w:tc>
          <w:tcPr>
            <w:tcW w:w="3827" w:type="dxa"/>
            <w:shd w:val="clear" w:color="auto" w:fill="auto"/>
            <w:tcMar>
              <w:top w:w="100" w:type="dxa"/>
              <w:left w:w="100" w:type="dxa"/>
              <w:bottom w:w="100" w:type="dxa"/>
              <w:right w:w="100" w:type="dxa"/>
            </w:tcMar>
          </w:tcPr>
          <w:p w14:paraId="1F0890BF"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9</w:t>
            </w:r>
          </w:p>
        </w:tc>
      </w:tr>
      <w:tr w:rsidR="002F5969" w:rsidRPr="002F5969" w14:paraId="7502BB73" w14:textId="77777777" w:rsidTr="00CF781B">
        <w:tc>
          <w:tcPr>
            <w:tcW w:w="1843" w:type="dxa"/>
            <w:shd w:val="clear" w:color="auto" w:fill="auto"/>
            <w:tcMar>
              <w:top w:w="100" w:type="dxa"/>
              <w:left w:w="100" w:type="dxa"/>
              <w:bottom w:w="100" w:type="dxa"/>
              <w:right w:w="100" w:type="dxa"/>
            </w:tcMar>
          </w:tcPr>
          <w:p w14:paraId="3D9370DE"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A</w:t>
            </w:r>
          </w:p>
        </w:tc>
        <w:tc>
          <w:tcPr>
            <w:tcW w:w="1275" w:type="dxa"/>
            <w:shd w:val="clear" w:color="auto" w:fill="auto"/>
            <w:tcMar>
              <w:top w:w="100" w:type="dxa"/>
              <w:left w:w="100" w:type="dxa"/>
              <w:bottom w:w="100" w:type="dxa"/>
              <w:right w:w="100" w:type="dxa"/>
            </w:tcMar>
          </w:tcPr>
          <w:p w14:paraId="5C5DD42E"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 xml:space="preserve">1998 </w:t>
            </w:r>
          </w:p>
        </w:tc>
        <w:tc>
          <w:tcPr>
            <w:tcW w:w="1843" w:type="dxa"/>
            <w:shd w:val="clear" w:color="auto" w:fill="auto"/>
            <w:tcMar>
              <w:top w:w="100" w:type="dxa"/>
              <w:left w:w="100" w:type="dxa"/>
              <w:bottom w:w="100" w:type="dxa"/>
              <w:right w:w="100" w:type="dxa"/>
            </w:tcMar>
          </w:tcPr>
          <w:p w14:paraId="16A1D942"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3</w:t>
            </w:r>
          </w:p>
        </w:tc>
        <w:tc>
          <w:tcPr>
            <w:tcW w:w="3827" w:type="dxa"/>
            <w:shd w:val="clear" w:color="auto" w:fill="auto"/>
            <w:tcMar>
              <w:top w:w="100" w:type="dxa"/>
              <w:left w:w="100" w:type="dxa"/>
              <w:bottom w:w="100" w:type="dxa"/>
              <w:right w:w="100" w:type="dxa"/>
            </w:tcMar>
          </w:tcPr>
          <w:p w14:paraId="5A1865B5"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12</w:t>
            </w:r>
          </w:p>
        </w:tc>
      </w:tr>
    </w:tbl>
    <w:p w14:paraId="5829C7B1" w14:textId="71A8C4F3" w:rsidR="00920A90" w:rsidRPr="0007294F" w:rsidRDefault="00920A90" w:rsidP="00CF781B">
      <w:pPr>
        <w:ind w:left="720"/>
        <w:rPr>
          <w:rFonts w:ascii="Cambria" w:hAnsi="Cambria"/>
          <w:sz w:val="24"/>
          <w:szCs w:val="24"/>
        </w:rPr>
      </w:pPr>
    </w:p>
    <w:p w14:paraId="390469C4" w14:textId="3CCED8E5" w:rsidR="00C53593" w:rsidRPr="00C53593" w:rsidRDefault="00C53593" w:rsidP="00C53593">
      <w:pPr>
        <w:spacing w:before="120" w:after="120"/>
        <w:ind w:right="-329"/>
        <w:rPr>
          <w:rFonts w:ascii="Cambria" w:hAnsi="Cambria"/>
          <w:b/>
          <w:sz w:val="24"/>
          <w:szCs w:val="24"/>
        </w:rPr>
      </w:pPr>
      <w:r>
        <w:rPr>
          <w:rFonts w:ascii="Cambria" w:hAnsi="Cambria"/>
          <w:sz w:val="24"/>
          <w:szCs w:val="24"/>
        </w:rPr>
        <w:t>We also specify the following regression to identify how t</w:t>
      </w:r>
      <w:r w:rsidRPr="00C53593">
        <w:rPr>
          <w:rFonts w:ascii="Cambria" w:hAnsi="Cambria"/>
          <w:sz w:val="24"/>
          <w:szCs w:val="24"/>
        </w:rPr>
        <w:t>he diversity in each country is influenced by the cumulative depth index of the FTAs until a given year</w:t>
      </w:r>
      <w:r>
        <w:rPr>
          <w:rFonts w:ascii="Cambria" w:hAnsi="Cambria"/>
          <w:sz w:val="24"/>
          <w:szCs w:val="24"/>
        </w:rPr>
        <w:t xml:space="preserve">, </w:t>
      </w:r>
      <m:oMath>
        <m:sSub>
          <m:sSubPr>
            <m:ctrlPr>
              <w:rPr>
                <w:rFonts w:ascii="Cambria Math" w:hAnsi="Cambria Math"/>
                <w:iCs/>
                <w:sz w:val="24"/>
                <w:szCs w:val="24"/>
              </w:rPr>
            </m:ctrlPr>
          </m:sSubPr>
          <m:e>
            <m:r>
              <m:rPr>
                <m:sty m:val="p"/>
              </m:rPr>
              <w:rPr>
                <w:rFonts w:ascii="Cambria Math" w:hAnsi="Cambria Math"/>
                <w:sz w:val="24"/>
                <w:szCs w:val="24"/>
              </w:rPr>
              <m:t>FTADepth</m:t>
            </m:r>
          </m:e>
          <m:sub>
            <m:r>
              <m:rPr>
                <m:sty m:val="p"/>
              </m:rPr>
              <w:rPr>
                <w:rFonts w:ascii="Cambria Math" w:hAnsi="Cambria Math"/>
                <w:sz w:val="24"/>
                <w:szCs w:val="24"/>
              </w:rPr>
              <m:t>it</m:t>
            </m:r>
          </m:sub>
        </m:sSub>
      </m:oMath>
      <w:r w:rsidRPr="00C53593">
        <w:rPr>
          <w:rFonts w:ascii="Cambria" w:hAnsi="Cambria"/>
          <w:sz w:val="24"/>
          <w:szCs w:val="24"/>
        </w:rPr>
        <w:t>.</w:t>
      </w:r>
    </w:p>
    <w:p w14:paraId="7D4A6EF1" w14:textId="6211F472" w:rsidR="00836859" w:rsidRPr="002F5969" w:rsidRDefault="00836859" w:rsidP="00C53593">
      <w:pPr>
        <w:pStyle w:val="ListParagraph"/>
        <w:spacing w:before="120" w:after="120"/>
        <w:ind w:left="709" w:right="-329"/>
        <w:rPr>
          <w:rFonts w:ascii="Cambria" w:hAnsi="Cambria"/>
          <w:b/>
          <w:bCs/>
          <w:sz w:val="24"/>
          <w:szCs w:val="24"/>
        </w:rPr>
      </w:pPr>
      <m:oMath>
        <m:r>
          <m:rPr>
            <m:sty m:val="bi"/>
          </m:rPr>
          <w:rPr>
            <w:rFonts w:ascii="Cambria Math" w:hAnsi="Cambria Math"/>
            <w:sz w:val="24"/>
            <w:szCs w:val="24"/>
          </w:rPr>
          <m:t>Diversit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it</m:t>
            </m:r>
          </m:sub>
        </m:sSub>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sSub>
          <m:sSubPr>
            <m:ctrlPr>
              <w:rPr>
                <w:rFonts w:ascii="Cambria Math" w:hAnsi="Cambria Math"/>
                <w:b/>
                <w:bCs/>
                <w:i/>
                <w:sz w:val="24"/>
                <w:szCs w:val="24"/>
              </w:rPr>
            </m:ctrlPr>
          </m:sSubPr>
          <m:e>
            <m:r>
              <m:rPr>
                <m:sty m:val="bi"/>
              </m:rPr>
              <w:rPr>
                <w:rFonts w:ascii="Cambria Math" w:hAnsi="Cambria Math"/>
                <w:sz w:val="24"/>
                <w:szCs w:val="24"/>
              </w:rPr>
              <m:t>FTADepth</m:t>
            </m:r>
          </m:e>
          <m:sub>
            <m:r>
              <m:rPr>
                <m:sty m:val="bi"/>
              </m:rPr>
              <w:rPr>
                <w:rFonts w:ascii="Cambria Math" w:hAnsi="Cambria Math"/>
                <w:sz w:val="24"/>
                <w:szCs w:val="24"/>
              </w:rPr>
              <m:t>it</m:t>
            </m:r>
          </m:sub>
        </m:sSub>
        <m:r>
          <m:rPr>
            <m:sty m:val="bi"/>
          </m:rPr>
          <w:rPr>
            <w:rFonts w:ascii="Cambria Math" w:hAnsi="Cambria Math"/>
            <w:sz w:val="24"/>
            <w:szCs w:val="24"/>
          </w:rPr>
          <m:t>+X</m:t>
        </m:r>
        <m:r>
          <m:rPr>
            <m:scr m:val="sans-serif"/>
            <m:sty m:val="bi"/>
          </m:rPr>
          <w:rPr>
            <w:rFonts w:ascii="Cambria Math" w:hAnsi="Cambria Math"/>
            <w:sz w:val="24"/>
            <w:szCs w:val="24"/>
          </w:rPr>
          <m:t>θ+</m:t>
        </m:r>
        <m:sSub>
          <m:sSubPr>
            <m:ctrlPr>
              <w:rPr>
                <w:rFonts w:ascii="Cambria Math" w:hAnsi="Cambria Math"/>
                <w:b/>
                <w:bCs/>
                <w:i/>
                <w:sz w:val="24"/>
                <w:szCs w:val="24"/>
              </w:rPr>
            </m:ctrlPr>
          </m:sSubPr>
          <m:e>
            <m:r>
              <m:rPr>
                <m:sty m:val="bi"/>
              </m:rPr>
              <w:rPr>
                <w:rFonts w:ascii="Cambria Math" w:hAnsi="Cambria Math"/>
                <w:sz w:val="24"/>
                <w:szCs w:val="24"/>
              </w:rPr>
              <m:t>FE</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FE</m:t>
            </m:r>
          </m:e>
          <m:sub>
            <m:r>
              <m:rPr>
                <m:sty m:val="bi"/>
              </m:rPr>
              <w:rPr>
                <w:rFonts w:ascii="Cambria Math" w:hAnsi="Cambria Math"/>
                <w:sz w:val="24"/>
                <w:szCs w:val="24"/>
              </w:rPr>
              <m:t>t</m:t>
            </m:r>
          </m:sub>
        </m:sSub>
      </m:oMath>
      <w:r w:rsidRPr="002F5969">
        <w:rPr>
          <w:rFonts w:ascii="Cambria" w:hAnsi="Cambria"/>
          <w:b/>
          <w:bCs/>
          <w:sz w:val="24"/>
          <w:szCs w:val="24"/>
        </w:rPr>
        <w:t xml:space="preserve"> </w:t>
      </w: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it</m:t>
            </m:r>
          </m:sub>
        </m:sSub>
      </m:oMath>
    </w:p>
    <w:p w14:paraId="3886EB36" w14:textId="2AF1A1C6" w:rsidR="00920A90" w:rsidRPr="002F5969" w:rsidRDefault="00920A90" w:rsidP="00C53593">
      <w:pPr>
        <w:spacing w:before="120" w:after="120"/>
        <w:jc w:val="both"/>
        <w:rPr>
          <w:rFonts w:ascii="Cambria" w:hAnsi="Cambria"/>
          <w:sz w:val="24"/>
          <w:szCs w:val="24"/>
        </w:rPr>
      </w:pPr>
      <w:r w:rsidRPr="002F5969">
        <w:rPr>
          <w:rFonts w:ascii="Cambria" w:hAnsi="Cambria"/>
          <w:sz w:val="24"/>
          <w:szCs w:val="24"/>
        </w:rPr>
        <w:t xml:space="preserve">Table 2 indicates </w:t>
      </w:r>
      <w:r w:rsidR="00775E64" w:rsidRPr="002F5969">
        <w:rPr>
          <w:rFonts w:ascii="Cambria" w:hAnsi="Cambria"/>
          <w:sz w:val="24"/>
          <w:szCs w:val="24"/>
        </w:rPr>
        <w:t xml:space="preserve">the calculation procedure for the depth of FTAs </w:t>
      </w:r>
      <w:r w:rsidR="00C221BB" w:rsidRPr="002F5969">
        <w:rPr>
          <w:rFonts w:ascii="Cambria" w:hAnsi="Cambria"/>
          <w:sz w:val="24"/>
          <w:szCs w:val="24"/>
        </w:rPr>
        <w:t>(</w:t>
      </w:r>
      <w:r w:rsidRPr="002F5969">
        <w:rPr>
          <w:rFonts w:ascii="Cambria" w:hAnsi="Cambria"/>
          <w:sz w:val="24"/>
          <w:szCs w:val="24"/>
        </w:rPr>
        <w:t>FTA_depth</w:t>
      </w:r>
      <w:r w:rsidR="00775E64" w:rsidRPr="002F5969">
        <w:rPr>
          <w:rFonts w:ascii="Cambria" w:hAnsi="Cambria"/>
          <w:sz w:val="24"/>
          <w:szCs w:val="24"/>
        </w:rPr>
        <w:t>)</w:t>
      </w:r>
      <w:r w:rsidR="00C221BB" w:rsidRPr="002F5969">
        <w:rPr>
          <w:rFonts w:ascii="Cambria" w:hAnsi="Cambria"/>
          <w:sz w:val="24"/>
          <w:szCs w:val="24"/>
        </w:rPr>
        <w:t>.</w:t>
      </w:r>
      <w:r w:rsidR="00775E64" w:rsidRPr="002F5969">
        <w:rPr>
          <w:rFonts w:ascii="Cambria" w:hAnsi="Cambria"/>
          <w:sz w:val="24"/>
          <w:szCs w:val="24"/>
        </w:rPr>
        <w:t xml:space="preserve"> The depth of FTAs is reported </w:t>
      </w:r>
      <w:r w:rsidR="00FC7D74" w:rsidRPr="002F5969">
        <w:rPr>
          <w:rFonts w:ascii="Cambria" w:hAnsi="Cambria"/>
          <w:sz w:val="24"/>
          <w:szCs w:val="24"/>
        </w:rPr>
        <w:t>in DE</w:t>
      </w:r>
      <w:r w:rsidR="00860B41">
        <w:rPr>
          <w:rFonts w:ascii="Cambria" w:hAnsi="Cambria"/>
          <w:sz w:val="24"/>
          <w:szCs w:val="24"/>
        </w:rPr>
        <w:t>F</w:t>
      </w:r>
      <w:r w:rsidR="00FC7D74" w:rsidRPr="002F5969">
        <w:rPr>
          <w:rFonts w:ascii="Cambria" w:hAnsi="Cambria"/>
          <w:sz w:val="24"/>
          <w:szCs w:val="24"/>
        </w:rPr>
        <w:t>TA</w:t>
      </w:r>
      <w:r w:rsidR="00775E64" w:rsidRPr="002F5969">
        <w:rPr>
          <w:rFonts w:ascii="Cambria" w:hAnsi="Cambria"/>
          <w:sz w:val="24"/>
          <w:szCs w:val="24"/>
        </w:rPr>
        <w:t xml:space="preserve"> database and the depth is calculated based on </w:t>
      </w:r>
      <w:r w:rsidR="00FC7D74" w:rsidRPr="002F5969">
        <w:rPr>
          <w:rFonts w:ascii="Cambria" w:hAnsi="Cambria"/>
          <w:sz w:val="24"/>
          <w:szCs w:val="24"/>
        </w:rPr>
        <w:t>two ways: Depth index and Depth Rasch. The former is an add</w:t>
      </w:r>
      <w:r w:rsidR="007D16AD">
        <w:rPr>
          <w:rFonts w:ascii="Cambria" w:hAnsi="Cambria"/>
          <w:sz w:val="24"/>
          <w:szCs w:val="24"/>
        </w:rPr>
        <w:t>i</w:t>
      </w:r>
      <w:r w:rsidR="00FC7D74" w:rsidRPr="002F5969">
        <w:rPr>
          <w:rFonts w:ascii="Cambria" w:hAnsi="Cambria"/>
          <w:sz w:val="24"/>
          <w:szCs w:val="24"/>
        </w:rPr>
        <w:t xml:space="preserve">tive index of the key provisions of </w:t>
      </w:r>
      <w:r w:rsidR="00265CF0" w:rsidRPr="002F5969">
        <w:rPr>
          <w:rFonts w:ascii="Cambria" w:hAnsi="Cambria"/>
          <w:sz w:val="24"/>
          <w:szCs w:val="24"/>
        </w:rPr>
        <w:t xml:space="preserve">FTAS. </w:t>
      </w:r>
      <w:r w:rsidR="00860B41" w:rsidRPr="00860B41">
        <w:rPr>
          <w:rFonts w:ascii="Cambria" w:hAnsi="Cambria"/>
          <w:sz w:val="24"/>
          <w:szCs w:val="24"/>
        </w:rPr>
        <w:t>This additive index combines seven key provisions: Full Tr</w:t>
      </w:r>
      <w:bookmarkStart w:id="3" w:name="_GoBack"/>
      <w:bookmarkEnd w:id="3"/>
      <w:r w:rsidR="00860B41" w:rsidRPr="00860B41">
        <w:rPr>
          <w:rFonts w:ascii="Cambria" w:hAnsi="Cambria"/>
          <w:sz w:val="24"/>
          <w:szCs w:val="24"/>
        </w:rPr>
        <w:t xml:space="preserve">ade Agreement type, standards (sanitary and phytosanitary provisions, technical </w:t>
      </w:r>
      <w:r w:rsidR="00B24924">
        <w:rPr>
          <w:rFonts w:ascii="Cambria" w:hAnsi="Cambria"/>
          <w:sz w:val="24"/>
          <w:szCs w:val="24"/>
        </w:rPr>
        <w:t>trade barriers</w:t>
      </w:r>
      <w:r w:rsidR="00860B41" w:rsidRPr="00860B41">
        <w:rPr>
          <w:rFonts w:ascii="Cambria" w:hAnsi="Cambria"/>
          <w:sz w:val="24"/>
          <w:szCs w:val="24"/>
        </w:rPr>
        <w:t>), investments (investment chapters, references in services, bilateral investment treaties), services (speci</w:t>
      </w:r>
      <w:r w:rsidR="00C53593">
        <w:rPr>
          <w:rFonts w:ascii="Cambria" w:hAnsi="Cambria"/>
          <w:sz w:val="24"/>
          <w:szCs w:val="24"/>
        </w:rPr>
        <w:t xml:space="preserve">fic liberalization provisions), </w:t>
      </w:r>
      <w:r w:rsidR="00860B41" w:rsidRPr="00860B41">
        <w:rPr>
          <w:rFonts w:ascii="Cambria" w:hAnsi="Cambria"/>
          <w:sz w:val="24"/>
          <w:szCs w:val="24"/>
        </w:rPr>
        <w:t>procurement (public procurement provisions), competition (competition chapters), and intellectual property rights (various aspects like national treatment, most-</w:t>
      </w:r>
      <w:proofErr w:type="spellStart"/>
      <w:r w:rsidR="00860B41" w:rsidRPr="00860B41">
        <w:rPr>
          <w:rFonts w:ascii="Cambria" w:hAnsi="Cambria"/>
          <w:sz w:val="24"/>
          <w:szCs w:val="24"/>
        </w:rPr>
        <w:t>favoured</w:t>
      </w:r>
      <w:proofErr w:type="spellEnd"/>
      <w:r w:rsidR="00860B41" w:rsidRPr="00860B41">
        <w:rPr>
          <w:rFonts w:ascii="Cambria" w:hAnsi="Cambria"/>
          <w:sz w:val="24"/>
          <w:szCs w:val="24"/>
        </w:rPr>
        <w:t xml:space="preserve"> nation treatment, specific provisions for standards and enforcement)</w:t>
      </w:r>
      <w:r w:rsidR="00860B41">
        <w:rPr>
          <w:rFonts w:ascii="Cambria" w:hAnsi="Cambria"/>
          <w:sz w:val="24"/>
          <w:szCs w:val="24"/>
        </w:rPr>
        <w:t>.</w:t>
      </w:r>
      <w:r w:rsidR="00265CF0">
        <w:rPr>
          <w:rFonts w:ascii="Cambria" w:hAnsi="Cambria"/>
          <w:sz w:val="24"/>
          <w:szCs w:val="24"/>
        </w:rPr>
        <w:t xml:space="preserve"> </w:t>
      </w:r>
      <w:r w:rsidR="00FC7D74" w:rsidRPr="002F5969">
        <w:rPr>
          <w:rFonts w:ascii="Cambria" w:hAnsi="Cambria"/>
          <w:sz w:val="24"/>
          <w:szCs w:val="24"/>
        </w:rPr>
        <w:t xml:space="preserve">The latter is a PCA score of the 49 variables associated with </w:t>
      </w:r>
      <w:r w:rsidR="00B24924">
        <w:rPr>
          <w:rFonts w:ascii="Cambria" w:hAnsi="Cambria"/>
          <w:sz w:val="24"/>
          <w:szCs w:val="24"/>
        </w:rPr>
        <w:t xml:space="preserve">the </w:t>
      </w:r>
      <w:r w:rsidR="00FC7D74" w:rsidRPr="002F5969">
        <w:rPr>
          <w:rFonts w:ascii="Cambria" w:hAnsi="Cambria"/>
          <w:sz w:val="24"/>
          <w:szCs w:val="24"/>
        </w:rPr>
        <w:t>depth of FTAs</w:t>
      </w:r>
      <w:r w:rsidR="00C53593">
        <w:rPr>
          <w:rFonts w:ascii="Cambria" w:hAnsi="Cambria"/>
          <w:sz w:val="24"/>
          <w:szCs w:val="24"/>
        </w:rPr>
        <w:t xml:space="preserve">, such as </w:t>
      </w:r>
      <w:r w:rsidR="00C53593" w:rsidRPr="00860B41">
        <w:rPr>
          <w:rFonts w:ascii="Cambria" w:hAnsi="Cambria"/>
          <w:sz w:val="24"/>
          <w:szCs w:val="24"/>
        </w:rPr>
        <w:t>services liberalization, investment measures, intellectual property rights, and standards</w:t>
      </w:r>
      <w:r w:rsidR="00FC7D74" w:rsidRPr="002F5969">
        <w:rPr>
          <w:rFonts w:ascii="Cambria" w:hAnsi="Cambria"/>
          <w:sz w:val="24"/>
          <w:szCs w:val="24"/>
        </w:rPr>
        <w:t>.</w:t>
      </w:r>
      <w:r w:rsidR="00860B41">
        <w:rPr>
          <w:rFonts w:ascii="Cambria" w:hAnsi="Cambria"/>
          <w:sz w:val="24"/>
          <w:szCs w:val="24"/>
        </w:rPr>
        <w:t xml:space="preserve"> </w:t>
      </w:r>
      <w:r w:rsidR="00860B41" w:rsidRPr="00860B41">
        <w:rPr>
          <w:rFonts w:ascii="Cambria" w:hAnsi="Cambria"/>
          <w:sz w:val="24"/>
          <w:szCs w:val="24"/>
        </w:rPr>
        <w:t>This</w:t>
      </w:r>
      <w:r w:rsidR="00C53593">
        <w:rPr>
          <w:rFonts w:ascii="Cambria" w:hAnsi="Cambria"/>
          <w:sz w:val="24"/>
          <w:szCs w:val="24"/>
        </w:rPr>
        <w:t xml:space="preserve"> variable</w:t>
      </w:r>
      <w:r w:rsidR="00860B41" w:rsidRPr="00860B41">
        <w:rPr>
          <w:rFonts w:ascii="Cambria" w:hAnsi="Cambria"/>
          <w:sz w:val="24"/>
          <w:szCs w:val="24"/>
        </w:rPr>
        <w:t xml:space="preserve"> measure is based on latent trait analysis, specifically the Rasch model. The Rasch model deals with correlated data and varying item importance in determining depth.</w:t>
      </w:r>
    </w:p>
    <w:p w14:paraId="603B06AF" w14:textId="00115787" w:rsidR="00920A90" w:rsidRDefault="00775E64" w:rsidP="00CF781B">
      <w:pPr>
        <w:spacing w:before="120" w:after="120"/>
        <w:rPr>
          <w:rFonts w:ascii="Cambria" w:hAnsi="Cambria"/>
          <w:sz w:val="28"/>
          <w:szCs w:val="28"/>
        </w:rPr>
      </w:pPr>
      <w:r w:rsidRPr="00CF781B">
        <w:rPr>
          <w:rFonts w:ascii="Cambria" w:hAnsi="Cambria"/>
          <w:b/>
          <w:bCs/>
          <w:sz w:val="24"/>
          <w:szCs w:val="24"/>
        </w:rPr>
        <w:t>Table 2</w:t>
      </w:r>
      <w:r w:rsidR="00CF781B">
        <w:rPr>
          <w:rFonts w:ascii="Cambria" w:hAnsi="Cambria"/>
          <w:sz w:val="24"/>
          <w:szCs w:val="24"/>
        </w:rPr>
        <w:t>.</w:t>
      </w:r>
      <w:r w:rsidRPr="0007294F">
        <w:rPr>
          <w:rFonts w:ascii="Cambria" w:hAnsi="Cambria"/>
          <w:sz w:val="28"/>
          <w:szCs w:val="28"/>
        </w:rPr>
        <w:t xml:space="preserve"> Calculation of the depth of FTAs</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992"/>
        <w:gridCol w:w="1843"/>
        <w:gridCol w:w="1843"/>
        <w:gridCol w:w="1559"/>
        <w:gridCol w:w="1701"/>
      </w:tblGrid>
      <w:tr w:rsidR="0007294F" w:rsidRPr="0007294F" w14:paraId="6DCA72DA" w14:textId="77777777" w:rsidTr="00C221BB">
        <w:tc>
          <w:tcPr>
            <w:tcW w:w="1266" w:type="dxa"/>
            <w:shd w:val="clear" w:color="auto" w:fill="E7E6E6" w:themeFill="background2"/>
            <w:tcMar>
              <w:top w:w="100" w:type="dxa"/>
              <w:left w:w="100" w:type="dxa"/>
              <w:bottom w:w="100" w:type="dxa"/>
              <w:right w:w="100" w:type="dxa"/>
            </w:tcMar>
          </w:tcPr>
          <w:p w14:paraId="537C44C9"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r w:rsidRPr="002F5969">
              <w:rPr>
                <w:rFonts w:ascii="Cambria" w:hAnsi="Cambria"/>
                <w:b/>
                <w:bCs/>
                <w:sz w:val="24"/>
                <w:szCs w:val="24"/>
              </w:rPr>
              <w:t>Country</w:t>
            </w:r>
          </w:p>
        </w:tc>
        <w:tc>
          <w:tcPr>
            <w:tcW w:w="992" w:type="dxa"/>
            <w:shd w:val="clear" w:color="auto" w:fill="E7E6E6" w:themeFill="background2"/>
            <w:tcMar>
              <w:top w:w="100" w:type="dxa"/>
              <w:left w:w="100" w:type="dxa"/>
              <w:bottom w:w="100" w:type="dxa"/>
              <w:right w:w="100" w:type="dxa"/>
            </w:tcMar>
          </w:tcPr>
          <w:p w14:paraId="6167AB5C"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r w:rsidRPr="002F5969">
              <w:rPr>
                <w:rFonts w:ascii="Cambria" w:hAnsi="Cambria"/>
                <w:b/>
                <w:bCs/>
                <w:sz w:val="24"/>
                <w:szCs w:val="24"/>
              </w:rPr>
              <w:t>Time</w:t>
            </w:r>
          </w:p>
        </w:tc>
        <w:tc>
          <w:tcPr>
            <w:tcW w:w="1843" w:type="dxa"/>
            <w:shd w:val="clear" w:color="auto" w:fill="E7E6E6" w:themeFill="background2"/>
            <w:tcMar>
              <w:top w:w="100" w:type="dxa"/>
              <w:left w:w="100" w:type="dxa"/>
              <w:bottom w:w="100" w:type="dxa"/>
              <w:right w:w="100" w:type="dxa"/>
            </w:tcMar>
          </w:tcPr>
          <w:p w14:paraId="6125C82E"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r w:rsidRPr="002F5969">
              <w:rPr>
                <w:rFonts w:ascii="Cambria" w:hAnsi="Cambria"/>
                <w:b/>
                <w:bCs/>
                <w:sz w:val="24"/>
                <w:szCs w:val="24"/>
              </w:rPr>
              <w:t>Number of FTAs and their depths in (*)</w:t>
            </w:r>
          </w:p>
        </w:tc>
        <w:tc>
          <w:tcPr>
            <w:tcW w:w="1843" w:type="dxa"/>
            <w:shd w:val="clear" w:color="auto" w:fill="E7E6E6" w:themeFill="background2"/>
            <w:tcMar>
              <w:top w:w="100" w:type="dxa"/>
              <w:left w:w="100" w:type="dxa"/>
              <w:bottom w:w="100" w:type="dxa"/>
              <w:right w:w="100" w:type="dxa"/>
            </w:tcMar>
          </w:tcPr>
          <w:p w14:paraId="017D6BCD"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proofErr w:type="spellStart"/>
            <w:r w:rsidRPr="002F5969">
              <w:rPr>
                <w:rFonts w:ascii="Cambria" w:hAnsi="Cambria"/>
                <w:b/>
                <w:bCs/>
                <w:sz w:val="24"/>
                <w:szCs w:val="24"/>
              </w:rPr>
              <w:t>FTA_Count</w:t>
            </w:r>
            <w:proofErr w:type="spellEnd"/>
          </w:p>
          <w:p w14:paraId="439D37D7"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r w:rsidRPr="002F5969">
              <w:rPr>
                <w:rFonts w:ascii="Cambria" w:hAnsi="Cambria"/>
                <w:b/>
                <w:bCs/>
                <w:sz w:val="24"/>
                <w:szCs w:val="24"/>
              </w:rPr>
              <w:t>(cumulative FTA count)</w:t>
            </w:r>
          </w:p>
        </w:tc>
        <w:tc>
          <w:tcPr>
            <w:tcW w:w="1559" w:type="dxa"/>
            <w:shd w:val="clear" w:color="auto" w:fill="E7E6E6" w:themeFill="background2"/>
            <w:tcMar>
              <w:top w:w="100" w:type="dxa"/>
              <w:left w:w="100" w:type="dxa"/>
              <w:bottom w:w="100" w:type="dxa"/>
              <w:right w:w="100" w:type="dxa"/>
            </w:tcMar>
          </w:tcPr>
          <w:p w14:paraId="01741EEF"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proofErr w:type="spellStart"/>
            <w:r w:rsidRPr="002F5969">
              <w:rPr>
                <w:rFonts w:ascii="Cambria" w:hAnsi="Cambria"/>
                <w:b/>
                <w:bCs/>
                <w:sz w:val="24"/>
                <w:szCs w:val="24"/>
              </w:rPr>
              <w:t>FTA_depth_total_per_year</w:t>
            </w:r>
            <w:proofErr w:type="spellEnd"/>
          </w:p>
        </w:tc>
        <w:tc>
          <w:tcPr>
            <w:tcW w:w="1701" w:type="dxa"/>
            <w:shd w:val="clear" w:color="auto" w:fill="E7E6E6" w:themeFill="background2"/>
            <w:tcMar>
              <w:top w:w="100" w:type="dxa"/>
              <w:left w:w="100" w:type="dxa"/>
              <w:bottom w:w="100" w:type="dxa"/>
              <w:right w:w="100" w:type="dxa"/>
            </w:tcMar>
          </w:tcPr>
          <w:p w14:paraId="5ED35E03" w14:textId="77777777" w:rsidR="00920A90" w:rsidRPr="002F5969" w:rsidRDefault="00920A90" w:rsidP="00CF781B">
            <w:pPr>
              <w:widowControl w:val="0"/>
              <w:pBdr>
                <w:top w:val="nil"/>
                <w:left w:val="nil"/>
                <w:bottom w:val="nil"/>
                <w:right w:val="nil"/>
                <w:between w:val="nil"/>
              </w:pBdr>
              <w:rPr>
                <w:rFonts w:ascii="Cambria" w:hAnsi="Cambria"/>
                <w:b/>
                <w:bCs/>
                <w:sz w:val="24"/>
                <w:szCs w:val="24"/>
              </w:rPr>
            </w:pPr>
            <w:proofErr w:type="spellStart"/>
            <w:r w:rsidRPr="002F5969">
              <w:rPr>
                <w:rFonts w:ascii="Cambria" w:hAnsi="Cambria"/>
                <w:b/>
                <w:bCs/>
                <w:sz w:val="24"/>
                <w:szCs w:val="24"/>
              </w:rPr>
              <w:t>FTA_depth_weighted</w:t>
            </w:r>
            <w:proofErr w:type="spellEnd"/>
            <w:r w:rsidRPr="002F5969">
              <w:rPr>
                <w:rFonts w:ascii="Cambria" w:hAnsi="Cambria"/>
                <w:b/>
                <w:bCs/>
                <w:sz w:val="24"/>
                <w:szCs w:val="24"/>
              </w:rPr>
              <w:t xml:space="preserve"> (cumulative count)</w:t>
            </w:r>
          </w:p>
        </w:tc>
      </w:tr>
      <w:tr w:rsidR="0007294F" w:rsidRPr="0007294F" w14:paraId="3405C7E6" w14:textId="77777777" w:rsidTr="0014036C">
        <w:tc>
          <w:tcPr>
            <w:tcW w:w="1266" w:type="dxa"/>
            <w:shd w:val="clear" w:color="auto" w:fill="auto"/>
            <w:tcMar>
              <w:top w:w="100" w:type="dxa"/>
              <w:left w:w="100" w:type="dxa"/>
              <w:bottom w:w="100" w:type="dxa"/>
              <w:right w:w="100" w:type="dxa"/>
            </w:tcMar>
          </w:tcPr>
          <w:p w14:paraId="0AA511BB"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A</w:t>
            </w:r>
          </w:p>
        </w:tc>
        <w:tc>
          <w:tcPr>
            <w:tcW w:w="992" w:type="dxa"/>
            <w:shd w:val="clear" w:color="auto" w:fill="auto"/>
            <w:tcMar>
              <w:top w:w="100" w:type="dxa"/>
              <w:left w:w="100" w:type="dxa"/>
              <w:bottom w:w="100" w:type="dxa"/>
              <w:right w:w="100" w:type="dxa"/>
            </w:tcMar>
          </w:tcPr>
          <w:p w14:paraId="79A5E236"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1995</w:t>
            </w:r>
          </w:p>
        </w:tc>
        <w:tc>
          <w:tcPr>
            <w:tcW w:w="1843" w:type="dxa"/>
            <w:shd w:val="clear" w:color="auto" w:fill="auto"/>
            <w:tcMar>
              <w:top w:w="100" w:type="dxa"/>
              <w:left w:w="100" w:type="dxa"/>
              <w:bottom w:w="100" w:type="dxa"/>
              <w:right w:w="100" w:type="dxa"/>
            </w:tcMar>
          </w:tcPr>
          <w:p w14:paraId="6BE4230E" w14:textId="6A49EDA4"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3 (2,2,</w:t>
            </w:r>
            <w:r w:rsidR="0076626C" w:rsidRPr="002F5969">
              <w:rPr>
                <w:rFonts w:ascii="Cambria" w:hAnsi="Cambria"/>
                <w:sz w:val="24"/>
                <w:szCs w:val="24"/>
              </w:rPr>
              <w:t>1</w:t>
            </w:r>
            <w:r w:rsidRPr="002F5969">
              <w:rPr>
                <w:rFonts w:ascii="Cambria" w:hAnsi="Cambria"/>
                <w:sz w:val="24"/>
                <w:szCs w:val="24"/>
              </w:rPr>
              <w:t>)</w:t>
            </w:r>
          </w:p>
        </w:tc>
        <w:tc>
          <w:tcPr>
            <w:tcW w:w="1843" w:type="dxa"/>
            <w:shd w:val="clear" w:color="auto" w:fill="auto"/>
            <w:tcMar>
              <w:top w:w="100" w:type="dxa"/>
              <w:left w:w="100" w:type="dxa"/>
              <w:bottom w:w="100" w:type="dxa"/>
              <w:right w:w="100" w:type="dxa"/>
            </w:tcMar>
          </w:tcPr>
          <w:p w14:paraId="2A21D097"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3</w:t>
            </w:r>
          </w:p>
        </w:tc>
        <w:tc>
          <w:tcPr>
            <w:tcW w:w="1559" w:type="dxa"/>
            <w:shd w:val="clear" w:color="auto" w:fill="auto"/>
            <w:tcMar>
              <w:top w:w="100" w:type="dxa"/>
              <w:left w:w="100" w:type="dxa"/>
              <w:bottom w:w="100" w:type="dxa"/>
              <w:right w:w="100" w:type="dxa"/>
            </w:tcMar>
          </w:tcPr>
          <w:p w14:paraId="6E4BF81C"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5</w:t>
            </w:r>
          </w:p>
        </w:tc>
        <w:tc>
          <w:tcPr>
            <w:tcW w:w="1701" w:type="dxa"/>
            <w:shd w:val="clear" w:color="auto" w:fill="auto"/>
            <w:tcMar>
              <w:top w:w="100" w:type="dxa"/>
              <w:left w:w="100" w:type="dxa"/>
              <w:bottom w:w="100" w:type="dxa"/>
              <w:right w:w="100" w:type="dxa"/>
            </w:tcMar>
          </w:tcPr>
          <w:p w14:paraId="737A4068"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5</w:t>
            </w:r>
          </w:p>
        </w:tc>
      </w:tr>
      <w:tr w:rsidR="0007294F" w:rsidRPr="0007294F" w14:paraId="21082190" w14:textId="77777777" w:rsidTr="0014036C">
        <w:tc>
          <w:tcPr>
            <w:tcW w:w="1266" w:type="dxa"/>
            <w:shd w:val="clear" w:color="auto" w:fill="auto"/>
            <w:tcMar>
              <w:top w:w="100" w:type="dxa"/>
              <w:left w:w="100" w:type="dxa"/>
              <w:bottom w:w="100" w:type="dxa"/>
              <w:right w:w="100" w:type="dxa"/>
            </w:tcMar>
          </w:tcPr>
          <w:p w14:paraId="5CD28E9B"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A</w:t>
            </w:r>
          </w:p>
        </w:tc>
        <w:tc>
          <w:tcPr>
            <w:tcW w:w="992" w:type="dxa"/>
            <w:shd w:val="clear" w:color="auto" w:fill="auto"/>
            <w:tcMar>
              <w:top w:w="100" w:type="dxa"/>
              <w:left w:w="100" w:type="dxa"/>
              <w:bottom w:w="100" w:type="dxa"/>
              <w:right w:w="100" w:type="dxa"/>
            </w:tcMar>
          </w:tcPr>
          <w:p w14:paraId="14B5B82A"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1996</w:t>
            </w:r>
          </w:p>
        </w:tc>
        <w:tc>
          <w:tcPr>
            <w:tcW w:w="1843" w:type="dxa"/>
            <w:shd w:val="clear" w:color="auto" w:fill="auto"/>
            <w:tcMar>
              <w:top w:w="100" w:type="dxa"/>
              <w:left w:w="100" w:type="dxa"/>
              <w:bottom w:w="100" w:type="dxa"/>
              <w:right w:w="100" w:type="dxa"/>
            </w:tcMar>
          </w:tcPr>
          <w:p w14:paraId="1A66CD4C" w14:textId="1BCE6501"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2 (4,3)</w:t>
            </w:r>
          </w:p>
        </w:tc>
        <w:tc>
          <w:tcPr>
            <w:tcW w:w="1843" w:type="dxa"/>
            <w:shd w:val="clear" w:color="auto" w:fill="auto"/>
            <w:tcMar>
              <w:top w:w="100" w:type="dxa"/>
              <w:left w:w="100" w:type="dxa"/>
              <w:bottom w:w="100" w:type="dxa"/>
              <w:right w:w="100" w:type="dxa"/>
            </w:tcMar>
          </w:tcPr>
          <w:p w14:paraId="74DE8C43"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5</w:t>
            </w:r>
          </w:p>
        </w:tc>
        <w:tc>
          <w:tcPr>
            <w:tcW w:w="1559" w:type="dxa"/>
            <w:shd w:val="clear" w:color="auto" w:fill="auto"/>
            <w:tcMar>
              <w:top w:w="100" w:type="dxa"/>
              <w:left w:w="100" w:type="dxa"/>
              <w:bottom w:w="100" w:type="dxa"/>
              <w:right w:w="100" w:type="dxa"/>
            </w:tcMar>
          </w:tcPr>
          <w:p w14:paraId="18B7D443"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7</w:t>
            </w:r>
          </w:p>
        </w:tc>
        <w:tc>
          <w:tcPr>
            <w:tcW w:w="1701" w:type="dxa"/>
            <w:shd w:val="clear" w:color="auto" w:fill="auto"/>
            <w:tcMar>
              <w:top w:w="100" w:type="dxa"/>
              <w:left w:w="100" w:type="dxa"/>
              <w:bottom w:w="100" w:type="dxa"/>
              <w:right w:w="100" w:type="dxa"/>
            </w:tcMar>
          </w:tcPr>
          <w:p w14:paraId="5F56D3CC"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12</w:t>
            </w:r>
          </w:p>
        </w:tc>
      </w:tr>
      <w:tr w:rsidR="0007294F" w:rsidRPr="0007294F" w14:paraId="1EE37059" w14:textId="77777777" w:rsidTr="0014036C">
        <w:tc>
          <w:tcPr>
            <w:tcW w:w="1266" w:type="dxa"/>
            <w:shd w:val="clear" w:color="auto" w:fill="auto"/>
            <w:tcMar>
              <w:top w:w="100" w:type="dxa"/>
              <w:left w:w="100" w:type="dxa"/>
              <w:bottom w:w="100" w:type="dxa"/>
              <w:right w:w="100" w:type="dxa"/>
            </w:tcMar>
          </w:tcPr>
          <w:p w14:paraId="4FFC4CBB"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A</w:t>
            </w:r>
          </w:p>
        </w:tc>
        <w:tc>
          <w:tcPr>
            <w:tcW w:w="992" w:type="dxa"/>
            <w:shd w:val="clear" w:color="auto" w:fill="auto"/>
            <w:tcMar>
              <w:top w:w="100" w:type="dxa"/>
              <w:left w:w="100" w:type="dxa"/>
              <w:bottom w:w="100" w:type="dxa"/>
              <w:right w:w="100" w:type="dxa"/>
            </w:tcMar>
          </w:tcPr>
          <w:p w14:paraId="1D187D59"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1997</w:t>
            </w:r>
          </w:p>
        </w:tc>
        <w:tc>
          <w:tcPr>
            <w:tcW w:w="1843" w:type="dxa"/>
            <w:shd w:val="clear" w:color="auto" w:fill="auto"/>
            <w:tcMar>
              <w:top w:w="100" w:type="dxa"/>
              <w:left w:w="100" w:type="dxa"/>
              <w:bottom w:w="100" w:type="dxa"/>
              <w:right w:w="100" w:type="dxa"/>
            </w:tcMar>
          </w:tcPr>
          <w:p w14:paraId="4F8D89E3" w14:textId="312EAB35"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4 (3,2,5,1)</w:t>
            </w:r>
          </w:p>
        </w:tc>
        <w:tc>
          <w:tcPr>
            <w:tcW w:w="1843" w:type="dxa"/>
            <w:shd w:val="clear" w:color="auto" w:fill="auto"/>
            <w:tcMar>
              <w:top w:w="100" w:type="dxa"/>
              <w:left w:w="100" w:type="dxa"/>
              <w:bottom w:w="100" w:type="dxa"/>
              <w:right w:w="100" w:type="dxa"/>
            </w:tcMar>
          </w:tcPr>
          <w:p w14:paraId="03EF990B"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9</w:t>
            </w:r>
          </w:p>
        </w:tc>
        <w:tc>
          <w:tcPr>
            <w:tcW w:w="1559" w:type="dxa"/>
            <w:shd w:val="clear" w:color="auto" w:fill="auto"/>
            <w:tcMar>
              <w:top w:w="100" w:type="dxa"/>
              <w:left w:w="100" w:type="dxa"/>
              <w:bottom w:w="100" w:type="dxa"/>
              <w:right w:w="100" w:type="dxa"/>
            </w:tcMar>
          </w:tcPr>
          <w:p w14:paraId="19CEEABA"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11</w:t>
            </w:r>
          </w:p>
        </w:tc>
        <w:tc>
          <w:tcPr>
            <w:tcW w:w="1701" w:type="dxa"/>
            <w:shd w:val="clear" w:color="auto" w:fill="auto"/>
            <w:tcMar>
              <w:top w:w="100" w:type="dxa"/>
              <w:left w:w="100" w:type="dxa"/>
              <w:bottom w:w="100" w:type="dxa"/>
              <w:right w:w="100" w:type="dxa"/>
            </w:tcMar>
          </w:tcPr>
          <w:p w14:paraId="320FB019"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23</w:t>
            </w:r>
          </w:p>
        </w:tc>
      </w:tr>
      <w:tr w:rsidR="002F5969" w:rsidRPr="0007294F" w14:paraId="2FC5ADFD" w14:textId="77777777" w:rsidTr="0014036C">
        <w:tc>
          <w:tcPr>
            <w:tcW w:w="1266" w:type="dxa"/>
            <w:shd w:val="clear" w:color="auto" w:fill="auto"/>
            <w:tcMar>
              <w:top w:w="100" w:type="dxa"/>
              <w:left w:w="100" w:type="dxa"/>
              <w:bottom w:w="100" w:type="dxa"/>
              <w:right w:w="100" w:type="dxa"/>
            </w:tcMar>
          </w:tcPr>
          <w:p w14:paraId="1659C1D4"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A</w:t>
            </w:r>
          </w:p>
        </w:tc>
        <w:tc>
          <w:tcPr>
            <w:tcW w:w="992" w:type="dxa"/>
            <w:shd w:val="clear" w:color="auto" w:fill="auto"/>
            <w:tcMar>
              <w:top w:w="100" w:type="dxa"/>
              <w:left w:w="100" w:type="dxa"/>
              <w:bottom w:w="100" w:type="dxa"/>
              <w:right w:w="100" w:type="dxa"/>
            </w:tcMar>
          </w:tcPr>
          <w:p w14:paraId="0C6D9E09"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1998</w:t>
            </w:r>
          </w:p>
        </w:tc>
        <w:tc>
          <w:tcPr>
            <w:tcW w:w="1843" w:type="dxa"/>
            <w:shd w:val="clear" w:color="auto" w:fill="auto"/>
            <w:tcMar>
              <w:top w:w="100" w:type="dxa"/>
              <w:left w:w="100" w:type="dxa"/>
              <w:bottom w:w="100" w:type="dxa"/>
              <w:right w:w="100" w:type="dxa"/>
            </w:tcMar>
          </w:tcPr>
          <w:p w14:paraId="645485B3" w14:textId="2E7B2E34"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3 (2,3,4)</w:t>
            </w:r>
          </w:p>
        </w:tc>
        <w:tc>
          <w:tcPr>
            <w:tcW w:w="1843" w:type="dxa"/>
            <w:shd w:val="clear" w:color="auto" w:fill="auto"/>
            <w:tcMar>
              <w:top w:w="100" w:type="dxa"/>
              <w:left w:w="100" w:type="dxa"/>
              <w:bottom w:w="100" w:type="dxa"/>
              <w:right w:w="100" w:type="dxa"/>
            </w:tcMar>
          </w:tcPr>
          <w:p w14:paraId="199A1A57"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12</w:t>
            </w:r>
          </w:p>
        </w:tc>
        <w:tc>
          <w:tcPr>
            <w:tcW w:w="1559" w:type="dxa"/>
            <w:shd w:val="clear" w:color="auto" w:fill="auto"/>
            <w:tcMar>
              <w:top w:w="100" w:type="dxa"/>
              <w:left w:w="100" w:type="dxa"/>
              <w:bottom w:w="100" w:type="dxa"/>
              <w:right w:w="100" w:type="dxa"/>
            </w:tcMar>
          </w:tcPr>
          <w:p w14:paraId="47F14E2D"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9</w:t>
            </w:r>
          </w:p>
        </w:tc>
        <w:tc>
          <w:tcPr>
            <w:tcW w:w="1701" w:type="dxa"/>
            <w:shd w:val="clear" w:color="auto" w:fill="auto"/>
            <w:tcMar>
              <w:top w:w="100" w:type="dxa"/>
              <w:left w:w="100" w:type="dxa"/>
              <w:bottom w:w="100" w:type="dxa"/>
              <w:right w:w="100" w:type="dxa"/>
            </w:tcMar>
          </w:tcPr>
          <w:p w14:paraId="0F50F4A2" w14:textId="77777777" w:rsidR="00920A90" w:rsidRPr="002F5969" w:rsidRDefault="00920A90" w:rsidP="00CF781B">
            <w:pPr>
              <w:widowControl w:val="0"/>
              <w:pBdr>
                <w:top w:val="nil"/>
                <w:left w:val="nil"/>
                <w:bottom w:val="nil"/>
                <w:right w:val="nil"/>
                <w:between w:val="nil"/>
              </w:pBdr>
              <w:rPr>
                <w:rFonts w:ascii="Cambria" w:hAnsi="Cambria"/>
                <w:sz w:val="24"/>
                <w:szCs w:val="24"/>
              </w:rPr>
            </w:pPr>
            <w:r w:rsidRPr="002F5969">
              <w:rPr>
                <w:rFonts w:ascii="Cambria" w:hAnsi="Cambria"/>
                <w:sz w:val="24"/>
                <w:szCs w:val="24"/>
              </w:rPr>
              <w:t>32</w:t>
            </w:r>
          </w:p>
        </w:tc>
      </w:tr>
    </w:tbl>
    <w:p w14:paraId="1272D85C" w14:textId="624BB8A6" w:rsidR="00836859" w:rsidRPr="002F5969" w:rsidRDefault="00836859" w:rsidP="00CF781B">
      <w:pPr>
        <w:spacing w:before="120" w:after="120"/>
        <w:rPr>
          <w:rFonts w:ascii="Cambria" w:hAnsi="Cambria"/>
          <w:sz w:val="24"/>
          <w:szCs w:val="24"/>
        </w:rPr>
      </w:pPr>
      <w:r w:rsidRPr="002F5969">
        <w:rPr>
          <w:rFonts w:ascii="Cambria" w:hAnsi="Cambria"/>
          <w:sz w:val="24"/>
          <w:szCs w:val="24"/>
        </w:rPr>
        <w:t xml:space="preserve">We apply the above concept once to all FTAs, once to bilateral FTAs, once to </w:t>
      </w:r>
      <w:r w:rsidR="00FC7D74" w:rsidRPr="002F5969">
        <w:rPr>
          <w:rFonts w:ascii="Cambria" w:hAnsi="Cambria"/>
          <w:sz w:val="24"/>
          <w:szCs w:val="24"/>
        </w:rPr>
        <w:t xml:space="preserve">the FTAs of </w:t>
      </w:r>
      <w:r w:rsidRPr="002F5969">
        <w:rPr>
          <w:rFonts w:ascii="Cambria" w:hAnsi="Cambria"/>
          <w:sz w:val="24"/>
          <w:szCs w:val="24"/>
        </w:rPr>
        <w:t>medium size</w:t>
      </w:r>
      <w:r w:rsidR="00B24924">
        <w:rPr>
          <w:rFonts w:ascii="Cambria" w:hAnsi="Cambria"/>
          <w:sz w:val="24"/>
          <w:szCs w:val="24"/>
        </w:rPr>
        <w:t>,</w:t>
      </w:r>
      <w:r w:rsidRPr="002F5969">
        <w:rPr>
          <w:rFonts w:ascii="Cambria" w:hAnsi="Cambria"/>
          <w:sz w:val="24"/>
          <w:szCs w:val="24"/>
        </w:rPr>
        <w:t xml:space="preserve"> and once to </w:t>
      </w:r>
      <w:r w:rsidR="00FC7D74" w:rsidRPr="002F5969">
        <w:rPr>
          <w:rFonts w:ascii="Cambria" w:hAnsi="Cambria"/>
          <w:sz w:val="24"/>
          <w:szCs w:val="24"/>
        </w:rPr>
        <w:t xml:space="preserve">FTAs of below </w:t>
      </w:r>
      <w:r w:rsidRPr="002F5969">
        <w:rPr>
          <w:rFonts w:ascii="Cambria" w:hAnsi="Cambria"/>
          <w:sz w:val="24"/>
          <w:szCs w:val="24"/>
        </w:rPr>
        <w:t>medium size.</w:t>
      </w:r>
      <w:r w:rsidR="00D83BB6">
        <w:rPr>
          <w:rFonts w:ascii="Cambria" w:hAnsi="Cambria"/>
          <w:sz w:val="24"/>
          <w:szCs w:val="24"/>
        </w:rPr>
        <w:t xml:space="preserve"> </w:t>
      </w:r>
      <w:r w:rsidR="00FC7D74" w:rsidRPr="002F5969">
        <w:rPr>
          <w:rFonts w:ascii="Cambria" w:hAnsi="Cambria"/>
          <w:sz w:val="24"/>
          <w:szCs w:val="24"/>
        </w:rPr>
        <w:t xml:space="preserve">The </w:t>
      </w:r>
      <w:r w:rsidRPr="002F5969">
        <w:rPr>
          <w:rFonts w:ascii="Cambria" w:hAnsi="Cambria"/>
          <w:sz w:val="24"/>
          <w:szCs w:val="24"/>
        </w:rPr>
        <w:t>Medium</w:t>
      </w:r>
      <w:r w:rsidR="002F5969" w:rsidRPr="002F5969">
        <w:rPr>
          <w:rFonts w:ascii="Cambria" w:hAnsi="Cambria"/>
          <w:sz w:val="24"/>
          <w:szCs w:val="24"/>
        </w:rPr>
        <w:t xml:space="preserve"> </w:t>
      </w:r>
      <w:r w:rsidR="00FC7D74" w:rsidRPr="002F5969">
        <w:rPr>
          <w:rFonts w:ascii="Cambria" w:hAnsi="Cambria"/>
          <w:sz w:val="24"/>
          <w:szCs w:val="24"/>
        </w:rPr>
        <w:t>of FTA size</w:t>
      </w:r>
      <w:r w:rsidRPr="002F5969">
        <w:rPr>
          <w:rFonts w:ascii="Cambria" w:hAnsi="Cambria"/>
          <w:sz w:val="24"/>
          <w:szCs w:val="24"/>
        </w:rPr>
        <w:t xml:space="preserve"> </w:t>
      </w:r>
      <w:r w:rsidR="00B24924">
        <w:rPr>
          <w:rFonts w:ascii="Cambria" w:hAnsi="Cambria"/>
          <w:sz w:val="24"/>
          <w:szCs w:val="24"/>
        </w:rPr>
        <w:t xml:space="preserve">is </w:t>
      </w:r>
      <w:r w:rsidRPr="002F5969">
        <w:rPr>
          <w:rFonts w:ascii="Cambria" w:hAnsi="Cambria"/>
          <w:sz w:val="24"/>
          <w:szCs w:val="24"/>
        </w:rPr>
        <w:t>to be calculated based on the number of countries in each FTA.</w:t>
      </w:r>
    </w:p>
    <w:p w14:paraId="612E3165" w14:textId="55A96FDA" w:rsidR="00920A90" w:rsidRPr="002F5969" w:rsidRDefault="00920A90" w:rsidP="00CF781B">
      <w:pPr>
        <w:spacing w:before="120" w:after="120"/>
        <w:ind w:right="96"/>
        <w:jc w:val="both"/>
        <w:rPr>
          <w:rFonts w:ascii="Cambria" w:hAnsi="Cambria"/>
          <w:sz w:val="24"/>
          <w:szCs w:val="24"/>
        </w:rPr>
      </w:pPr>
      <w:r w:rsidRPr="002F5969">
        <w:rPr>
          <w:rFonts w:ascii="Cambria" w:hAnsi="Cambria"/>
          <w:sz w:val="24"/>
          <w:szCs w:val="24"/>
        </w:rPr>
        <w:lastRenderedPageBreak/>
        <w:t xml:space="preserve">The control variables </w:t>
      </w:r>
      <w:r w:rsidR="00A117D0">
        <w:rPr>
          <w:rFonts w:ascii="Cambria" w:hAnsi="Cambria"/>
          <w:sz w:val="24"/>
          <w:szCs w:val="24"/>
        </w:rPr>
        <w:t>that can be taken are</w:t>
      </w:r>
      <w:r w:rsidRPr="002F5969">
        <w:rPr>
          <w:rFonts w:ascii="Cambria" w:hAnsi="Cambria"/>
          <w:sz w:val="24"/>
          <w:szCs w:val="24"/>
        </w:rPr>
        <w:t>:</w:t>
      </w:r>
    </w:p>
    <w:p w14:paraId="22571764" w14:textId="5B8FC3E9" w:rsidR="00D424A9" w:rsidRPr="00F34C5B" w:rsidRDefault="00920A90" w:rsidP="001C5D67">
      <w:pPr>
        <w:pBdr>
          <w:top w:val="nil"/>
          <w:left w:val="nil"/>
          <w:bottom w:val="nil"/>
          <w:right w:val="nil"/>
          <w:between w:val="nil"/>
        </w:pBdr>
        <w:spacing w:before="120" w:after="120"/>
        <w:ind w:left="426" w:right="96"/>
        <w:jc w:val="both"/>
        <w:rPr>
          <w:rFonts w:ascii="Cambria" w:hAnsi="Cambria"/>
          <w:sz w:val="24"/>
          <w:szCs w:val="24"/>
        </w:rPr>
      </w:pPr>
      <w:r w:rsidRPr="00F34C5B">
        <w:rPr>
          <w:rFonts w:ascii="Cambria" w:hAnsi="Cambria"/>
          <w:b/>
          <w:sz w:val="24"/>
          <w:szCs w:val="24"/>
        </w:rPr>
        <w:t>GDP of a country</w:t>
      </w:r>
      <w:r w:rsidRPr="00F34C5B">
        <w:rPr>
          <w:rFonts w:ascii="Cambria" w:hAnsi="Cambria"/>
          <w:sz w:val="24"/>
          <w:szCs w:val="24"/>
        </w:rPr>
        <w:t>:</w:t>
      </w:r>
      <w:r w:rsidR="0076626C" w:rsidRPr="00F34C5B">
        <w:rPr>
          <w:rFonts w:ascii="Cambria" w:hAnsi="Cambria"/>
          <w:sz w:val="24"/>
          <w:szCs w:val="24"/>
        </w:rPr>
        <w:t xml:space="preserve"> </w:t>
      </w:r>
      <w:r w:rsidRPr="00F34C5B">
        <w:rPr>
          <w:rFonts w:ascii="Cambria" w:hAnsi="Cambria"/>
          <w:sz w:val="24"/>
          <w:szCs w:val="24"/>
        </w:rPr>
        <w:t>A higher GDP often leads to greater trade diversity as countries with stronger economies have more resources to eng</w:t>
      </w:r>
      <w:r w:rsidR="001C5D67">
        <w:rPr>
          <w:rFonts w:ascii="Cambria" w:hAnsi="Cambria"/>
          <w:sz w:val="24"/>
          <w:szCs w:val="24"/>
        </w:rPr>
        <w:t>age in diverse trade activities</w:t>
      </w:r>
      <w:r w:rsidR="00640FBD">
        <w:rPr>
          <w:rFonts w:ascii="Cambria" w:hAnsi="Cambria"/>
          <w:sz w:val="24"/>
          <w:szCs w:val="24"/>
        </w:rPr>
        <w:t xml:space="preserve"> </w:t>
      </w:r>
      <w:r w:rsidR="00640FBD">
        <w:rPr>
          <w:rFonts w:ascii="Cambria" w:hAnsi="Cambria"/>
          <w:sz w:val="24"/>
          <w:szCs w:val="24"/>
        </w:rPr>
        <w:fldChar w:fldCharType="begin"/>
      </w:r>
      <w:r w:rsidR="00640FBD">
        <w:rPr>
          <w:rFonts w:ascii="Cambria" w:hAnsi="Cambria"/>
          <w:sz w:val="24"/>
          <w:szCs w:val="24"/>
        </w:rPr>
        <w:instrText xml:space="preserve"> ADDIN ZOTERO_ITEM CSL_CITATION {"citationID":"G2QxZQHp","properties":{"formattedCitation":"(Helpman, Melitz and Rubinstein, 2008)","plainCitation":"(Helpman, Melitz and Rubinstein, 2008)","noteIndex":0},"citationItems":[{"id":1495,"uris":["http://zotero.org/users/12902950/items/DT5KKFLA"],"itemData":{"id":1495,"type":"article-journal","container-title":"Quarterly Journal of Economics","DOI":"10.1162/qjec.2008.123.2.441","ISSN":"0033-5533, 1531-4650","issue":"2","journalAbbreviation":"Quarterly Journal of Economics","language":"en","page":"441-487","source":"DOI.org (Crossref)","title":"Estimating Trade Flows: Trading Partners and Trading Volumes &lt;sup&gt;*&lt;/sup&gt;","title-short":"Estimating Trade Flows","volume":"123","author":[{"family":"Helpman","given":"Elhanan"},{"family":"Melitz","given":"Marc"},{"family":"Rubinstein","given":"Yona"}],"issued":{"date-parts":[["2008",5]]}}}],"schema":"https://github.com/citation-style-language/schema/raw/master/csl-citation.json"} </w:instrText>
      </w:r>
      <w:r w:rsidR="00640FBD">
        <w:rPr>
          <w:rFonts w:ascii="Cambria" w:hAnsi="Cambria"/>
          <w:sz w:val="24"/>
          <w:szCs w:val="24"/>
        </w:rPr>
        <w:fldChar w:fldCharType="separate"/>
      </w:r>
      <w:r w:rsidR="00640FBD" w:rsidRPr="00640FBD">
        <w:rPr>
          <w:rFonts w:ascii="Cambria" w:hAnsi="Cambria"/>
          <w:sz w:val="24"/>
        </w:rPr>
        <w:t>(Helpman, Melitz and Rubinstein, 2008)</w:t>
      </w:r>
      <w:r w:rsidR="00640FBD">
        <w:rPr>
          <w:rFonts w:ascii="Cambria" w:hAnsi="Cambria"/>
          <w:sz w:val="24"/>
          <w:szCs w:val="24"/>
        </w:rPr>
        <w:fldChar w:fldCharType="end"/>
      </w:r>
      <w:r w:rsidR="00D83BB6">
        <w:rPr>
          <w:rFonts w:ascii="Cambria" w:hAnsi="Cambria"/>
          <w:sz w:val="24"/>
          <w:szCs w:val="24"/>
        </w:rPr>
        <w:t xml:space="preserve"> </w:t>
      </w:r>
    </w:p>
    <w:p w14:paraId="2CF2B468" w14:textId="3F8E07CE" w:rsidR="00AD6436" w:rsidRPr="00F34C5B" w:rsidRDefault="00920A90" w:rsidP="001C5D67">
      <w:pPr>
        <w:pBdr>
          <w:top w:val="nil"/>
          <w:left w:val="nil"/>
          <w:bottom w:val="nil"/>
          <w:right w:val="nil"/>
          <w:between w:val="nil"/>
        </w:pBdr>
        <w:spacing w:before="120" w:after="120"/>
        <w:ind w:left="426" w:right="96"/>
        <w:jc w:val="both"/>
        <w:rPr>
          <w:rFonts w:ascii="Cambria" w:hAnsi="Cambria"/>
          <w:sz w:val="24"/>
          <w:szCs w:val="24"/>
        </w:rPr>
      </w:pPr>
      <w:r w:rsidRPr="00F34C5B">
        <w:rPr>
          <w:rFonts w:ascii="Cambria" w:hAnsi="Cambria"/>
          <w:b/>
          <w:sz w:val="24"/>
          <w:szCs w:val="24"/>
        </w:rPr>
        <w:t>Income Inequality</w:t>
      </w:r>
      <w:r w:rsidRPr="00F34C5B">
        <w:rPr>
          <w:rFonts w:ascii="Cambria" w:hAnsi="Cambria"/>
          <w:sz w:val="24"/>
          <w:szCs w:val="24"/>
        </w:rPr>
        <w:t>: Income inequality as given by the Gini index, within a country can impact trade diversity, as more equitable distribution of income may result in a broader range of goods and services being produced and consumed.</w:t>
      </w:r>
      <w:r w:rsidR="000B6764" w:rsidRPr="00F34C5B">
        <w:rPr>
          <w:rFonts w:ascii="Cambria" w:hAnsi="Cambria"/>
          <w:sz w:val="24"/>
          <w:szCs w:val="24"/>
        </w:rPr>
        <w:t xml:space="preserve"> In countries with high income inequality, a large segment of the population often has limited purchasing power, restricting them primarily to purchasing necessities. This leads to a smaller and less diverse domestic market for goods and services. On the other hand, countries with more evenly distributed income generally have a larger middle class. This results in a broader and more varied domestic market, encouraging the growth of diverse industries enhancing trade opportunities</w:t>
      </w:r>
      <w:r w:rsidR="00B24924">
        <w:rPr>
          <w:rFonts w:ascii="Cambria" w:hAnsi="Cambria"/>
          <w:sz w:val="24"/>
          <w:szCs w:val="24"/>
        </w:rPr>
        <w:t>,</w:t>
      </w:r>
      <w:r w:rsidR="000B6764" w:rsidRPr="00F34C5B">
        <w:rPr>
          <w:rFonts w:ascii="Cambria" w:hAnsi="Cambria"/>
          <w:sz w:val="24"/>
          <w:szCs w:val="24"/>
        </w:rPr>
        <w:t xml:space="preserve"> and lead</w:t>
      </w:r>
      <w:r w:rsidR="00B24924">
        <w:rPr>
          <w:rFonts w:ascii="Cambria" w:hAnsi="Cambria"/>
          <w:sz w:val="24"/>
          <w:szCs w:val="24"/>
        </w:rPr>
        <w:t>ing</w:t>
      </w:r>
      <w:r w:rsidR="000B6764" w:rsidRPr="00F34C5B">
        <w:rPr>
          <w:rFonts w:ascii="Cambria" w:hAnsi="Cambria"/>
          <w:sz w:val="24"/>
          <w:szCs w:val="24"/>
        </w:rPr>
        <w:t xml:space="preserve"> to higher trade diversification</w:t>
      </w:r>
      <w:r w:rsidR="00640FBD">
        <w:rPr>
          <w:rFonts w:ascii="Cambria" w:hAnsi="Cambria"/>
          <w:sz w:val="24"/>
          <w:szCs w:val="24"/>
        </w:rPr>
        <w:t xml:space="preserve"> </w:t>
      </w:r>
      <w:r w:rsidR="00640FBD">
        <w:rPr>
          <w:rFonts w:ascii="Cambria" w:hAnsi="Cambria"/>
          <w:sz w:val="24"/>
          <w:szCs w:val="24"/>
        </w:rPr>
        <w:fldChar w:fldCharType="begin"/>
      </w:r>
      <w:r w:rsidR="00640FBD">
        <w:rPr>
          <w:rFonts w:ascii="Cambria" w:hAnsi="Cambria"/>
          <w:sz w:val="24"/>
          <w:szCs w:val="24"/>
        </w:rPr>
        <w:instrText xml:space="preserve"> ADDIN ZOTERO_ITEM CSL_CITATION {"citationID":"3ZVg3uMR","properties":{"formattedCitation":"(Mart\\uc0\\u237{}nez-Zarzoso and Vollmer, 2016)","plainCitation":"(Martínez-Zarzoso and Vollmer, 2016)","noteIndex":0},"citationItems":[{"id":1497,"uris":["http://zotero.org/users/12902950/items/87Z6QL2T"],"itemData":{"id":1497,"type":"article-journal","container-title":"PLOS ONE","DOI":"10.1371/journal.pone.0128191","ISSN":"1932-6203","issue":"5","journalAbbreviation":"PLoS ONE","language":"en","page":"e0128191","source":"DOI.org (Crossref)","title":"Bilateral Trade Flows and Income Distribution Similarity","volume":"11","author":[{"family":"Martínez-Zarzoso","given":"Inmaculada"},{"family":"Vollmer","given":"Sebastian"}],"editor":[{"family":"Muneepeerakul","given":"Rachata"}],"issued":{"date-parts":[["2016",5,3]]}}}],"schema":"https://github.com/citation-style-language/schema/raw/master/csl-citation.json"} </w:instrText>
      </w:r>
      <w:r w:rsidR="00640FBD">
        <w:rPr>
          <w:rFonts w:ascii="Cambria" w:hAnsi="Cambria"/>
          <w:sz w:val="24"/>
          <w:szCs w:val="24"/>
        </w:rPr>
        <w:fldChar w:fldCharType="separate"/>
      </w:r>
      <w:r w:rsidR="00640FBD" w:rsidRPr="00640FBD">
        <w:rPr>
          <w:rFonts w:ascii="Cambria" w:hAnsi="Cambria" w:cs="Times New Roman"/>
          <w:sz w:val="24"/>
          <w:szCs w:val="24"/>
        </w:rPr>
        <w:t>(Martínez-Zarzoso and Vollmer, 2016)</w:t>
      </w:r>
      <w:r w:rsidR="00640FBD">
        <w:rPr>
          <w:rFonts w:ascii="Cambria" w:hAnsi="Cambria"/>
          <w:sz w:val="24"/>
          <w:szCs w:val="24"/>
        </w:rPr>
        <w:fldChar w:fldCharType="end"/>
      </w:r>
    </w:p>
    <w:p w14:paraId="0C941588" w14:textId="439B0C25" w:rsidR="00BE72AE" w:rsidRPr="00F34C5B" w:rsidRDefault="00920A90" w:rsidP="001C5D67">
      <w:pPr>
        <w:pBdr>
          <w:top w:val="nil"/>
          <w:left w:val="nil"/>
          <w:bottom w:val="nil"/>
          <w:right w:val="nil"/>
          <w:between w:val="nil"/>
        </w:pBdr>
        <w:spacing w:before="120" w:after="120"/>
        <w:ind w:left="426" w:right="96"/>
        <w:jc w:val="both"/>
        <w:rPr>
          <w:rFonts w:ascii="Cambria" w:hAnsi="Cambria"/>
          <w:sz w:val="24"/>
          <w:szCs w:val="24"/>
        </w:rPr>
      </w:pPr>
      <w:r w:rsidRPr="00F34C5B">
        <w:rPr>
          <w:rFonts w:ascii="Cambria" w:hAnsi="Cambria"/>
          <w:b/>
          <w:sz w:val="24"/>
          <w:szCs w:val="24"/>
        </w:rPr>
        <w:t>World Bank's Logistics Performance Index (LPI)</w:t>
      </w:r>
      <w:r w:rsidRPr="00F34C5B">
        <w:rPr>
          <w:rFonts w:ascii="Cambria" w:hAnsi="Cambria"/>
          <w:sz w:val="24"/>
          <w:szCs w:val="24"/>
        </w:rPr>
        <w:t>: The LPI assesses the efficiency of customs and border clearance, quality of trade and transport-related infrastructure (including roads, ports, and rail), ease of arranging shipments, quality of logistics services, and ability to track and trace shipments. It provides a comprehensive view of a country's logistics and infrastructure quality.</w:t>
      </w:r>
      <w:r w:rsidR="000B6764" w:rsidRPr="00F34C5B">
        <w:rPr>
          <w:rFonts w:ascii="Cambria" w:hAnsi="Cambria"/>
          <w:sz w:val="24"/>
          <w:szCs w:val="24"/>
        </w:rPr>
        <w:t xml:space="preserve"> A higher Logistics Performance Index (LPI) score in the areas of customs and border clearance efficiency and quality of trade and transport infrastructure significantly contributes to trade diversification. Enhanced efficiency in customs and border clearance speeds up the import and export processes, reducing trade-related delays and costs. This improvement makes international transactions more feasible for businesses, encouraging them to venture into new markets and diversify their trade activities. Meanwhile, well-developed trade and transport infrastructure, including efficient roads, ports, and rail systems, facilitate smoother and more cost-effective transportation of a diverse range of goods. This robust infrastructure supports the trade of various product types, especially those requiring special handling or time-sensitive delivery, thereby fosterin</w:t>
      </w:r>
      <w:r w:rsidR="001C5D67">
        <w:rPr>
          <w:rFonts w:ascii="Cambria" w:hAnsi="Cambria"/>
          <w:sz w:val="24"/>
          <w:szCs w:val="24"/>
        </w:rPr>
        <w:t xml:space="preserve">g greater trade diversification </w:t>
      </w:r>
      <w:r w:rsidR="00640FBD">
        <w:rPr>
          <w:rFonts w:ascii="Cambria" w:hAnsi="Cambria"/>
          <w:sz w:val="24"/>
          <w:szCs w:val="24"/>
        </w:rPr>
        <w:fldChar w:fldCharType="begin"/>
      </w:r>
      <w:r w:rsidR="00640FBD">
        <w:rPr>
          <w:rFonts w:ascii="Cambria" w:hAnsi="Cambria"/>
          <w:sz w:val="24"/>
          <w:szCs w:val="24"/>
        </w:rPr>
        <w:instrText xml:space="preserve"> ADDIN ZOTERO_ITEM CSL_CITATION {"citationID":"1QLD0NPi","properties":{"formattedCitation":"(Anderson and Van Wincoop, 2004)","plainCitation":"(Anderson and Van Wincoop, 2004)","noteIndex":0},"citationItems":[{"id":1499,"uris":["http://zotero.org/users/12902950/items/U7FNR73J"],"itemData":{"id":1499,"type":"article-journal","abstract":"This paper surveys the measurement of trade costs: what we know and don't know but may usefully attempt to learn. Partial and incomplete data on direct measures of costs go with inference on implicit costs from trade flows and prices. Total trade costs in rich countries are large. The ad valorem tax equivalent is about 170 percent when pushing the data hard. Poor countries face even higher trade costs. There is a lot of variation across countries and across goods within countries, much of which makes economic sense. In our survey, theory provides interpretation and perspective and suggests improvements for the future. Some new results are presented to properly apply and interpret gravity theory and handle aggregation.","container-title":"Journal of Economic Literature","DOI":"10.1257/0022051042177649","ISSN":"0022-0515","issue":"3","journalAbbreviation":"Journal of Economic Literature","language":"en","page":"691-751","source":"DOI.org (Crossref)","title":"Trade Costs","volume":"42","author":[{"family":"Anderson","given":"James E"},{"family":"Van Wincoop","given":"Eric"}],"issued":{"date-parts":[["2004",8,1]]}}}],"schema":"https://github.com/citation-style-language/schema/raw/master/csl-citation.json"} </w:instrText>
      </w:r>
      <w:r w:rsidR="00640FBD">
        <w:rPr>
          <w:rFonts w:ascii="Cambria" w:hAnsi="Cambria"/>
          <w:sz w:val="24"/>
          <w:szCs w:val="24"/>
        </w:rPr>
        <w:fldChar w:fldCharType="separate"/>
      </w:r>
      <w:r w:rsidR="00640FBD" w:rsidRPr="00640FBD">
        <w:rPr>
          <w:rFonts w:ascii="Cambria" w:hAnsi="Cambria"/>
          <w:sz w:val="24"/>
        </w:rPr>
        <w:t>(Anderson and Van Wincoop, 2004)</w:t>
      </w:r>
      <w:r w:rsidR="00640FBD">
        <w:rPr>
          <w:rFonts w:ascii="Cambria" w:hAnsi="Cambria"/>
          <w:sz w:val="24"/>
          <w:szCs w:val="24"/>
        </w:rPr>
        <w:fldChar w:fldCharType="end"/>
      </w:r>
    </w:p>
    <w:p w14:paraId="6C146D8B" w14:textId="7C0E5D57" w:rsidR="00286C6B" w:rsidRPr="00F34C5B" w:rsidRDefault="00920A90" w:rsidP="001C5D67">
      <w:pPr>
        <w:pBdr>
          <w:top w:val="nil"/>
          <w:left w:val="nil"/>
          <w:bottom w:val="nil"/>
          <w:right w:val="nil"/>
          <w:between w:val="nil"/>
        </w:pBdr>
        <w:spacing w:before="120" w:after="120"/>
        <w:ind w:left="426" w:right="96"/>
        <w:jc w:val="both"/>
        <w:rPr>
          <w:rFonts w:ascii="Cambria" w:hAnsi="Cambria"/>
          <w:sz w:val="24"/>
          <w:szCs w:val="24"/>
        </w:rPr>
      </w:pPr>
      <w:r w:rsidRPr="00F34C5B">
        <w:rPr>
          <w:rFonts w:ascii="Cambria" w:hAnsi="Cambria"/>
          <w:b/>
          <w:sz w:val="24"/>
          <w:szCs w:val="24"/>
        </w:rPr>
        <w:t>Political Stability Index</w:t>
      </w:r>
      <w:r w:rsidRPr="00F34C5B">
        <w:rPr>
          <w:rFonts w:ascii="Cambria" w:hAnsi="Cambria"/>
          <w:sz w:val="24"/>
          <w:szCs w:val="24"/>
        </w:rPr>
        <w:t>: The World Bank's Worldwide Governance Indicators (WGI) include a Political Stability and Absence of Violence/Terrorism index. It assesses perceptions of the likelihood of political instability or violence within a country</w:t>
      </w:r>
      <w:r w:rsidR="00640FBD">
        <w:rPr>
          <w:rFonts w:ascii="Cambria" w:hAnsi="Cambria"/>
          <w:sz w:val="24"/>
          <w:szCs w:val="24"/>
        </w:rPr>
        <w:t xml:space="preserve"> </w:t>
      </w:r>
      <w:r w:rsidR="00640FBD">
        <w:rPr>
          <w:rFonts w:ascii="Cambria" w:hAnsi="Cambria"/>
          <w:sz w:val="24"/>
          <w:szCs w:val="24"/>
        </w:rPr>
        <w:fldChar w:fldCharType="begin"/>
      </w:r>
      <w:r w:rsidR="00640FBD">
        <w:rPr>
          <w:rFonts w:ascii="Cambria" w:hAnsi="Cambria"/>
          <w:sz w:val="24"/>
          <w:szCs w:val="24"/>
        </w:rPr>
        <w:instrText xml:space="preserve"> ADDIN ZOTERO_ITEM CSL_CITATION {"citationID":"FqmhNnee","properties":{"formattedCitation":"(Engemann, Jafari and Heckelei, 2023)","plainCitation":"(Engemann, Jafari and Heckelei, 2023)","noteIndex":0},"citationItems":[{"id":1500,"uris":["http://zotero.org/users/12902950/items/2SSD6J3M"],"itemData":{"id":1500,"type":"article-journal","abstract":"Abstract\n            Recent trade disruptions and their consequences on supply chains show the importance of stable trade relations for exporters' economic planning and importers' supply security. Both instability in trading partners' economic and institutional environment and differences between them are likely to exacerbate these disruptions. We investigate the role of exporters' institutional quality (IQ) and its similarity with importers' IQ in the stability of trade links. We focus on the trade links of agri‐food products exported from sub‐Saharan African (SSA) countries to the European Union (EU‐28) and consider three dimensions of IQ: ‘government selection, monitoring, and replacement’; ‘efficiency of policy formulation and implementation’; and ‘respect of citizens and state for institutions’. Using a discrete‐time duration model, we show that the duration of SSA exports to the EU‐28 increases with higher exporters' IQ and similarity of trading partners' IQ. The strongest impact of exporters' IQ is associated with ‘government selection, monitoring, and replacement’. In terms of the similarity of trading partners, ‘respect of citizens and state for institutions’ has the largest impact on trade durations. Our findings suggest that the improvement of countries' IQ may boost the stability of trade relationships. Moreover, the similarity of IQs between trading partners supports the stability of trade links and should be carefully considered when establishing new trade relations.","container-title":"Journal of Agricultural Economics","DOI":"10.1111/1477-9552.12491","ISSN":"0021-857X, 1477-9552","issue":"1","journalAbbreviation":"J Agricultural Economics","language":"en","page":"135-154","source":"DOI.org (Crossref)","title":"Institutional quality and the duration of agri‐food trade flows","volume":"74","author":[{"family":"Engemann","given":"Helena"},{"family":"Jafari","given":"Yaghoob"},{"family":"Heckelei","given":"Thomas"}],"issued":{"date-parts":[["2023",2]]}}}],"schema":"https://github.com/citation-style-language/schema/raw/master/csl-citation.json"} </w:instrText>
      </w:r>
      <w:r w:rsidR="00640FBD">
        <w:rPr>
          <w:rFonts w:ascii="Cambria" w:hAnsi="Cambria"/>
          <w:sz w:val="24"/>
          <w:szCs w:val="24"/>
        </w:rPr>
        <w:fldChar w:fldCharType="separate"/>
      </w:r>
      <w:r w:rsidR="00640FBD" w:rsidRPr="00640FBD">
        <w:rPr>
          <w:rFonts w:ascii="Cambria" w:hAnsi="Cambria"/>
          <w:sz w:val="24"/>
        </w:rPr>
        <w:t>(Engemann, Jafari and Heckelei, 2023)</w:t>
      </w:r>
      <w:r w:rsidR="00640FBD">
        <w:rPr>
          <w:rFonts w:ascii="Cambria" w:hAnsi="Cambria"/>
          <w:sz w:val="24"/>
          <w:szCs w:val="24"/>
        </w:rPr>
        <w:fldChar w:fldCharType="end"/>
      </w:r>
      <w:r w:rsidR="001C5D67">
        <w:rPr>
          <w:rFonts w:ascii="Cambria" w:hAnsi="Cambria"/>
          <w:sz w:val="24"/>
          <w:szCs w:val="24"/>
        </w:rPr>
        <w:t>.</w:t>
      </w:r>
    </w:p>
    <w:p w14:paraId="006C7D9F" w14:textId="59A4DFC0" w:rsidR="00A36452" w:rsidRPr="00F34C5B" w:rsidRDefault="00920A90" w:rsidP="001C5D67">
      <w:pPr>
        <w:pBdr>
          <w:top w:val="nil"/>
          <w:left w:val="nil"/>
          <w:bottom w:val="nil"/>
          <w:right w:val="nil"/>
          <w:between w:val="nil"/>
        </w:pBdr>
        <w:spacing w:before="120" w:after="120"/>
        <w:ind w:left="426" w:right="96"/>
        <w:jc w:val="both"/>
        <w:rPr>
          <w:rFonts w:ascii="Cambria" w:hAnsi="Cambria"/>
          <w:sz w:val="24"/>
          <w:szCs w:val="24"/>
        </w:rPr>
      </w:pPr>
      <w:r w:rsidRPr="00F34C5B">
        <w:rPr>
          <w:rFonts w:ascii="Cambria" w:hAnsi="Cambria"/>
          <w:b/>
          <w:sz w:val="24"/>
          <w:szCs w:val="24"/>
        </w:rPr>
        <w:t>Population Size</w:t>
      </w:r>
      <w:r w:rsidRPr="00F34C5B">
        <w:rPr>
          <w:rFonts w:ascii="Cambria" w:hAnsi="Cambria"/>
          <w:sz w:val="24"/>
          <w:szCs w:val="24"/>
        </w:rPr>
        <w:t>: The size and demographic composition of a country's population can influence the types of goods and services demanded, affecting trade diversity.</w:t>
      </w:r>
      <w:r w:rsidR="00625E5C" w:rsidRPr="00F34C5B">
        <w:rPr>
          <w:rFonts w:ascii="Cambria" w:hAnsi="Cambria"/>
          <w:sz w:val="24"/>
          <w:szCs w:val="24"/>
        </w:rPr>
        <w:t xml:space="preserve"> </w:t>
      </w:r>
      <w:r w:rsidR="000B6764" w:rsidRPr="00F34C5B">
        <w:rPr>
          <w:rFonts w:ascii="Cambria" w:hAnsi="Cambria"/>
          <w:sz w:val="24"/>
          <w:szCs w:val="24"/>
        </w:rPr>
        <w:t xml:space="preserve">Larger countries often exhibit greater trade diversification, primarily due to their expansive internal markets that accommodate a wide array of consumer preferences. This larger market size leads to a higher degree of product differentiation, catering to diverse tastes and demands. Consequently, larger nations </w:t>
      </w:r>
      <w:r w:rsidR="000B6764" w:rsidRPr="00F34C5B">
        <w:rPr>
          <w:rFonts w:ascii="Cambria" w:hAnsi="Cambria"/>
          <w:sz w:val="24"/>
          <w:szCs w:val="24"/>
        </w:rPr>
        <w:lastRenderedPageBreak/>
        <w:t xml:space="preserve">typically experience increased demand for diversified goods, reflecting the varied preferences of a larger population. This scenario underscores the correlation between a country's population size and the breadth of its trade activities, where larger populations contribute to a more dynamic </w:t>
      </w:r>
      <w:r w:rsidR="001C5D67">
        <w:rPr>
          <w:rFonts w:ascii="Cambria" w:hAnsi="Cambria"/>
          <w:sz w:val="24"/>
          <w:szCs w:val="24"/>
        </w:rPr>
        <w:t xml:space="preserve">and diverse trading environment </w:t>
      </w:r>
      <w:r w:rsidR="00640FBD">
        <w:rPr>
          <w:rFonts w:ascii="Cambria" w:hAnsi="Cambria"/>
          <w:sz w:val="24"/>
          <w:szCs w:val="24"/>
        </w:rPr>
        <w:fldChar w:fldCharType="begin"/>
      </w:r>
      <w:r w:rsidR="00640FBD">
        <w:rPr>
          <w:rFonts w:ascii="Cambria" w:hAnsi="Cambria"/>
          <w:sz w:val="24"/>
          <w:szCs w:val="24"/>
        </w:rPr>
        <w:instrText xml:space="preserve"> ADDIN ZOTERO_ITEM CSL_CITATION {"citationID":"V2U8lq0i","properties":{"formattedCitation":"(Cadot, Carr\\uc0\\u232{}re and Strauss\\uc0\\u8208{}Kahn, 2013)","plainCitation":"(Cadot, Carrère and Strauss‐Kahn, 2013)","noteIndex":0},"citationItems":[{"id":34,"uris":["http://zotero.org/users/12902950/items/H387KJBQ"],"itemData":{"id":34,"type":"article-journal","abstract":"This paper surveys the empirical literature on export and import diversification and its linkages with growth. We review widely used measures of diversification and the evidence about their evolution focusing on how export diversification relates to trade liberalization and economic development. We also discuss the linkages between trade diversification and productivity at the firm and industry level, highlighting new advances on the linkages between import diversification and productivity.","container-title":"Journal of Economic Surveys","DOI":"https://doi.org/10.1111/j.1467-6419.2011.00719.x","ISSN":"1467-6419","issue":"4","language":"en","license":"© 2012 John Wiley &amp; Sons Ltd","note":"number: 4\n_eprint: https://onlinelibrary.wiley.com/doi/pdf/10.1111/j.1467-6419.2011.00719.x","page":"790-812","source":"Wiley Online Library","title":"Trade Diversification, Income, and Growth: What Do We Know?","title-short":"Trade Diversification, Income, and Growth","volume":"27","author":[{"family":"Cadot","given":"Olivier"},{"family":"Carrère","given":"Céline"},{"family":"Strauss‐Kahn","given":"Vanessa"}],"issued":{"date-parts":[["2013"]]}}}],"schema":"https://github.com/citation-style-language/schema/raw/master/csl-citation.json"} </w:instrText>
      </w:r>
      <w:r w:rsidR="00640FBD">
        <w:rPr>
          <w:rFonts w:ascii="Cambria" w:hAnsi="Cambria"/>
          <w:sz w:val="24"/>
          <w:szCs w:val="24"/>
        </w:rPr>
        <w:fldChar w:fldCharType="separate"/>
      </w:r>
      <w:r w:rsidR="00640FBD" w:rsidRPr="001C5D67">
        <w:rPr>
          <w:rFonts w:ascii="Cambria" w:hAnsi="Cambria"/>
          <w:sz w:val="24"/>
          <w:szCs w:val="24"/>
        </w:rPr>
        <w:t>(Cadot, Carrère and Strauss‐Kahn, 2013)</w:t>
      </w:r>
      <w:r w:rsidR="00640FBD">
        <w:rPr>
          <w:rFonts w:ascii="Cambria" w:hAnsi="Cambria"/>
          <w:sz w:val="24"/>
          <w:szCs w:val="24"/>
        </w:rPr>
        <w:fldChar w:fldCharType="end"/>
      </w:r>
      <w:r w:rsidR="001C5D67">
        <w:rPr>
          <w:rFonts w:ascii="Cambria" w:hAnsi="Cambria"/>
          <w:sz w:val="24"/>
          <w:szCs w:val="24"/>
        </w:rPr>
        <w:t>.</w:t>
      </w:r>
    </w:p>
    <w:p w14:paraId="0BD17123" w14:textId="77777777" w:rsidR="001C5D67" w:rsidRDefault="00AD6436" w:rsidP="001C5D67">
      <w:pPr>
        <w:pBdr>
          <w:top w:val="nil"/>
          <w:left w:val="nil"/>
          <w:bottom w:val="nil"/>
          <w:right w:val="nil"/>
          <w:between w:val="nil"/>
        </w:pBdr>
        <w:spacing w:before="120" w:after="120"/>
        <w:ind w:left="426" w:right="96"/>
        <w:jc w:val="both"/>
        <w:rPr>
          <w:rFonts w:ascii="Cambria" w:hAnsi="Cambria"/>
          <w:sz w:val="24"/>
          <w:szCs w:val="24"/>
        </w:rPr>
      </w:pPr>
      <w:r w:rsidRPr="00F34C5B">
        <w:rPr>
          <w:rFonts w:ascii="Cambria" w:hAnsi="Cambria"/>
          <w:b/>
          <w:bCs/>
          <w:sz w:val="24"/>
          <w:szCs w:val="24"/>
        </w:rPr>
        <w:t>Resource Endowments and Human Capital</w:t>
      </w:r>
      <w:r w:rsidRPr="00F34C5B">
        <w:rPr>
          <w:rFonts w:ascii="Cambria" w:hAnsi="Cambria"/>
          <w:sz w:val="24"/>
          <w:szCs w:val="24"/>
        </w:rPr>
        <w:t xml:space="preserve">: </w:t>
      </w:r>
      <w:r w:rsidR="000B6764" w:rsidRPr="00F34C5B">
        <w:rPr>
          <w:rFonts w:ascii="Cambria" w:hAnsi="Cambria"/>
          <w:sz w:val="24"/>
          <w:szCs w:val="24"/>
        </w:rPr>
        <w:t xml:space="preserve">Resource endowment and human capital significantly influence a country's trade diversity. Rich natural resources can lead to specialization in certain commodities, but they might also limit the variety of exports if a country becomes too dependent on these resources. Conversely, a high level of human capital, indicated by skilled labor and educational attainment, encourages innovation and the development of diverse industries. This diversification can expand a country's range of exportable goods and services, leading to a more varied and robust trading profile </w:t>
      </w:r>
      <w:r w:rsidR="00640FBD">
        <w:rPr>
          <w:rFonts w:ascii="Cambria" w:hAnsi="Cambria"/>
          <w:sz w:val="24"/>
          <w:szCs w:val="24"/>
        </w:rPr>
        <w:fldChar w:fldCharType="begin"/>
      </w:r>
      <w:r w:rsidR="00640FBD">
        <w:rPr>
          <w:rFonts w:ascii="Cambria" w:hAnsi="Cambria"/>
          <w:sz w:val="24"/>
          <w:szCs w:val="24"/>
        </w:rPr>
        <w:instrText xml:space="preserve"> ADDIN ZOTERO_ITEM CSL_CITATION {"citationID":"39puqqLu","properties":{"formattedCitation":"(Parteka and Tamberi, 2008)","plainCitation":"(Parteka and Tamberi, 2008)","noteIndex":0},"citationItems":[{"id":1526,"uris":["http://zotero.org/users/12902950/items/B9RDQFZN"],"itemData":{"id":1526,"type":"article-journal","container-title":"SSRN Electronic Journal","DOI":"10.2139/ssrn.1345728","ISSN":"1556-5068","journalAbbreviation":"SSRN Journal","language":"en","source":"DOI.org (Crossref)","title":"Determinants of Export Diversification: An Empirical Investigation","title-short":"Determinants of Export Diversification","URL":"http://www.ssrn.com/abstract=1345728","author":[{"family":"Parteka","given":"Aleksandra"},{"family":"Tamberi","given":"Massimo"}],"accessed":{"date-parts":[["2024",1,4]]},"issued":{"date-parts":[["2008"]]}}}],"schema":"https://github.com/citation-style-language/schema/raw/master/csl-citation.json"} </w:instrText>
      </w:r>
      <w:r w:rsidR="00640FBD">
        <w:rPr>
          <w:rFonts w:ascii="Cambria" w:hAnsi="Cambria"/>
          <w:sz w:val="24"/>
          <w:szCs w:val="24"/>
        </w:rPr>
        <w:fldChar w:fldCharType="separate"/>
      </w:r>
      <w:r w:rsidR="00640FBD" w:rsidRPr="00640FBD">
        <w:rPr>
          <w:rFonts w:ascii="Cambria" w:hAnsi="Cambria"/>
          <w:sz w:val="24"/>
        </w:rPr>
        <w:t>(Parteka and Tamberi, 2008)</w:t>
      </w:r>
      <w:r w:rsidR="00640FBD">
        <w:rPr>
          <w:rFonts w:ascii="Cambria" w:hAnsi="Cambria"/>
          <w:sz w:val="24"/>
          <w:szCs w:val="24"/>
        </w:rPr>
        <w:fldChar w:fldCharType="end"/>
      </w:r>
      <w:r w:rsidR="001C5D67">
        <w:rPr>
          <w:rFonts w:ascii="Cambria" w:hAnsi="Cambria"/>
          <w:sz w:val="24"/>
          <w:szCs w:val="24"/>
        </w:rPr>
        <w:t>.</w:t>
      </w:r>
    </w:p>
    <w:p w14:paraId="1C87342E" w14:textId="77777777" w:rsidR="001C5D67" w:rsidRDefault="00AD6436" w:rsidP="001C5D67">
      <w:pPr>
        <w:pBdr>
          <w:top w:val="nil"/>
          <w:left w:val="nil"/>
          <w:bottom w:val="nil"/>
          <w:right w:val="nil"/>
          <w:between w:val="nil"/>
        </w:pBdr>
        <w:spacing w:before="120" w:after="120"/>
        <w:ind w:left="426" w:right="96"/>
        <w:jc w:val="both"/>
        <w:rPr>
          <w:rFonts w:ascii="Cambria" w:hAnsi="Cambria"/>
          <w:sz w:val="24"/>
          <w:szCs w:val="24"/>
        </w:rPr>
      </w:pPr>
      <w:r w:rsidRPr="00F34C5B">
        <w:rPr>
          <w:rFonts w:ascii="Cambria" w:hAnsi="Cambria"/>
          <w:b/>
          <w:bCs/>
          <w:sz w:val="24"/>
          <w:szCs w:val="24"/>
        </w:rPr>
        <w:t>Exchange Rates:</w:t>
      </w:r>
      <w:r w:rsidR="00716C91" w:rsidRPr="00F34C5B">
        <w:rPr>
          <w:rFonts w:ascii="Cambria" w:hAnsi="Cambria"/>
          <w:b/>
          <w:bCs/>
          <w:sz w:val="24"/>
          <w:szCs w:val="24"/>
        </w:rPr>
        <w:t xml:space="preserve"> </w:t>
      </w:r>
      <w:r w:rsidR="000B6764" w:rsidRPr="00F34C5B">
        <w:rPr>
          <w:rFonts w:ascii="Cambria" w:hAnsi="Cambria"/>
          <w:sz w:val="24"/>
          <w:szCs w:val="24"/>
        </w:rPr>
        <w:t>Exchange rates can significantly impact import diversification. A stronger domestic currency makes imports cheaper, encouraging a country to diversify its imports as a broader range of foreign goods becomes more affordable. Conversely, a weaker currency makes imports more expensive, which might limit the variety of imported goods and push the country to seek alternative, potentially less diverse sources. Thus, exchange rate fluctuations can directly influence the range and diversity of products a country imports</w:t>
      </w:r>
      <w:r w:rsidR="001A521C">
        <w:rPr>
          <w:rFonts w:ascii="Cambria" w:hAnsi="Cambria"/>
          <w:sz w:val="24"/>
          <w:szCs w:val="24"/>
        </w:rPr>
        <w:t xml:space="preserve"> </w:t>
      </w:r>
      <w:r w:rsidR="001A521C">
        <w:rPr>
          <w:rFonts w:ascii="Cambria" w:hAnsi="Cambria"/>
          <w:sz w:val="24"/>
          <w:szCs w:val="24"/>
        </w:rPr>
        <w:fldChar w:fldCharType="begin"/>
      </w:r>
      <w:r w:rsidR="001A521C">
        <w:rPr>
          <w:rFonts w:ascii="Cambria" w:hAnsi="Cambria"/>
          <w:sz w:val="24"/>
          <w:szCs w:val="24"/>
        </w:rPr>
        <w:instrText xml:space="preserve"> ADDIN ZOTERO_ITEM CSL_CITATION {"citationID":"EP2QLDGc","properties":{"formattedCitation":"(Clark, Dollar and Micco, 2004)","plainCitation":"(Clark, Dollar and Micco, 2004)","noteIndex":0},"citationItems":[{"id":1505,"uris":["http://zotero.org/users/12902950/items/VZ2MUJCJ"],"itemData":{"id":1505,"type":"article-journal","container-title":"Journal of Development Economics","DOI":"10.1016/j.jdeveco.2004.06.005","ISSN":"03043878","issue":"2","journalAbbreviation":"Journal of Development Economics","language":"en","page":"417-450","source":"DOI.org (Crossref)","title":"Port efficiency, maritime transport costs, and bilateral trade","volume":"75","author":[{"family":"Clark","given":"Ximena"},{"family":"Dollar","given":"David"},{"family":"Micco","given":"Alejandro"}],"issued":{"date-parts":[["2004",12]]}}}],"schema":"https://github.com/citation-style-language/schema/raw/master/csl-citation.json"} </w:instrText>
      </w:r>
      <w:r w:rsidR="001A521C">
        <w:rPr>
          <w:rFonts w:ascii="Cambria" w:hAnsi="Cambria"/>
          <w:sz w:val="24"/>
          <w:szCs w:val="24"/>
        </w:rPr>
        <w:fldChar w:fldCharType="separate"/>
      </w:r>
      <w:r w:rsidR="001A521C" w:rsidRPr="001A521C">
        <w:rPr>
          <w:rFonts w:ascii="Cambria" w:hAnsi="Cambria"/>
          <w:sz w:val="24"/>
        </w:rPr>
        <w:t>(Clark, Dollar and Micco, 2004)</w:t>
      </w:r>
      <w:r w:rsidR="001A521C">
        <w:rPr>
          <w:rFonts w:ascii="Cambria" w:hAnsi="Cambria"/>
          <w:sz w:val="24"/>
          <w:szCs w:val="24"/>
        </w:rPr>
        <w:fldChar w:fldCharType="end"/>
      </w:r>
      <w:r w:rsidR="001A521C">
        <w:rPr>
          <w:rFonts w:ascii="Cambria" w:hAnsi="Cambria"/>
          <w:sz w:val="24"/>
          <w:szCs w:val="24"/>
        </w:rPr>
        <w:t>.</w:t>
      </w:r>
    </w:p>
    <w:p w14:paraId="34AC5CCE" w14:textId="31F0AAA0" w:rsidR="006513D3" w:rsidRPr="00647538" w:rsidRDefault="006513D3" w:rsidP="001C5D67">
      <w:pPr>
        <w:pBdr>
          <w:top w:val="nil"/>
          <w:left w:val="nil"/>
          <w:bottom w:val="nil"/>
          <w:right w:val="nil"/>
          <w:between w:val="nil"/>
        </w:pBdr>
        <w:spacing w:before="120" w:after="120"/>
        <w:ind w:left="426" w:right="96"/>
        <w:jc w:val="both"/>
        <w:rPr>
          <w:rFonts w:ascii="Cambria" w:hAnsi="Cambria"/>
          <w:sz w:val="24"/>
          <w:szCs w:val="24"/>
        </w:rPr>
      </w:pPr>
      <w:r w:rsidRPr="001C5D67">
        <w:rPr>
          <w:rFonts w:ascii="Cambria" w:hAnsi="Cambria"/>
          <w:b/>
          <w:bCs/>
          <w:sz w:val="24"/>
          <w:szCs w:val="24"/>
        </w:rPr>
        <w:t xml:space="preserve">Income Levels (GDP per Capita): </w:t>
      </w:r>
      <w:r w:rsidRPr="001C5D67">
        <w:rPr>
          <w:rFonts w:ascii="Cambria" w:hAnsi="Cambria"/>
          <w:sz w:val="24"/>
          <w:szCs w:val="24"/>
        </w:rPr>
        <w:t>The paper examines how a country's income level influences its export diversification. It considers the idea that countries may experience an "inverted U-shaped" relationship between income and export diversification, often referred to as the "hump."</w:t>
      </w:r>
      <w:r w:rsidR="000B6764" w:rsidRPr="001C5D67">
        <w:rPr>
          <w:rFonts w:ascii="Cambria" w:hAnsi="Cambria"/>
          <w:sz w:val="24"/>
          <w:szCs w:val="24"/>
        </w:rPr>
        <w:t xml:space="preserve"> A higher GDP per capita typically indicates greater wealth and purchasing power within a country. This increased wealth allows for a more varied demand for goods, as consumers can afford a wider range of products, including luxury and specialized items. Consequently, countries with higher GDP per capita often have more diversified import portfolios, as they seek to satisfy the diverse preferences of their wealthier population. Conversely, countries with lower GDP per capita might focus more on essential and affordable imports, leading to less diversification in their import profiles</w:t>
      </w:r>
      <w:r w:rsidR="001A521C" w:rsidRPr="00647538">
        <w:rPr>
          <w:rFonts w:ascii="Cambria" w:hAnsi="Cambria"/>
          <w:sz w:val="24"/>
          <w:szCs w:val="24"/>
        </w:rPr>
        <w:t xml:space="preserve"> </w:t>
      </w:r>
      <w:r w:rsidR="001A521C" w:rsidRPr="00647538">
        <w:rPr>
          <w:rFonts w:ascii="Cambria" w:hAnsi="Cambria"/>
          <w:sz w:val="24"/>
          <w:szCs w:val="24"/>
        </w:rPr>
        <w:fldChar w:fldCharType="begin"/>
      </w:r>
      <w:r w:rsidR="001A521C" w:rsidRPr="00647538">
        <w:rPr>
          <w:rFonts w:ascii="Cambria" w:hAnsi="Cambria"/>
          <w:sz w:val="24"/>
          <w:szCs w:val="24"/>
        </w:rPr>
        <w:instrText xml:space="preserve"> ADDIN ZOTERO_ITEM CSL_CITATION {"citationID":"qii9QArk","properties":{"formattedCitation":"(Cadot, Carr\\uc0\\u232{}re and Strauss-Kahn, 2011)","plainCitation":"(Cadot, Carrère and Strauss-Kahn, 2011)","noteIndex":0},"citationItems":[{"id":1477,"uris":["http://zotero.org/users/12902950/items/JCDZ7BH6"],"itemData":{"id":1477,"type":"article-journal","container-title":"Review of Economics and Statistics","DOI":"10.1162/REST_a_00078","ISSN":"0034-6535, 1530-9142","issue":"2","journalAbbreviation":"Review of Economics and Statistics","language":"en","page":"590-605","source":"DOI.org (Crossref)","title":"Export Diversification: What's behind the Hump?","title-short":"Export Diversification","volume":"93","author":[{"family":"Cadot","given":"Olivier"},{"family":"Carrère","given":"Céline"},{"family":"Strauss-Kahn","given":"Vanessa"}],"issued":{"date-parts":[["2011",5]]}}}],"schema":"https://github.com/citation-style-language/schema/raw/master/csl-citation.json"} </w:instrText>
      </w:r>
      <w:r w:rsidR="001A521C" w:rsidRPr="00647538">
        <w:rPr>
          <w:rFonts w:ascii="Cambria" w:hAnsi="Cambria"/>
          <w:sz w:val="24"/>
          <w:szCs w:val="24"/>
        </w:rPr>
        <w:fldChar w:fldCharType="separate"/>
      </w:r>
      <w:r w:rsidR="001A521C" w:rsidRPr="00647538">
        <w:rPr>
          <w:rFonts w:ascii="Cambria" w:hAnsi="Cambria" w:cs="Times New Roman"/>
          <w:sz w:val="24"/>
          <w:szCs w:val="24"/>
        </w:rPr>
        <w:t>(Cadot, Carrère and Strauss-Kahn, 2011)</w:t>
      </w:r>
      <w:r w:rsidR="001A521C" w:rsidRPr="00647538">
        <w:rPr>
          <w:rFonts w:ascii="Cambria" w:hAnsi="Cambria"/>
          <w:sz w:val="24"/>
          <w:szCs w:val="24"/>
        </w:rPr>
        <w:fldChar w:fldCharType="end"/>
      </w:r>
    </w:p>
    <w:p w14:paraId="2A6E1BA1" w14:textId="59C1E98A" w:rsidR="004F22D9" w:rsidRDefault="004F22D9" w:rsidP="001C5D67">
      <w:pPr>
        <w:spacing w:before="120" w:after="120"/>
        <w:rPr>
          <w:rFonts w:ascii="Cambria" w:eastAsiaTheme="minorEastAsia" w:hAnsi="Cambria" w:cstheme="minorHAnsi"/>
          <w:b/>
          <w:sz w:val="24"/>
          <w:szCs w:val="24"/>
        </w:rPr>
      </w:pPr>
      <w:r w:rsidRPr="0007294F">
        <w:rPr>
          <w:rFonts w:ascii="Cambria" w:eastAsiaTheme="minorEastAsia" w:hAnsi="Cambria" w:cstheme="minorHAnsi"/>
          <w:b/>
          <w:sz w:val="24"/>
          <w:szCs w:val="24"/>
        </w:rPr>
        <w:t xml:space="preserve">Table </w:t>
      </w:r>
      <w:r w:rsidR="00860B41">
        <w:rPr>
          <w:rFonts w:ascii="Cambria" w:eastAsiaTheme="minorEastAsia" w:hAnsi="Cambria" w:cstheme="minorHAnsi"/>
          <w:b/>
          <w:sz w:val="24"/>
          <w:szCs w:val="24"/>
        </w:rPr>
        <w:t>3</w:t>
      </w:r>
      <w:r w:rsidR="001C5D67">
        <w:rPr>
          <w:rFonts w:ascii="Cambria" w:eastAsiaTheme="minorEastAsia" w:hAnsi="Cambria" w:cstheme="minorHAnsi"/>
          <w:b/>
          <w:sz w:val="24"/>
          <w:szCs w:val="24"/>
        </w:rPr>
        <w:t>.</w:t>
      </w:r>
      <w:r w:rsidRPr="0007294F">
        <w:rPr>
          <w:rFonts w:ascii="Cambria" w:eastAsiaTheme="minorEastAsia" w:hAnsi="Cambria" w:cstheme="minorHAnsi"/>
          <w:b/>
          <w:sz w:val="24"/>
          <w:szCs w:val="24"/>
        </w:rPr>
        <w:t xml:space="preserve"> </w:t>
      </w:r>
      <w:r w:rsidR="001C5D67" w:rsidRPr="001C5D67">
        <w:rPr>
          <w:rFonts w:ascii="Cambria" w:eastAsiaTheme="minorEastAsia" w:hAnsi="Cambria" w:cstheme="minorHAnsi"/>
          <w:bCs/>
          <w:sz w:val="24"/>
          <w:szCs w:val="24"/>
        </w:rPr>
        <w:t>Summary of c</w:t>
      </w:r>
      <w:r w:rsidRPr="001C5D67">
        <w:rPr>
          <w:rFonts w:ascii="Cambria" w:eastAsiaTheme="minorEastAsia" w:hAnsi="Cambria" w:cstheme="minorHAnsi"/>
          <w:bCs/>
          <w:sz w:val="24"/>
          <w:szCs w:val="24"/>
        </w:rPr>
        <w:t>ontrol variables to be used in the regression analysis</w:t>
      </w:r>
    </w:p>
    <w:tbl>
      <w:tblPr>
        <w:tblStyle w:val="TableGrid"/>
        <w:tblW w:w="5000" w:type="pct"/>
        <w:tblLook w:val="04A0" w:firstRow="1" w:lastRow="0" w:firstColumn="1" w:lastColumn="0" w:noHBand="0" w:noVBand="1"/>
      </w:tblPr>
      <w:tblGrid>
        <w:gridCol w:w="1838"/>
        <w:gridCol w:w="3686"/>
        <w:gridCol w:w="1842"/>
        <w:gridCol w:w="1651"/>
      </w:tblGrid>
      <w:tr w:rsidR="004F22D9" w:rsidRPr="0007294F" w14:paraId="2142063B" w14:textId="77777777" w:rsidTr="00C53593">
        <w:tc>
          <w:tcPr>
            <w:tcW w:w="1838" w:type="dxa"/>
          </w:tcPr>
          <w:p w14:paraId="2FB642E0" w14:textId="77777777" w:rsidR="004F22D9" w:rsidRPr="0007294F" w:rsidRDefault="004F22D9" w:rsidP="00C53593">
            <w:pPr>
              <w:spacing w:after="240" w:line="240" w:lineRule="auto"/>
              <w:rPr>
                <w:rFonts w:ascii="Cambria" w:eastAsiaTheme="minorEastAsia" w:hAnsi="Cambria" w:cstheme="minorHAnsi"/>
                <w:b/>
                <w:sz w:val="24"/>
                <w:szCs w:val="24"/>
              </w:rPr>
            </w:pPr>
            <w:r w:rsidRPr="0007294F">
              <w:rPr>
                <w:rFonts w:ascii="Cambria" w:eastAsiaTheme="minorEastAsia" w:hAnsi="Cambria" w:cstheme="minorHAnsi"/>
                <w:b/>
                <w:sz w:val="24"/>
                <w:szCs w:val="24"/>
              </w:rPr>
              <w:t>Control variables</w:t>
            </w:r>
          </w:p>
        </w:tc>
        <w:tc>
          <w:tcPr>
            <w:tcW w:w="3686" w:type="dxa"/>
          </w:tcPr>
          <w:p w14:paraId="7E305C98" w14:textId="77777777" w:rsidR="004F22D9" w:rsidRPr="0007294F" w:rsidRDefault="004F22D9" w:rsidP="00C53593">
            <w:pPr>
              <w:spacing w:after="240" w:line="240" w:lineRule="auto"/>
              <w:rPr>
                <w:rFonts w:ascii="Cambria" w:eastAsiaTheme="minorEastAsia" w:hAnsi="Cambria" w:cstheme="minorHAnsi"/>
                <w:b/>
                <w:sz w:val="24"/>
                <w:szCs w:val="24"/>
              </w:rPr>
            </w:pPr>
            <w:r w:rsidRPr="0007294F">
              <w:rPr>
                <w:rFonts w:ascii="Cambria" w:eastAsiaTheme="minorEastAsia" w:hAnsi="Cambria" w:cstheme="minorHAnsi"/>
                <w:b/>
                <w:sz w:val="24"/>
                <w:szCs w:val="24"/>
              </w:rPr>
              <w:t>Reason</w:t>
            </w:r>
          </w:p>
        </w:tc>
        <w:tc>
          <w:tcPr>
            <w:tcW w:w="1842" w:type="dxa"/>
          </w:tcPr>
          <w:p w14:paraId="205D2F87" w14:textId="77777777" w:rsidR="004F22D9" w:rsidRPr="0007294F" w:rsidRDefault="004F22D9" w:rsidP="00C53593">
            <w:pPr>
              <w:spacing w:after="240" w:line="240" w:lineRule="auto"/>
              <w:rPr>
                <w:rFonts w:ascii="Cambria" w:eastAsiaTheme="minorEastAsia" w:hAnsi="Cambria" w:cstheme="minorHAnsi"/>
                <w:b/>
                <w:sz w:val="24"/>
                <w:szCs w:val="24"/>
              </w:rPr>
            </w:pPr>
            <w:r w:rsidRPr="0007294F">
              <w:rPr>
                <w:rFonts w:ascii="Cambria" w:eastAsiaTheme="minorEastAsia" w:hAnsi="Cambria" w:cstheme="minorHAnsi"/>
                <w:b/>
                <w:sz w:val="24"/>
                <w:szCs w:val="24"/>
              </w:rPr>
              <w:t>Variable definition</w:t>
            </w:r>
          </w:p>
        </w:tc>
        <w:tc>
          <w:tcPr>
            <w:tcW w:w="1651" w:type="dxa"/>
          </w:tcPr>
          <w:p w14:paraId="31F50EB5" w14:textId="77777777" w:rsidR="004F22D9" w:rsidRPr="0007294F" w:rsidRDefault="004F22D9" w:rsidP="00C53593">
            <w:pPr>
              <w:spacing w:after="240" w:line="240" w:lineRule="auto"/>
              <w:rPr>
                <w:rFonts w:ascii="Cambria" w:eastAsiaTheme="minorEastAsia" w:hAnsi="Cambria" w:cstheme="minorHAnsi"/>
                <w:b/>
                <w:sz w:val="24"/>
                <w:szCs w:val="24"/>
              </w:rPr>
            </w:pPr>
            <w:r w:rsidRPr="0007294F">
              <w:rPr>
                <w:rFonts w:ascii="Cambria" w:eastAsiaTheme="minorEastAsia" w:hAnsi="Cambria" w:cstheme="minorHAnsi"/>
                <w:b/>
                <w:sz w:val="24"/>
                <w:szCs w:val="24"/>
              </w:rPr>
              <w:t>Source</w:t>
            </w:r>
          </w:p>
        </w:tc>
      </w:tr>
      <w:tr w:rsidR="004F22D9" w:rsidRPr="0007294F" w14:paraId="025C395E" w14:textId="77777777" w:rsidTr="00C53593">
        <w:tc>
          <w:tcPr>
            <w:tcW w:w="1838" w:type="dxa"/>
          </w:tcPr>
          <w:p w14:paraId="7CF5BC0E" w14:textId="21CA2AED" w:rsidR="004F22D9" w:rsidRPr="00E14D8C" w:rsidRDefault="00E14D8C" w:rsidP="00C53593">
            <w:pPr>
              <w:spacing w:after="240" w:line="240" w:lineRule="auto"/>
              <w:rPr>
                <w:rFonts w:ascii="Cambria" w:eastAsiaTheme="minorEastAsia" w:hAnsi="Cambria" w:cstheme="minorHAnsi"/>
                <w:sz w:val="24"/>
                <w:szCs w:val="24"/>
              </w:rPr>
            </w:pPr>
            <w:r w:rsidRPr="00E14D8C">
              <w:rPr>
                <w:rFonts w:ascii="Cambria" w:hAnsi="Cambria"/>
                <w:sz w:val="24"/>
                <w:szCs w:val="24"/>
              </w:rPr>
              <w:t>GDP of a country</w:t>
            </w:r>
          </w:p>
        </w:tc>
        <w:tc>
          <w:tcPr>
            <w:tcW w:w="3686" w:type="dxa"/>
          </w:tcPr>
          <w:p w14:paraId="7A3C4EE2" w14:textId="56AA9BD7" w:rsidR="004F22D9" w:rsidRPr="0007294F" w:rsidRDefault="00E14D8C" w:rsidP="00C53593">
            <w:pPr>
              <w:spacing w:after="240" w:line="240" w:lineRule="auto"/>
              <w:rPr>
                <w:rFonts w:ascii="Cambria" w:eastAsiaTheme="minorEastAsia" w:hAnsi="Cambria" w:cstheme="minorHAnsi"/>
                <w:sz w:val="24"/>
                <w:szCs w:val="24"/>
              </w:rPr>
            </w:pPr>
            <w:r w:rsidRPr="00E14D8C">
              <w:rPr>
                <w:rFonts w:ascii="Cambria" w:hAnsi="Cambria" w:cstheme="minorHAnsi"/>
                <w:sz w:val="24"/>
                <w:szCs w:val="24"/>
              </w:rPr>
              <w:t xml:space="preserve">A higher GDP often leads to greater trade diversity as countries with stronger economies have more resources </w:t>
            </w:r>
            <w:r w:rsidRPr="00E14D8C">
              <w:rPr>
                <w:rFonts w:ascii="Cambria" w:hAnsi="Cambria" w:cstheme="minorHAnsi"/>
                <w:sz w:val="24"/>
                <w:szCs w:val="24"/>
              </w:rPr>
              <w:lastRenderedPageBreak/>
              <w:t>to engage in diverse trade activities.</w:t>
            </w:r>
          </w:p>
        </w:tc>
        <w:tc>
          <w:tcPr>
            <w:tcW w:w="1842" w:type="dxa"/>
          </w:tcPr>
          <w:p w14:paraId="76AB2038" w14:textId="03E4602D" w:rsidR="004F22D9" w:rsidRPr="0007294F" w:rsidRDefault="00E14D8C"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lastRenderedPageBreak/>
              <w:t>GDP of a country</w:t>
            </w:r>
          </w:p>
        </w:tc>
        <w:tc>
          <w:tcPr>
            <w:tcW w:w="1651" w:type="dxa"/>
          </w:tcPr>
          <w:p w14:paraId="1E0008BF" w14:textId="2E020D4B" w:rsidR="004F22D9" w:rsidRPr="0007294F" w:rsidRDefault="00E14D8C"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World Development Indicators</w:t>
            </w:r>
          </w:p>
        </w:tc>
      </w:tr>
      <w:tr w:rsidR="004F22D9" w:rsidRPr="0007294F" w14:paraId="7DA281E7" w14:textId="77777777" w:rsidTr="00C53593">
        <w:tc>
          <w:tcPr>
            <w:tcW w:w="1838" w:type="dxa"/>
          </w:tcPr>
          <w:p w14:paraId="2711848C" w14:textId="6796F468" w:rsidR="004F22D9" w:rsidRPr="0007294F" w:rsidRDefault="00E14D8C" w:rsidP="00C53593">
            <w:pPr>
              <w:spacing w:after="240" w:line="240" w:lineRule="auto"/>
              <w:rPr>
                <w:rFonts w:ascii="Cambria" w:eastAsiaTheme="minorEastAsia" w:hAnsi="Cambria" w:cstheme="minorHAnsi"/>
                <w:sz w:val="24"/>
                <w:szCs w:val="24"/>
              </w:rPr>
            </w:pPr>
            <w:r w:rsidRPr="00E14D8C">
              <w:rPr>
                <w:rFonts w:ascii="Cambria" w:eastAsiaTheme="minorEastAsia" w:hAnsi="Cambria" w:cstheme="minorHAnsi"/>
                <w:sz w:val="24"/>
                <w:szCs w:val="24"/>
              </w:rPr>
              <w:t>Income Inequality</w:t>
            </w:r>
          </w:p>
        </w:tc>
        <w:tc>
          <w:tcPr>
            <w:tcW w:w="3686" w:type="dxa"/>
          </w:tcPr>
          <w:p w14:paraId="6616A795" w14:textId="5CD02DAD" w:rsidR="004F22D9" w:rsidRPr="0007294F" w:rsidRDefault="00E14D8C" w:rsidP="00C53593">
            <w:pPr>
              <w:spacing w:after="240" w:line="240" w:lineRule="auto"/>
              <w:rPr>
                <w:rFonts w:ascii="Cambria" w:eastAsiaTheme="minorEastAsia" w:hAnsi="Cambria" w:cstheme="minorHAnsi"/>
                <w:sz w:val="24"/>
                <w:szCs w:val="24"/>
              </w:rPr>
            </w:pPr>
            <w:r w:rsidRPr="00E14D8C">
              <w:rPr>
                <w:rFonts w:ascii="Cambria" w:eastAsiaTheme="minorEastAsia" w:hAnsi="Cambria" w:cstheme="minorHAnsi"/>
                <w:sz w:val="24"/>
                <w:szCs w:val="24"/>
              </w:rPr>
              <w:t>Income inequality, as indicated by the Gini index, impacts trade diversity. More equitable income distribution leads to a broader range of goods and services being produced and consumed.</w:t>
            </w:r>
          </w:p>
        </w:tc>
        <w:tc>
          <w:tcPr>
            <w:tcW w:w="1842" w:type="dxa"/>
          </w:tcPr>
          <w:p w14:paraId="0E27DCDE" w14:textId="51DA848D" w:rsidR="004F22D9" w:rsidRPr="0007294F" w:rsidRDefault="00E14D8C"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Gini Coefficient of the Income Inequality</w:t>
            </w:r>
          </w:p>
        </w:tc>
        <w:tc>
          <w:tcPr>
            <w:tcW w:w="1651" w:type="dxa"/>
          </w:tcPr>
          <w:p w14:paraId="2A50ED0B" w14:textId="73452B33" w:rsidR="004F22D9" w:rsidRPr="0007294F" w:rsidRDefault="00E14D8C"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World Development Indicators</w:t>
            </w:r>
          </w:p>
        </w:tc>
      </w:tr>
      <w:tr w:rsidR="004F22D9" w:rsidRPr="0007294F" w14:paraId="425E617E" w14:textId="77777777" w:rsidTr="00C53593">
        <w:tc>
          <w:tcPr>
            <w:tcW w:w="1838" w:type="dxa"/>
          </w:tcPr>
          <w:p w14:paraId="5E5E82FC" w14:textId="70DF1EC0" w:rsidR="004F22D9" w:rsidRPr="0007294F" w:rsidRDefault="00E14D8C"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Logistics Performance</w:t>
            </w:r>
          </w:p>
        </w:tc>
        <w:tc>
          <w:tcPr>
            <w:tcW w:w="3686" w:type="dxa"/>
          </w:tcPr>
          <w:p w14:paraId="6AD3F85A" w14:textId="23923724" w:rsidR="004F22D9" w:rsidRPr="0007294F" w:rsidRDefault="00E14D8C" w:rsidP="00C53593">
            <w:pPr>
              <w:spacing w:after="240" w:line="240" w:lineRule="auto"/>
              <w:rPr>
                <w:rFonts w:ascii="Cambria" w:eastAsiaTheme="minorEastAsia" w:hAnsi="Cambria" w:cstheme="minorHAnsi"/>
                <w:sz w:val="24"/>
                <w:szCs w:val="24"/>
              </w:rPr>
            </w:pPr>
            <w:r w:rsidRPr="00E14D8C">
              <w:rPr>
                <w:rFonts w:ascii="Cambria" w:eastAsiaTheme="minorEastAsia" w:hAnsi="Cambria" w:cstheme="minorHAnsi"/>
                <w:sz w:val="24"/>
                <w:szCs w:val="24"/>
              </w:rPr>
              <w:t>The LPI assesses the efficiency of customs and border clearance, quality of trade and transport-related infrastructure, etc., significantly contributing to trade diversification.</w:t>
            </w:r>
          </w:p>
        </w:tc>
        <w:tc>
          <w:tcPr>
            <w:tcW w:w="1842" w:type="dxa"/>
          </w:tcPr>
          <w:p w14:paraId="60EB89BB" w14:textId="2D43CAF3" w:rsidR="004F22D9" w:rsidRPr="0007294F" w:rsidRDefault="00E14D8C" w:rsidP="00C53593">
            <w:pPr>
              <w:spacing w:after="240" w:line="240" w:lineRule="auto"/>
              <w:rPr>
                <w:rFonts w:ascii="Cambria" w:eastAsiaTheme="minorEastAsia" w:hAnsi="Cambria" w:cstheme="minorHAnsi"/>
                <w:sz w:val="24"/>
                <w:szCs w:val="24"/>
              </w:rPr>
            </w:pPr>
            <w:r w:rsidRPr="00E14D8C">
              <w:rPr>
                <w:rFonts w:ascii="Cambria" w:eastAsiaTheme="minorEastAsia" w:hAnsi="Cambria" w:cstheme="minorHAnsi"/>
                <w:sz w:val="24"/>
                <w:szCs w:val="24"/>
              </w:rPr>
              <w:t>World Bank's Logistics Performance Index (LPI)</w:t>
            </w:r>
          </w:p>
        </w:tc>
        <w:tc>
          <w:tcPr>
            <w:tcW w:w="1651" w:type="dxa"/>
          </w:tcPr>
          <w:p w14:paraId="470FC0A5" w14:textId="2B9E6555" w:rsidR="004F22D9" w:rsidRPr="0007294F" w:rsidRDefault="0032660F"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LPI Index</w:t>
            </w:r>
            <w:r w:rsidR="0091439B">
              <w:rPr>
                <w:rFonts w:ascii="Cambria" w:eastAsiaTheme="minorEastAsia" w:hAnsi="Cambria" w:cstheme="minorHAnsi"/>
                <w:sz w:val="24"/>
                <w:szCs w:val="24"/>
              </w:rPr>
              <w:t xml:space="preserve"> by World Bank</w:t>
            </w:r>
          </w:p>
        </w:tc>
      </w:tr>
      <w:tr w:rsidR="004F22D9" w:rsidRPr="0007294F" w14:paraId="0F40390B" w14:textId="77777777" w:rsidTr="00C53593">
        <w:tc>
          <w:tcPr>
            <w:tcW w:w="1838" w:type="dxa"/>
          </w:tcPr>
          <w:p w14:paraId="39CEF9AA" w14:textId="2FEC011D"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eastAsiaTheme="minorEastAsia" w:hAnsi="Cambria" w:cstheme="minorHAnsi"/>
                <w:sz w:val="24"/>
                <w:szCs w:val="24"/>
              </w:rPr>
              <w:t>Political Stability Index</w:t>
            </w:r>
          </w:p>
        </w:tc>
        <w:tc>
          <w:tcPr>
            <w:tcW w:w="3686" w:type="dxa"/>
          </w:tcPr>
          <w:p w14:paraId="544CAEE5" w14:textId="3DAB8FCE"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eastAsiaTheme="minorEastAsia" w:hAnsi="Cambria" w:cstheme="minorHAnsi"/>
                <w:sz w:val="24"/>
                <w:szCs w:val="24"/>
              </w:rPr>
              <w:t>Assesses the likelihood of political instability or violence. Commonly used to measure political stability.</w:t>
            </w:r>
            <w:r>
              <w:rPr>
                <w:rFonts w:ascii="Cambria" w:eastAsiaTheme="minorEastAsia" w:hAnsi="Cambria" w:cstheme="minorHAnsi"/>
                <w:sz w:val="24"/>
                <w:szCs w:val="24"/>
              </w:rPr>
              <w:t xml:space="preserve"> The more the countries are politically stable, democratic, there is a more conducive environment for trade diversification.</w:t>
            </w:r>
          </w:p>
        </w:tc>
        <w:tc>
          <w:tcPr>
            <w:tcW w:w="1842" w:type="dxa"/>
          </w:tcPr>
          <w:p w14:paraId="1CDE739D" w14:textId="7118415E"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eastAsiaTheme="minorEastAsia" w:hAnsi="Cambria" w:cstheme="minorHAnsi"/>
                <w:sz w:val="24"/>
                <w:szCs w:val="24"/>
              </w:rPr>
              <w:t>Political Stability Index</w:t>
            </w:r>
          </w:p>
        </w:tc>
        <w:tc>
          <w:tcPr>
            <w:tcW w:w="1651" w:type="dxa"/>
          </w:tcPr>
          <w:p w14:paraId="1D062182" w14:textId="3463737F"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eastAsiaTheme="minorEastAsia" w:hAnsi="Cambria" w:cstheme="minorHAnsi"/>
                <w:sz w:val="24"/>
                <w:szCs w:val="24"/>
              </w:rPr>
              <w:t>Political Stability Index</w:t>
            </w:r>
            <w:r>
              <w:rPr>
                <w:rFonts w:ascii="Cambria" w:eastAsiaTheme="minorEastAsia" w:hAnsi="Cambria" w:cstheme="minorHAnsi"/>
                <w:sz w:val="24"/>
                <w:szCs w:val="24"/>
              </w:rPr>
              <w:t xml:space="preserve"> (</w:t>
            </w:r>
            <w:r w:rsidRPr="0091439B">
              <w:rPr>
                <w:rFonts w:ascii="Cambria" w:eastAsiaTheme="minorEastAsia" w:hAnsi="Cambria" w:cstheme="minorHAnsi"/>
                <w:sz w:val="24"/>
                <w:szCs w:val="24"/>
              </w:rPr>
              <w:t>part of the Worldwide Governance Indicators (WGI) published by the World Bank</w:t>
            </w:r>
            <w:r>
              <w:rPr>
                <w:rFonts w:ascii="Cambria" w:eastAsiaTheme="minorEastAsia" w:hAnsi="Cambria" w:cstheme="minorHAnsi"/>
                <w:sz w:val="24"/>
                <w:szCs w:val="24"/>
              </w:rPr>
              <w:t>)</w:t>
            </w:r>
          </w:p>
        </w:tc>
      </w:tr>
      <w:tr w:rsidR="004F22D9" w:rsidRPr="0007294F" w14:paraId="5B54DFBB" w14:textId="77777777" w:rsidTr="00C53593">
        <w:tc>
          <w:tcPr>
            <w:tcW w:w="1838" w:type="dxa"/>
          </w:tcPr>
          <w:p w14:paraId="2DD9130B" w14:textId="6F90CDA5"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eastAsiaTheme="minorEastAsia" w:hAnsi="Cambria" w:cstheme="minorHAnsi"/>
                <w:sz w:val="24"/>
                <w:szCs w:val="24"/>
              </w:rPr>
              <w:t>Population Size</w:t>
            </w:r>
          </w:p>
        </w:tc>
        <w:tc>
          <w:tcPr>
            <w:tcW w:w="3686" w:type="dxa"/>
          </w:tcPr>
          <w:p w14:paraId="7BBC61BD" w14:textId="5C9DA278"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hAnsi="Cambria" w:cstheme="minorHAnsi"/>
                <w:sz w:val="24"/>
                <w:szCs w:val="24"/>
              </w:rPr>
              <w:t>The size and demographic composition of a country's population can influence the types of goods and services demanded, affecting trade diversity.</w:t>
            </w:r>
          </w:p>
        </w:tc>
        <w:tc>
          <w:tcPr>
            <w:tcW w:w="1842" w:type="dxa"/>
          </w:tcPr>
          <w:p w14:paraId="04FE7A36" w14:textId="27288283" w:rsidR="004F22D9" w:rsidRPr="0007294F" w:rsidRDefault="0091439B"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Total Population</w:t>
            </w:r>
          </w:p>
        </w:tc>
        <w:tc>
          <w:tcPr>
            <w:tcW w:w="1651" w:type="dxa"/>
          </w:tcPr>
          <w:p w14:paraId="31A3287C" w14:textId="77777777" w:rsidR="004F22D9" w:rsidRPr="0007294F" w:rsidRDefault="004F22D9" w:rsidP="00C53593">
            <w:pPr>
              <w:spacing w:after="240" w:line="240" w:lineRule="auto"/>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w:t>
            </w:r>
            <w:r>
              <w:rPr>
                <w:rFonts w:ascii="Cambria" w:eastAsiaTheme="minorEastAsia" w:hAnsi="Cambria" w:cstheme="minorHAnsi"/>
                <w:sz w:val="24"/>
                <w:szCs w:val="24"/>
              </w:rPr>
              <w:t>i</w:t>
            </w:r>
            <w:r w:rsidRPr="0007294F">
              <w:rPr>
                <w:rFonts w:ascii="Cambria" w:eastAsiaTheme="minorEastAsia" w:hAnsi="Cambria" w:cstheme="minorHAnsi"/>
                <w:sz w:val="24"/>
                <w:szCs w:val="24"/>
              </w:rPr>
              <w:t>cators</w:t>
            </w:r>
          </w:p>
        </w:tc>
      </w:tr>
      <w:tr w:rsidR="004F22D9" w:rsidRPr="0007294F" w14:paraId="5E2E7711" w14:textId="77777777" w:rsidTr="00C53593">
        <w:tc>
          <w:tcPr>
            <w:tcW w:w="1838" w:type="dxa"/>
          </w:tcPr>
          <w:p w14:paraId="6217FC19" w14:textId="26702478"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eastAsiaTheme="minorEastAsia" w:hAnsi="Cambria" w:cstheme="minorHAnsi"/>
                <w:sz w:val="24"/>
                <w:szCs w:val="24"/>
              </w:rPr>
              <w:t>Resource Endowments and Human Capital</w:t>
            </w:r>
          </w:p>
        </w:tc>
        <w:tc>
          <w:tcPr>
            <w:tcW w:w="3686" w:type="dxa"/>
          </w:tcPr>
          <w:p w14:paraId="4D2F2BE4" w14:textId="727AD9A1" w:rsidR="004F22D9" w:rsidRPr="0007294F" w:rsidRDefault="0091439B" w:rsidP="00C53593">
            <w:pPr>
              <w:spacing w:after="240" w:line="240" w:lineRule="auto"/>
              <w:rPr>
                <w:rFonts w:ascii="Cambria" w:eastAsiaTheme="minorEastAsia" w:hAnsi="Cambria" w:cstheme="minorHAnsi"/>
                <w:sz w:val="24"/>
                <w:szCs w:val="24"/>
              </w:rPr>
            </w:pPr>
            <w:r w:rsidRPr="0091439B">
              <w:rPr>
                <w:rFonts w:ascii="Cambria" w:eastAsiaTheme="minorEastAsia" w:hAnsi="Cambria" w:cstheme="minorHAnsi"/>
                <w:sz w:val="24"/>
                <w:szCs w:val="24"/>
              </w:rPr>
              <w:t>Rich natural resources can lead to specialization in certain commodities</w:t>
            </w:r>
            <w:proofErr w:type="gramStart"/>
            <w:r w:rsidRPr="0091439B">
              <w:rPr>
                <w:rFonts w:ascii="Cambria" w:eastAsiaTheme="minorEastAsia" w:hAnsi="Cambria" w:cstheme="minorHAnsi"/>
                <w:sz w:val="24"/>
                <w:szCs w:val="24"/>
              </w:rPr>
              <w:t xml:space="preserve">, </w:t>
            </w:r>
            <w:r w:rsidRPr="00F34C5B">
              <w:rPr>
                <w:rFonts w:ascii="Cambria" w:hAnsi="Cambria"/>
                <w:sz w:val="24"/>
                <w:szCs w:val="24"/>
              </w:rPr>
              <w:t>,</w:t>
            </w:r>
            <w:proofErr w:type="gramEnd"/>
            <w:r w:rsidRPr="00F34C5B">
              <w:rPr>
                <w:rFonts w:ascii="Cambria" w:hAnsi="Cambria"/>
                <w:sz w:val="24"/>
                <w:szCs w:val="24"/>
              </w:rPr>
              <w:t xml:space="preserve"> but they might also limit the variety of exports if a country becomes too dependent on these resources</w:t>
            </w:r>
            <w:r w:rsidRPr="0091439B">
              <w:rPr>
                <w:rFonts w:ascii="Cambria" w:eastAsiaTheme="minorEastAsia" w:hAnsi="Cambria" w:cstheme="minorHAnsi"/>
                <w:sz w:val="24"/>
                <w:szCs w:val="24"/>
              </w:rPr>
              <w:t xml:space="preserve"> while a high level of human capital encourages innovation and diverse industries.</w:t>
            </w:r>
          </w:p>
        </w:tc>
        <w:tc>
          <w:tcPr>
            <w:tcW w:w="1842" w:type="dxa"/>
          </w:tcPr>
          <w:p w14:paraId="0E4EADF8" w14:textId="77777777" w:rsidR="004F22D9" w:rsidRDefault="00543F72" w:rsidP="00C53593">
            <w:pPr>
              <w:spacing w:after="240" w:line="240" w:lineRule="auto"/>
              <w:rPr>
                <w:rFonts w:ascii="Cambria" w:eastAsiaTheme="minorEastAsia" w:hAnsi="Cambria" w:cstheme="minorHAnsi"/>
                <w:sz w:val="24"/>
                <w:szCs w:val="24"/>
              </w:rPr>
            </w:pPr>
            <w:r w:rsidRPr="00543F72">
              <w:rPr>
                <w:rFonts w:ascii="Cambria" w:eastAsiaTheme="minorEastAsia" w:hAnsi="Cambria" w:cstheme="minorHAnsi"/>
                <w:sz w:val="24"/>
                <w:szCs w:val="24"/>
              </w:rPr>
              <w:t>Agricultural Land (% of land area): Indicates the extent of land used for agriculture and can be a proxy for agricultural resource endowment.</w:t>
            </w:r>
          </w:p>
          <w:p w14:paraId="25B39761" w14:textId="34FC925A" w:rsidR="00543F72" w:rsidRPr="0007294F" w:rsidRDefault="00543F72" w:rsidP="00C53593">
            <w:pPr>
              <w:spacing w:after="240" w:line="240" w:lineRule="auto"/>
              <w:rPr>
                <w:rFonts w:ascii="Cambria" w:eastAsiaTheme="minorEastAsia" w:hAnsi="Cambria" w:cstheme="minorHAnsi"/>
                <w:sz w:val="24"/>
                <w:szCs w:val="24"/>
              </w:rPr>
            </w:pPr>
            <w:r w:rsidRPr="00543F72">
              <w:rPr>
                <w:rFonts w:ascii="Cambria" w:eastAsiaTheme="minorEastAsia" w:hAnsi="Cambria" w:cstheme="minorHAnsi"/>
                <w:sz w:val="24"/>
                <w:szCs w:val="24"/>
              </w:rPr>
              <w:t xml:space="preserve">Skilled Labor Force (% of </w:t>
            </w:r>
            <w:r w:rsidRPr="00543F72">
              <w:rPr>
                <w:rFonts w:ascii="Cambria" w:eastAsiaTheme="minorEastAsia" w:hAnsi="Cambria" w:cstheme="minorHAnsi"/>
                <w:sz w:val="24"/>
                <w:szCs w:val="24"/>
              </w:rPr>
              <w:lastRenderedPageBreak/>
              <w:t>Labor Force): Proportion of the labor force with advanced skills or training, often measured by the presence of tertiary education or vocational training.</w:t>
            </w:r>
          </w:p>
        </w:tc>
        <w:tc>
          <w:tcPr>
            <w:tcW w:w="1651" w:type="dxa"/>
          </w:tcPr>
          <w:p w14:paraId="75C33E00" w14:textId="77777777" w:rsidR="004F22D9" w:rsidRPr="0007294F" w:rsidRDefault="004F22D9" w:rsidP="00C53593">
            <w:pPr>
              <w:spacing w:after="240" w:line="240" w:lineRule="auto"/>
              <w:rPr>
                <w:rFonts w:ascii="Cambria" w:eastAsiaTheme="minorEastAsia" w:hAnsi="Cambria" w:cstheme="minorHAnsi"/>
                <w:sz w:val="24"/>
                <w:szCs w:val="24"/>
              </w:rPr>
            </w:pPr>
            <w:r w:rsidRPr="0007294F">
              <w:rPr>
                <w:rFonts w:ascii="Cambria" w:eastAsiaTheme="minorEastAsia" w:hAnsi="Cambria" w:cstheme="minorHAnsi"/>
                <w:sz w:val="24"/>
                <w:szCs w:val="24"/>
              </w:rPr>
              <w:lastRenderedPageBreak/>
              <w:t>World Development Indicators</w:t>
            </w:r>
          </w:p>
        </w:tc>
      </w:tr>
      <w:tr w:rsidR="004F22D9" w:rsidRPr="0007294F" w14:paraId="0A446F6B" w14:textId="77777777" w:rsidTr="00C53593">
        <w:tc>
          <w:tcPr>
            <w:tcW w:w="1838" w:type="dxa"/>
          </w:tcPr>
          <w:p w14:paraId="379AA4C3" w14:textId="119ED591" w:rsidR="004F22D9" w:rsidRPr="0007294F" w:rsidRDefault="00543F72" w:rsidP="00C53593">
            <w:pPr>
              <w:spacing w:after="240" w:line="240" w:lineRule="auto"/>
              <w:rPr>
                <w:rFonts w:ascii="Cambria" w:eastAsiaTheme="minorEastAsia" w:hAnsi="Cambria" w:cstheme="minorHAnsi"/>
                <w:sz w:val="24"/>
                <w:szCs w:val="24"/>
              </w:rPr>
            </w:pPr>
            <w:r w:rsidRPr="00543F72">
              <w:rPr>
                <w:rFonts w:ascii="Cambria" w:eastAsiaTheme="minorEastAsia" w:hAnsi="Cambria" w:cstheme="minorHAnsi"/>
                <w:sz w:val="24"/>
                <w:szCs w:val="24"/>
              </w:rPr>
              <w:t>Exchange Rates</w:t>
            </w:r>
          </w:p>
        </w:tc>
        <w:tc>
          <w:tcPr>
            <w:tcW w:w="3686" w:type="dxa"/>
          </w:tcPr>
          <w:p w14:paraId="42AFA1A9" w14:textId="669AC2FB" w:rsidR="004F22D9" w:rsidRPr="0007294F" w:rsidRDefault="00543F72" w:rsidP="00C53593">
            <w:pPr>
              <w:spacing w:after="240" w:line="240" w:lineRule="auto"/>
              <w:rPr>
                <w:rFonts w:ascii="Cambria" w:eastAsiaTheme="minorEastAsia" w:hAnsi="Cambria" w:cstheme="minorHAnsi"/>
                <w:sz w:val="24"/>
                <w:szCs w:val="24"/>
              </w:rPr>
            </w:pPr>
            <w:r w:rsidRPr="00543F72">
              <w:rPr>
                <w:rFonts w:ascii="Cambria" w:eastAsiaTheme="minorEastAsia" w:hAnsi="Cambria" w:cstheme="minorHAnsi"/>
                <w:sz w:val="24"/>
                <w:szCs w:val="24"/>
              </w:rPr>
              <w:t>A stronger domestic currency makes imports cheaper, encouraging a country to diversify its imports as a broader range of foreign goods becomes more affordable</w:t>
            </w:r>
            <w:r w:rsidR="00B6185A">
              <w:rPr>
                <w:rFonts w:ascii="Cambria" w:eastAsiaTheme="minorEastAsia" w:hAnsi="Cambria" w:cstheme="minorHAnsi"/>
                <w:sz w:val="24"/>
                <w:szCs w:val="24"/>
              </w:rPr>
              <w:t xml:space="preserve"> and vice versa. </w:t>
            </w:r>
            <w:r w:rsidRPr="00543F72">
              <w:rPr>
                <w:rFonts w:ascii="Cambria" w:eastAsiaTheme="minorEastAsia" w:hAnsi="Cambria" w:cstheme="minorHAnsi"/>
                <w:sz w:val="24"/>
                <w:szCs w:val="24"/>
              </w:rPr>
              <w:t xml:space="preserve">Thus, exchange rate fluctuations can directly influence the range and diversity of products a country </w:t>
            </w:r>
            <w:proofErr w:type="gramStart"/>
            <w:r w:rsidRPr="00543F72">
              <w:rPr>
                <w:rFonts w:ascii="Cambria" w:eastAsiaTheme="minorEastAsia" w:hAnsi="Cambria" w:cstheme="minorHAnsi"/>
                <w:sz w:val="24"/>
                <w:szCs w:val="24"/>
              </w:rPr>
              <w:t>imports</w:t>
            </w:r>
            <w:proofErr w:type="gramEnd"/>
            <w:r w:rsidRPr="00543F72">
              <w:rPr>
                <w:rFonts w:ascii="Cambria" w:eastAsiaTheme="minorEastAsia" w:hAnsi="Cambria" w:cstheme="minorHAnsi"/>
                <w:sz w:val="24"/>
                <w:szCs w:val="24"/>
              </w:rPr>
              <w:t>.</w:t>
            </w:r>
          </w:p>
        </w:tc>
        <w:tc>
          <w:tcPr>
            <w:tcW w:w="1842" w:type="dxa"/>
          </w:tcPr>
          <w:p w14:paraId="66D99B8C" w14:textId="4001212C" w:rsidR="004F22D9" w:rsidRPr="0007294F" w:rsidRDefault="00B6185A"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Exchange Rate</w:t>
            </w:r>
          </w:p>
        </w:tc>
        <w:tc>
          <w:tcPr>
            <w:tcW w:w="1651" w:type="dxa"/>
          </w:tcPr>
          <w:p w14:paraId="45312AD1" w14:textId="77777777" w:rsidR="004F22D9" w:rsidRPr="0007294F" w:rsidRDefault="004F22D9" w:rsidP="00C53593">
            <w:pPr>
              <w:spacing w:after="240" w:line="240" w:lineRule="auto"/>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r w:rsidR="004F22D9" w:rsidRPr="0007294F" w14:paraId="2599AD71" w14:textId="77777777" w:rsidTr="00C53593">
        <w:tc>
          <w:tcPr>
            <w:tcW w:w="1838" w:type="dxa"/>
          </w:tcPr>
          <w:p w14:paraId="7E730707" w14:textId="43E0283A" w:rsidR="004F22D9" w:rsidRPr="0007294F" w:rsidRDefault="00B6185A" w:rsidP="00C53593">
            <w:pPr>
              <w:spacing w:after="240" w:line="240" w:lineRule="auto"/>
              <w:rPr>
                <w:rFonts w:ascii="Cambria" w:eastAsiaTheme="minorEastAsia" w:hAnsi="Cambria" w:cstheme="minorHAnsi"/>
                <w:sz w:val="24"/>
                <w:szCs w:val="24"/>
              </w:rPr>
            </w:pPr>
            <w:r w:rsidRPr="00B6185A">
              <w:rPr>
                <w:rFonts w:ascii="Cambria" w:eastAsiaTheme="minorEastAsia" w:hAnsi="Cambria" w:cstheme="minorHAnsi"/>
                <w:sz w:val="24"/>
                <w:szCs w:val="24"/>
              </w:rPr>
              <w:t>Income Levels (GDP per Capita)</w:t>
            </w:r>
          </w:p>
        </w:tc>
        <w:tc>
          <w:tcPr>
            <w:tcW w:w="3686" w:type="dxa"/>
          </w:tcPr>
          <w:p w14:paraId="1DE1895D" w14:textId="6E534BE7" w:rsidR="004F22D9" w:rsidRPr="0007294F" w:rsidRDefault="00B6185A" w:rsidP="00C53593">
            <w:pPr>
              <w:spacing w:after="240" w:line="240" w:lineRule="auto"/>
              <w:rPr>
                <w:rFonts w:ascii="Cambria" w:eastAsiaTheme="minorEastAsia" w:hAnsi="Cambria" w:cstheme="minorHAnsi"/>
                <w:sz w:val="24"/>
                <w:szCs w:val="24"/>
              </w:rPr>
            </w:pPr>
            <w:r w:rsidRPr="00B6185A">
              <w:rPr>
                <w:rFonts w:ascii="Cambria" w:eastAsiaTheme="minorEastAsia" w:hAnsi="Cambria" w:cstheme="minorHAnsi"/>
                <w:sz w:val="24"/>
                <w:szCs w:val="24"/>
              </w:rPr>
              <w:t>Explores the influence of a country's income level on its export diversification, considering the 'inverted U-shaped' relationship between income and diversification.</w:t>
            </w:r>
          </w:p>
        </w:tc>
        <w:tc>
          <w:tcPr>
            <w:tcW w:w="1842" w:type="dxa"/>
          </w:tcPr>
          <w:p w14:paraId="705F64F6" w14:textId="13B3C277" w:rsidR="004F22D9" w:rsidRPr="0007294F" w:rsidRDefault="00B6185A" w:rsidP="00C53593">
            <w:pPr>
              <w:spacing w:after="240" w:line="240" w:lineRule="auto"/>
              <w:rPr>
                <w:rFonts w:ascii="Cambria" w:eastAsiaTheme="minorEastAsia" w:hAnsi="Cambria" w:cstheme="minorHAnsi"/>
                <w:sz w:val="24"/>
                <w:szCs w:val="24"/>
              </w:rPr>
            </w:pPr>
            <w:r>
              <w:rPr>
                <w:rFonts w:ascii="Cambria" w:eastAsiaTheme="minorEastAsia" w:hAnsi="Cambria" w:cstheme="minorHAnsi"/>
                <w:sz w:val="24"/>
                <w:szCs w:val="24"/>
              </w:rPr>
              <w:t>GDP per capita</w:t>
            </w:r>
          </w:p>
        </w:tc>
        <w:tc>
          <w:tcPr>
            <w:tcW w:w="1651" w:type="dxa"/>
          </w:tcPr>
          <w:p w14:paraId="16B129B4" w14:textId="77777777" w:rsidR="004F22D9" w:rsidRPr="0007294F" w:rsidRDefault="004F22D9" w:rsidP="00C53593">
            <w:pPr>
              <w:spacing w:after="240" w:line="240" w:lineRule="auto"/>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bl>
    <w:p w14:paraId="139F93BB" w14:textId="77777777" w:rsidR="004F22D9" w:rsidRPr="0007294F" w:rsidRDefault="004F22D9" w:rsidP="00CF781B">
      <w:pPr>
        <w:ind w:right="96"/>
        <w:jc w:val="both"/>
        <w:rPr>
          <w:rFonts w:ascii="Cambria" w:hAnsi="Cambria"/>
          <w:sz w:val="28"/>
          <w:szCs w:val="28"/>
        </w:rPr>
      </w:pPr>
    </w:p>
    <w:p w14:paraId="6BF331F1" w14:textId="0ADE0EC7" w:rsidR="00CF781B" w:rsidRDefault="00CF781B">
      <w:pPr>
        <w:spacing w:after="160" w:line="259" w:lineRule="auto"/>
        <w:rPr>
          <w:rFonts w:ascii="Cambria" w:hAnsi="Cambria"/>
          <w:sz w:val="28"/>
          <w:szCs w:val="28"/>
        </w:rPr>
      </w:pPr>
      <w:r>
        <w:rPr>
          <w:rFonts w:ascii="Cambria" w:hAnsi="Cambria"/>
          <w:sz w:val="28"/>
          <w:szCs w:val="28"/>
        </w:rPr>
        <w:br w:type="page"/>
      </w:r>
    </w:p>
    <w:p w14:paraId="53BAC730" w14:textId="231C0B68" w:rsidR="00920A90" w:rsidRPr="0007294F" w:rsidRDefault="004F3680" w:rsidP="00947FAF">
      <w:pPr>
        <w:pStyle w:val="Title"/>
        <w:jc w:val="center"/>
      </w:pPr>
      <w:r>
        <w:lastRenderedPageBreak/>
        <w:t>C</w:t>
      </w:r>
      <w:r w:rsidR="000B6764" w:rsidRPr="0007294F">
        <w:t xml:space="preserve">ountries </w:t>
      </w:r>
      <w:r>
        <w:t xml:space="preserve">integration </w:t>
      </w:r>
      <w:r w:rsidR="000B6764" w:rsidRPr="0007294F">
        <w:t>to the trade network and its impact on Nutrition Security</w:t>
      </w:r>
    </w:p>
    <w:p w14:paraId="1FC6C648" w14:textId="5774A056" w:rsidR="0064489D" w:rsidRPr="00F34C5B" w:rsidRDefault="00265CF0" w:rsidP="00947FAF">
      <w:pPr>
        <w:pStyle w:val="Heading1"/>
      </w:pPr>
      <w:bookmarkStart w:id="4" w:name="_Toc155551032"/>
      <w:r>
        <w:t>Motivation</w:t>
      </w:r>
      <w:bookmarkEnd w:id="4"/>
    </w:p>
    <w:p w14:paraId="3A22A1EE" w14:textId="77777777" w:rsidR="00DC3FBF" w:rsidRPr="00DC3FBF" w:rsidRDefault="00DC3FBF" w:rsidP="00CF781B">
      <w:pPr>
        <w:spacing w:before="120" w:after="120"/>
        <w:ind w:right="96"/>
        <w:jc w:val="both"/>
        <w:rPr>
          <w:rFonts w:ascii="Cambria" w:hAnsi="Cambria"/>
          <w:sz w:val="24"/>
          <w:szCs w:val="24"/>
        </w:rPr>
      </w:pPr>
      <w:r w:rsidRPr="00DC3FBF">
        <w:rPr>
          <w:rFonts w:ascii="Cambria" w:hAnsi="Cambria"/>
          <w:sz w:val="24"/>
          <w:szCs w:val="24"/>
        </w:rPr>
        <w:t>Countries' integration into the trade network can significantly improve nutrition supply and stability, particularly in the face of domestic production shocks and seasonal non-availability of certain products. However, heightened connectivity can also transmit international shocks to the domestic economy, directly and indirectly impacting the nutrition status of nations. The overall impact of connectivity to the trade network may hinge on the strength of direct connections, as well as indirect connections (involving partners, partners of partners, and so forth). The diversity of countries' connectivity within the trade network and the specific nations engaged in trade emerge as crucial factors influencing the likelihood of shock transmission to the domestic economy. This, in turn, can affect various dimensions of food security and lead to changes in the nutritional security of nations. A deeper understanding of the impact of connectivity structure aids in formulating policies to enhance the nutrition supply of countries.</w:t>
      </w:r>
    </w:p>
    <w:p w14:paraId="70E8505A" w14:textId="33B92132" w:rsidR="003A4904" w:rsidRPr="00F34C5B" w:rsidRDefault="009E5159" w:rsidP="00947FAF">
      <w:pPr>
        <w:pStyle w:val="Heading1"/>
      </w:pPr>
      <w:bookmarkStart w:id="5" w:name="_Toc155551033"/>
      <w:r>
        <w:t>Objective</w:t>
      </w:r>
      <w:bookmarkEnd w:id="5"/>
    </w:p>
    <w:p w14:paraId="20AC0D10" w14:textId="0308BA82" w:rsidR="00B6501F" w:rsidRPr="00F34C5B" w:rsidRDefault="00B6501F" w:rsidP="00CF781B">
      <w:pPr>
        <w:pStyle w:val="ListParagraph"/>
        <w:numPr>
          <w:ilvl w:val="0"/>
          <w:numId w:val="8"/>
        </w:numPr>
        <w:ind w:left="426" w:right="96"/>
        <w:jc w:val="both"/>
        <w:rPr>
          <w:rFonts w:ascii="Cambria" w:hAnsi="Cambria"/>
          <w:sz w:val="24"/>
          <w:szCs w:val="24"/>
        </w:rPr>
      </w:pPr>
      <w:r w:rsidRPr="00F34C5B">
        <w:rPr>
          <w:rFonts w:ascii="Cambria" w:hAnsi="Cambria"/>
          <w:sz w:val="24"/>
          <w:szCs w:val="24"/>
        </w:rPr>
        <w:t>To analyze the evolution of the structure of countries' connectivity of different orders in terms of trade links and trade intensity</w:t>
      </w:r>
    </w:p>
    <w:p w14:paraId="00E7C6DA" w14:textId="472D37B7" w:rsidR="00B6501F" w:rsidRDefault="00B6501F" w:rsidP="00CF781B">
      <w:pPr>
        <w:pStyle w:val="ListParagraph"/>
        <w:numPr>
          <w:ilvl w:val="0"/>
          <w:numId w:val="8"/>
        </w:numPr>
        <w:ind w:left="426" w:right="96"/>
        <w:jc w:val="both"/>
        <w:rPr>
          <w:rFonts w:ascii="Cambria" w:hAnsi="Cambria"/>
          <w:sz w:val="24"/>
          <w:szCs w:val="24"/>
        </w:rPr>
      </w:pPr>
      <w:r w:rsidRPr="00F34C5B">
        <w:rPr>
          <w:rFonts w:ascii="Cambria" w:hAnsi="Cambria"/>
          <w:sz w:val="24"/>
          <w:szCs w:val="24"/>
        </w:rPr>
        <w:t>To analyze the impact of connectivity measures on the diversification of connectivity on the nutrition security status of countries</w:t>
      </w:r>
    </w:p>
    <w:p w14:paraId="757362CB" w14:textId="32450CAE" w:rsidR="003A4904" w:rsidRPr="00F34C5B" w:rsidRDefault="00B6501F" w:rsidP="00947FAF">
      <w:pPr>
        <w:pStyle w:val="Heading1"/>
      </w:pPr>
      <w:r w:rsidRPr="0007294F">
        <w:t xml:space="preserve"> </w:t>
      </w:r>
      <w:bookmarkStart w:id="6" w:name="_Toc155551034"/>
      <w:r w:rsidR="009E5159">
        <w:t>Methodolo</w:t>
      </w:r>
      <w:r w:rsidR="00B24924">
        <w:t>g</w:t>
      </w:r>
      <w:r w:rsidR="00F323EF">
        <w:t>y</w:t>
      </w:r>
      <w:bookmarkEnd w:id="6"/>
    </w:p>
    <w:p w14:paraId="508E8461" w14:textId="15094B00" w:rsidR="005D5860" w:rsidRPr="00F34C5B" w:rsidRDefault="003A4904" w:rsidP="00CF781B">
      <w:pPr>
        <w:spacing w:before="120" w:after="120"/>
        <w:ind w:right="96"/>
        <w:jc w:val="both"/>
        <w:rPr>
          <w:rFonts w:ascii="Cambria" w:hAnsi="Cambria"/>
          <w:sz w:val="24"/>
          <w:szCs w:val="24"/>
        </w:rPr>
      </w:pPr>
      <w:r w:rsidRPr="00F34C5B">
        <w:rPr>
          <w:rFonts w:ascii="Cambria" w:hAnsi="Cambria"/>
          <w:sz w:val="24"/>
          <w:szCs w:val="24"/>
        </w:rPr>
        <w:t>To address the first objective</w:t>
      </w:r>
      <w:r w:rsidR="00317E41">
        <w:rPr>
          <w:rFonts w:ascii="Cambria" w:hAnsi="Cambria"/>
          <w:sz w:val="24"/>
          <w:szCs w:val="24"/>
        </w:rPr>
        <w:t>,</w:t>
      </w:r>
      <w:r w:rsidRPr="00F34C5B">
        <w:rPr>
          <w:rFonts w:ascii="Cambria" w:hAnsi="Cambria"/>
          <w:sz w:val="24"/>
          <w:szCs w:val="24"/>
        </w:rPr>
        <w:t xml:space="preserve"> we calculate the countries</w:t>
      </w:r>
      <w:r w:rsidR="00B24924">
        <w:rPr>
          <w:rFonts w:ascii="Cambria" w:hAnsi="Cambria"/>
          <w:sz w:val="24"/>
          <w:szCs w:val="24"/>
        </w:rPr>
        <w:t>'</w:t>
      </w:r>
      <w:r w:rsidRPr="00F34C5B">
        <w:rPr>
          <w:rFonts w:ascii="Cambria" w:hAnsi="Cambria"/>
          <w:sz w:val="24"/>
          <w:szCs w:val="24"/>
        </w:rPr>
        <w:t xml:space="preserve"> connectiv</w:t>
      </w:r>
      <w:r w:rsidR="00F34C5B" w:rsidRPr="00F34C5B">
        <w:rPr>
          <w:rFonts w:ascii="Cambria" w:hAnsi="Cambria"/>
          <w:sz w:val="24"/>
          <w:szCs w:val="24"/>
        </w:rPr>
        <w:t>i</w:t>
      </w:r>
      <w:r w:rsidRPr="00F34C5B">
        <w:rPr>
          <w:rFonts w:ascii="Cambria" w:hAnsi="Cambria"/>
          <w:sz w:val="24"/>
          <w:szCs w:val="24"/>
        </w:rPr>
        <w:t xml:space="preserve">ty of </w:t>
      </w:r>
      <w:r w:rsidR="00B6501F" w:rsidRPr="00F34C5B">
        <w:rPr>
          <w:rFonts w:ascii="Cambria" w:hAnsi="Cambria"/>
          <w:sz w:val="24"/>
          <w:szCs w:val="24"/>
        </w:rPr>
        <w:t>different order (</w:t>
      </w:r>
      <w:r w:rsidRPr="00F34C5B">
        <w:rPr>
          <w:rFonts w:ascii="Cambria" w:hAnsi="Cambria"/>
          <w:sz w:val="24"/>
          <w:szCs w:val="24"/>
        </w:rPr>
        <w:t xml:space="preserve">first order, second order, and eigenvector) </w:t>
      </w:r>
      <w:r w:rsidR="0004525E">
        <w:rPr>
          <w:rFonts w:ascii="Cambria" w:hAnsi="Cambria"/>
          <w:sz w:val="24"/>
          <w:szCs w:val="24"/>
        </w:rPr>
        <w:t>based on trade intensity/value (</w:t>
      </w:r>
      <m:oMath>
        <m:r>
          <m:rPr>
            <m:sty m:val="bi"/>
          </m:rPr>
          <w:rPr>
            <w:rFonts w:ascii="Cambria Math" w:hAnsi="Cambria Math"/>
            <w:sz w:val="24"/>
            <w:szCs w:val="24"/>
            <w:lang w:val="en-US"/>
          </w:rPr>
          <m:t>IntConnectivit</m:t>
        </m:r>
        <m:sSub>
          <m:sSubPr>
            <m:ctrlPr>
              <w:rPr>
                <w:rFonts w:ascii="Cambria Math" w:hAnsi="Cambria Math"/>
                <w:b/>
                <w:bCs/>
                <w:i/>
                <w:sz w:val="24"/>
                <w:szCs w:val="24"/>
                <w:lang w:val="en-US"/>
              </w:rPr>
            </m:ctrlPr>
          </m:sSubPr>
          <m:e>
            <m:r>
              <m:rPr>
                <m:sty m:val="bi"/>
              </m:rPr>
              <w:rPr>
                <w:rFonts w:ascii="Cambria Math" w:hAnsi="Cambria Math"/>
                <w:sz w:val="24"/>
                <w:szCs w:val="24"/>
                <w:lang w:val="en-US"/>
              </w:rPr>
              <m:t>y</m:t>
            </m:r>
          </m:e>
          <m:sub>
            <m:r>
              <m:rPr>
                <m:sty m:val="bi"/>
              </m:rPr>
              <w:rPr>
                <w:rFonts w:ascii="Cambria Math" w:hAnsi="Cambria Math"/>
                <w:sz w:val="24"/>
                <w:szCs w:val="24"/>
                <w:lang w:val="en-US"/>
              </w:rPr>
              <m:t>it</m:t>
            </m:r>
          </m:sub>
        </m:sSub>
      </m:oMath>
      <w:r w:rsidR="0004525E">
        <w:rPr>
          <w:rFonts w:ascii="Cambria" w:hAnsi="Cambria"/>
          <w:b/>
          <w:bCs/>
          <w:sz w:val="24"/>
          <w:szCs w:val="24"/>
          <w:lang w:val="en-US"/>
        </w:rPr>
        <w:t xml:space="preserve">) </w:t>
      </w:r>
      <w:r w:rsidRPr="00F34C5B">
        <w:rPr>
          <w:rFonts w:ascii="Cambria" w:hAnsi="Cambria"/>
          <w:sz w:val="24"/>
          <w:szCs w:val="24"/>
        </w:rPr>
        <w:t xml:space="preserve">and also </w:t>
      </w:r>
      <w:r w:rsidR="0004525E">
        <w:rPr>
          <w:rFonts w:ascii="Cambria" w:hAnsi="Cambria"/>
          <w:sz w:val="24"/>
          <w:szCs w:val="24"/>
        </w:rPr>
        <w:t>extensive margin of trade, that is the number of trade links per country and prod</w:t>
      </w:r>
      <w:r w:rsidR="00B24924">
        <w:rPr>
          <w:rFonts w:ascii="Cambria" w:hAnsi="Cambria"/>
          <w:sz w:val="24"/>
          <w:szCs w:val="24"/>
        </w:rPr>
        <w:t>uc</w:t>
      </w:r>
      <w:r w:rsidR="0004525E">
        <w:rPr>
          <w:rFonts w:ascii="Cambria" w:hAnsi="Cambria"/>
          <w:sz w:val="24"/>
          <w:szCs w:val="24"/>
        </w:rPr>
        <w:t>t (</w:t>
      </w:r>
      <m:oMath>
        <m:r>
          <m:rPr>
            <m:sty m:val="bi"/>
          </m:rPr>
          <w:rPr>
            <w:rFonts w:ascii="Cambria Math" w:hAnsi="Cambria Math"/>
            <w:sz w:val="24"/>
            <w:szCs w:val="24"/>
            <w:lang w:val="en-US"/>
          </w:rPr>
          <m:t>ExtConnectivit</m:t>
        </m:r>
        <m:sSub>
          <m:sSubPr>
            <m:ctrlPr>
              <w:rPr>
                <w:rFonts w:ascii="Cambria Math" w:hAnsi="Cambria Math"/>
                <w:b/>
                <w:bCs/>
                <w:i/>
                <w:sz w:val="24"/>
                <w:szCs w:val="24"/>
                <w:lang w:val="en-US"/>
              </w:rPr>
            </m:ctrlPr>
          </m:sSubPr>
          <m:e>
            <m:r>
              <m:rPr>
                <m:sty m:val="bi"/>
              </m:rPr>
              <w:rPr>
                <w:rFonts w:ascii="Cambria Math" w:hAnsi="Cambria Math"/>
                <w:sz w:val="24"/>
                <w:szCs w:val="24"/>
                <w:lang w:val="en-US"/>
              </w:rPr>
              <m:t>y</m:t>
            </m:r>
          </m:e>
          <m:sub>
            <m:r>
              <m:rPr>
                <m:sty m:val="bi"/>
              </m:rPr>
              <w:rPr>
                <w:rFonts w:ascii="Cambria Math" w:hAnsi="Cambria Math"/>
                <w:sz w:val="24"/>
                <w:szCs w:val="24"/>
                <w:lang w:val="en-US"/>
              </w:rPr>
              <m:t>it</m:t>
            </m:r>
          </m:sub>
        </m:sSub>
      </m:oMath>
      <w:r w:rsidR="0004525E">
        <w:rPr>
          <w:rFonts w:ascii="Cambria" w:hAnsi="Cambria"/>
          <w:b/>
          <w:bCs/>
          <w:sz w:val="24"/>
          <w:szCs w:val="24"/>
          <w:lang w:val="en-US"/>
        </w:rPr>
        <w:t>)</w:t>
      </w:r>
      <w:r w:rsidRPr="00F34C5B">
        <w:rPr>
          <w:rFonts w:ascii="Cambria" w:hAnsi="Cambria"/>
          <w:sz w:val="24"/>
          <w:szCs w:val="24"/>
        </w:rPr>
        <w:t xml:space="preserve">. </w:t>
      </w:r>
      <w:r w:rsidR="0004525E" w:rsidRPr="0004525E">
        <w:rPr>
          <w:rFonts w:ascii="Cambria" w:hAnsi="Cambria"/>
          <w:sz w:val="24"/>
          <w:szCs w:val="24"/>
        </w:rPr>
        <w:t>We also consider the interaction of the two to inform the impacts of trade connectivity and diversity.</w:t>
      </w:r>
    </w:p>
    <w:p w14:paraId="0E6CB27C" w14:textId="3A31413C" w:rsidR="003A4904" w:rsidRPr="00F34C5B" w:rsidRDefault="003A4904" w:rsidP="00CF781B">
      <w:pPr>
        <w:spacing w:before="120" w:after="120"/>
        <w:jc w:val="both"/>
        <w:rPr>
          <w:rFonts w:ascii="Cambria" w:hAnsi="Cambria"/>
          <w:sz w:val="24"/>
          <w:szCs w:val="24"/>
        </w:rPr>
      </w:pPr>
      <w:r w:rsidRPr="00F34C5B">
        <w:rPr>
          <w:rFonts w:ascii="Cambria" w:hAnsi="Cambria"/>
          <w:sz w:val="24"/>
          <w:szCs w:val="24"/>
        </w:rPr>
        <w:t>To ad</w:t>
      </w:r>
      <w:r w:rsidR="00F34C5B" w:rsidRPr="00F34C5B">
        <w:rPr>
          <w:rFonts w:ascii="Cambria" w:hAnsi="Cambria"/>
          <w:sz w:val="24"/>
          <w:szCs w:val="24"/>
        </w:rPr>
        <w:t>d</w:t>
      </w:r>
      <w:r w:rsidRPr="00F34C5B">
        <w:rPr>
          <w:rFonts w:ascii="Cambria" w:hAnsi="Cambria"/>
          <w:sz w:val="24"/>
          <w:szCs w:val="24"/>
        </w:rPr>
        <w:t>ress th</w:t>
      </w:r>
      <w:r w:rsidR="0004525E">
        <w:rPr>
          <w:rFonts w:ascii="Cambria" w:hAnsi="Cambria"/>
          <w:sz w:val="24"/>
          <w:szCs w:val="24"/>
        </w:rPr>
        <w:t>is</w:t>
      </w:r>
      <w:r w:rsidRPr="00F34C5B">
        <w:rPr>
          <w:rFonts w:ascii="Cambria" w:hAnsi="Cambria"/>
          <w:sz w:val="24"/>
          <w:szCs w:val="24"/>
        </w:rPr>
        <w:t xml:space="preserve"> objective</w:t>
      </w:r>
      <w:r w:rsidR="007D16AD">
        <w:rPr>
          <w:rFonts w:ascii="Cambria" w:hAnsi="Cambria"/>
          <w:sz w:val="24"/>
          <w:szCs w:val="24"/>
        </w:rPr>
        <w:t>,</w:t>
      </w:r>
      <w:r w:rsidRPr="00F34C5B">
        <w:rPr>
          <w:rFonts w:ascii="Cambria" w:hAnsi="Cambria"/>
          <w:sz w:val="24"/>
          <w:szCs w:val="24"/>
        </w:rPr>
        <w:t xml:space="preserve"> we specify the following regression </w:t>
      </w:r>
    </w:p>
    <w:p w14:paraId="48FC3938" w14:textId="32C6840B" w:rsidR="00920A90" w:rsidRPr="00F34C5B" w:rsidRDefault="00920A90" w:rsidP="00CF781B">
      <w:pPr>
        <w:spacing w:before="120" w:after="120"/>
        <w:ind w:left="426" w:right="96"/>
        <w:jc w:val="both"/>
        <w:rPr>
          <w:rFonts w:ascii="Cambria" w:hAnsi="Cambria"/>
          <w:b/>
          <w:bCs/>
          <w:sz w:val="24"/>
          <w:szCs w:val="24"/>
          <w:lang w:val="en-US"/>
        </w:rPr>
      </w:pPr>
      <m:oMath>
        <m:r>
          <m:rPr>
            <m:sty m:val="bi"/>
          </m:rPr>
          <w:rPr>
            <w:rFonts w:ascii="Cambria Math" w:hAnsi="Cambria Math"/>
            <w:sz w:val="24"/>
            <w:szCs w:val="24"/>
            <w:lang w:val="en-US"/>
          </w:rPr>
          <m:t>Nutrition Securit</m:t>
        </m:r>
        <m:sSub>
          <m:sSubPr>
            <m:ctrlPr>
              <w:rPr>
                <w:rFonts w:ascii="Cambria Math" w:hAnsi="Cambria Math"/>
                <w:b/>
                <w:bCs/>
                <w:i/>
                <w:sz w:val="24"/>
                <w:szCs w:val="24"/>
                <w:lang w:val="en-US"/>
              </w:rPr>
            </m:ctrlPr>
          </m:sSubPr>
          <m:e>
            <m:r>
              <m:rPr>
                <m:sty m:val="bi"/>
              </m:rPr>
              <w:rPr>
                <w:rFonts w:ascii="Cambria Math" w:hAnsi="Cambria Math"/>
                <w:sz w:val="24"/>
                <w:szCs w:val="24"/>
                <w:lang w:val="en-US"/>
              </w:rPr>
              <m:t>y</m:t>
            </m:r>
          </m:e>
          <m:sub>
            <m:r>
              <m:rPr>
                <m:sty m:val="bi"/>
              </m:rPr>
              <w:rPr>
                <w:rFonts w:ascii="Cambria Math" w:hAnsi="Cambria Math"/>
                <w:sz w:val="24"/>
                <w:szCs w:val="24"/>
                <w:lang w:val="en-US"/>
              </w:rPr>
              <m:t>it</m:t>
            </m:r>
          </m:sub>
        </m:sSub>
        <m:r>
          <m:rPr>
            <m:sty m:val="bi"/>
          </m:rPr>
          <w:rPr>
            <w:rFonts w:ascii="Cambria Math" w:hAnsi="Cambria Math"/>
            <w:sz w:val="24"/>
            <w:szCs w:val="24"/>
            <w:lang w:val="en-US"/>
          </w:rPr>
          <m:t>=a+</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lang w:val="en-US"/>
          </w:rPr>
          <m:t>IntConnectivit</m:t>
        </m:r>
        <m:sSub>
          <m:sSubPr>
            <m:ctrlPr>
              <w:rPr>
                <w:rFonts w:ascii="Cambria Math" w:hAnsi="Cambria Math"/>
                <w:b/>
                <w:bCs/>
                <w:i/>
                <w:sz w:val="24"/>
                <w:szCs w:val="24"/>
                <w:lang w:val="en-US"/>
              </w:rPr>
            </m:ctrlPr>
          </m:sSubPr>
          <m:e>
            <m:r>
              <m:rPr>
                <m:sty m:val="bi"/>
              </m:rPr>
              <w:rPr>
                <w:rFonts w:ascii="Cambria Math" w:hAnsi="Cambria Math"/>
                <w:sz w:val="24"/>
                <w:szCs w:val="24"/>
                <w:lang w:val="en-US"/>
              </w:rPr>
              <m:t>y</m:t>
            </m:r>
          </m:e>
          <m:sub>
            <m:r>
              <m:rPr>
                <m:sty m:val="bi"/>
              </m:rPr>
              <w:rPr>
                <w:rFonts w:ascii="Cambria Math" w:hAnsi="Cambria Math"/>
                <w:sz w:val="24"/>
                <w:szCs w:val="24"/>
                <w:lang w:val="en-US"/>
              </w:rPr>
              <m:t>it</m:t>
            </m:r>
          </m:sub>
        </m:sSub>
        <m:r>
          <m:rPr>
            <m:sty m:val="bi"/>
          </m:rPr>
          <w:rPr>
            <w:rFonts w:ascii="Cambria Math" w:hAnsi="Cambria Math"/>
            <w:sz w:val="24"/>
            <w:szCs w:val="24"/>
            <w:lang w:val="en-US"/>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lang w:val="en-US"/>
          </w:rPr>
          <m:t xml:space="preserve"> ExtConnectivit</m:t>
        </m:r>
        <m:sSub>
          <m:sSubPr>
            <m:ctrlPr>
              <w:rPr>
                <w:rFonts w:ascii="Cambria Math" w:hAnsi="Cambria Math"/>
                <w:b/>
                <w:bCs/>
                <w:i/>
                <w:sz w:val="24"/>
                <w:szCs w:val="24"/>
                <w:lang w:val="en-US"/>
              </w:rPr>
            </m:ctrlPr>
          </m:sSubPr>
          <m:e>
            <m:r>
              <m:rPr>
                <m:sty m:val="bi"/>
              </m:rPr>
              <w:rPr>
                <w:rFonts w:ascii="Cambria Math" w:hAnsi="Cambria Math"/>
                <w:sz w:val="24"/>
                <w:szCs w:val="24"/>
                <w:lang w:val="en-US"/>
              </w:rPr>
              <m:t>y</m:t>
            </m:r>
          </m:e>
          <m:sub>
            <m:r>
              <m:rPr>
                <m:sty m:val="bi"/>
              </m:rPr>
              <w:rPr>
                <w:rFonts w:ascii="Cambria Math" w:hAnsi="Cambria Math"/>
                <w:sz w:val="24"/>
                <w:szCs w:val="24"/>
                <w:lang w:val="en-US"/>
              </w:rPr>
              <m:t>it</m:t>
            </m:r>
          </m:sub>
        </m:sSub>
        <m:r>
          <m:rPr>
            <m:sty m:val="bi"/>
          </m:rPr>
          <w:rPr>
            <w:rFonts w:ascii="Cambria Math" w:hAnsi="Cambria Math"/>
            <w:sz w:val="24"/>
            <w:szCs w:val="24"/>
            <w:lang w:val="en-US"/>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3</m:t>
            </m:r>
          </m:sub>
        </m:sSub>
        <m:r>
          <m:rPr>
            <m:sty m:val="bi"/>
          </m:rPr>
          <w:rPr>
            <w:rFonts w:ascii="Cambria Math" w:hAnsi="Cambria Math"/>
            <w:sz w:val="24"/>
            <w:szCs w:val="24"/>
          </w:rPr>
          <m:t xml:space="preserve"> </m:t>
        </m:r>
        <m:r>
          <m:rPr>
            <m:sty m:val="bi"/>
          </m:rPr>
          <w:rPr>
            <w:rFonts w:ascii="Cambria Math" w:hAnsi="Cambria Math"/>
            <w:sz w:val="24"/>
            <w:szCs w:val="24"/>
            <w:lang w:val="en-US"/>
          </w:rPr>
          <m:t>Interactio</m:t>
        </m:r>
        <m:sSub>
          <m:sSubPr>
            <m:ctrlPr>
              <w:rPr>
                <w:rFonts w:ascii="Cambria Math" w:hAnsi="Cambria Math"/>
                <w:b/>
                <w:bCs/>
                <w:i/>
                <w:sz w:val="24"/>
                <w:szCs w:val="24"/>
                <w:lang w:val="en-US"/>
              </w:rPr>
            </m:ctrlPr>
          </m:sSubPr>
          <m:e>
            <m:r>
              <m:rPr>
                <m:sty m:val="bi"/>
              </m:rPr>
              <w:rPr>
                <w:rFonts w:ascii="Cambria Math" w:hAnsi="Cambria Math"/>
                <w:sz w:val="24"/>
                <w:szCs w:val="24"/>
                <w:lang w:val="en-US"/>
              </w:rPr>
              <m:t>n</m:t>
            </m:r>
          </m:e>
          <m:sub>
            <m:r>
              <m:rPr>
                <m:sty m:val="bi"/>
              </m:rPr>
              <w:rPr>
                <w:rFonts w:ascii="Cambria Math" w:hAnsi="Cambria Math"/>
                <w:sz w:val="24"/>
                <w:szCs w:val="24"/>
                <w:lang w:val="en-US"/>
              </w:rPr>
              <m:t>it</m:t>
            </m:r>
          </m:sub>
        </m:sSub>
        <m:r>
          <m:rPr>
            <m:sty m:val="bi"/>
          </m:rPr>
          <w:rPr>
            <w:rFonts w:ascii="Cambria Math" w:hAnsi="Cambria Math"/>
            <w:sz w:val="24"/>
            <w:szCs w:val="24"/>
            <w:lang w:val="en-US"/>
          </w:rPr>
          <m:t>+X</m:t>
        </m:r>
        <m:r>
          <m:rPr>
            <m:scr m:val="sans-serif"/>
            <m:sty m:val="bi"/>
          </m:rPr>
          <w:rPr>
            <w:rFonts w:ascii="Cambria Math" w:hAnsi="Cambria Math"/>
            <w:sz w:val="24"/>
            <w:szCs w:val="24"/>
          </w:rPr>
          <m:t>θ</m:t>
        </m:r>
      </m:oMath>
      <w:r w:rsidR="00AA6338" w:rsidRPr="00F34C5B">
        <w:rPr>
          <w:rFonts w:ascii="Cambria" w:hAnsi="Cambria"/>
          <w:b/>
          <w:sz w:val="24"/>
          <w:szCs w:val="24"/>
          <w:lang w:val="en-US"/>
        </w:rPr>
        <w:t xml:space="preserve"> +</w:t>
      </w:r>
      <m:oMath>
        <m:sSub>
          <m:sSubPr>
            <m:ctrlPr>
              <w:rPr>
                <w:rFonts w:ascii="Cambria Math" w:hAnsi="Cambria Math"/>
                <w:b/>
                <w:bCs/>
                <w:i/>
                <w:sz w:val="24"/>
                <w:szCs w:val="24"/>
              </w:rPr>
            </m:ctrlPr>
          </m:sSubPr>
          <m:e>
            <m:r>
              <m:rPr>
                <m:sty m:val="bi"/>
              </m:rPr>
              <w:rPr>
                <w:rFonts w:ascii="Cambria Math" w:hAnsi="Cambria Math"/>
                <w:sz w:val="24"/>
                <w:szCs w:val="24"/>
              </w:rPr>
              <m:t>FE</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FE</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it</m:t>
            </m:r>
          </m:sub>
        </m:sSub>
      </m:oMath>
    </w:p>
    <w:p w14:paraId="325AE391" w14:textId="39839083" w:rsidR="00AC06FC" w:rsidRPr="00AC06FC" w:rsidRDefault="003A4904" w:rsidP="001C5D67">
      <w:pPr>
        <w:spacing w:before="120" w:after="120"/>
        <w:ind w:right="96"/>
        <w:jc w:val="both"/>
        <w:rPr>
          <w:rFonts w:ascii="Cambria" w:hAnsi="Cambria"/>
          <w:sz w:val="24"/>
          <w:szCs w:val="24"/>
          <w:lang w:val="en-US"/>
        </w:rPr>
      </w:pPr>
      <w:r w:rsidRPr="00F34C5B">
        <w:rPr>
          <w:rFonts w:ascii="Cambria" w:hAnsi="Cambria"/>
          <w:sz w:val="24"/>
          <w:szCs w:val="24"/>
          <w:lang w:val="en-US"/>
        </w:rPr>
        <w:t xml:space="preserve">We plan to </w:t>
      </w:r>
      <w:r w:rsidR="0000218C" w:rsidRPr="00F34C5B">
        <w:rPr>
          <w:rFonts w:ascii="Cambria" w:hAnsi="Cambria"/>
          <w:sz w:val="24"/>
          <w:szCs w:val="24"/>
          <w:lang w:val="en-US"/>
        </w:rPr>
        <w:t>apply this regre</w:t>
      </w:r>
      <w:r w:rsidR="00F34C5B" w:rsidRPr="00F34C5B">
        <w:rPr>
          <w:rFonts w:ascii="Cambria" w:hAnsi="Cambria"/>
          <w:sz w:val="24"/>
          <w:szCs w:val="24"/>
          <w:lang w:val="en-US"/>
        </w:rPr>
        <w:t>s</w:t>
      </w:r>
      <w:r w:rsidR="0000218C" w:rsidRPr="00F34C5B">
        <w:rPr>
          <w:rFonts w:ascii="Cambria" w:hAnsi="Cambria"/>
          <w:sz w:val="24"/>
          <w:szCs w:val="24"/>
          <w:lang w:val="en-US"/>
        </w:rPr>
        <w:t xml:space="preserve">sion specification based on </w:t>
      </w:r>
      <w:r w:rsidR="001C5D67">
        <w:rPr>
          <w:rFonts w:ascii="Cambria" w:hAnsi="Cambria"/>
          <w:sz w:val="24"/>
          <w:szCs w:val="24"/>
          <w:lang w:val="en-US"/>
        </w:rPr>
        <w:t>3</w:t>
      </w:r>
      <w:r w:rsidR="0000218C" w:rsidRPr="00F34C5B">
        <w:rPr>
          <w:rFonts w:ascii="Cambria" w:hAnsi="Cambria"/>
          <w:sz w:val="24"/>
          <w:szCs w:val="24"/>
          <w:lang w:val="en-US"/>
        </w:rPr>
        <w:t xml:space="preserve"> measures of connect</w:t>
      </w:r>
      <w:r w:rsidR="00F34C5B" w:rsidRPr="00F34C5B">
        <w:rPr>
          <w:rFonts w:ascii="Cambria" w:hAnsi="Cambria"/>
          <w:sz w:val="24"/>
          <w:szCs w:val="24"/>
          <w:lang w:val="en-US"/>
        </w:rPr>
        <w:t>i</w:t>
      </w:r>
      <w:r w:rsidR="0004525E">
        <w:rPr>
          <w:rFonts w:ascii="Cambria" w:hAnsi="Cambria"/>
          <w:sz w:val="24"/>
          <w:szCs w:val="24"/>
          <w:lang w:val="en-US"/>
        </w:rPr>
        <w:t>vity</w:t>
      </w:r>
      <w:r w:rsidR="001C5D67">
        <w:rPr>
          <w:rFonts w:ascii="Cambria" w:hAnsi="Cambria"/>
          <w:sz w:val="24"/>
          <w:szCs w:val="24"/>
          <w:lang w:val="en-US"/>
        </w:rPr>
        <w:t xml:space="preserve"> from two different trade perspective</w:t>
      </w:r>
      <w:r w:rsidR="00AC06FC">
        <w:rPr>
          <w:rFonts w:ascii="Cambria" w:hAnsi="Cambria"/>
          <w:sz w:val="24"/>
          <w:szCs w:val="24"/>
          <w:lang w:val="en-US"/>
        </w:rPr>
        <w:t xml:space="preserve"> (See </w:t>
      </w:r>
      <w:r w:rsidR="00B24924">
        <w:rPr>
          <w:rFonts w:ascii="Cambria" w:hAnsi="Cambria"/>
          <w:sz w:val="24"/>
          <w:szCs w:val="24"/>
          <w:lang w:val="en-US"/>
        </w:rPr>
        <w:t>T</w:t>
      </w:r>
      <w:r w:rsidR="00AC06FC">
        <w:rPr>
          <w:rFonts w:ascii="Cambria" w:hAnsi="Cambria"/>
          <w:sz w:val="24"/>
          <w:szCs w:val="24"/>
          <w:lang w:val="en-US"/>
        </w:rPr>
        <w:t>able 3</w:t>
      </w:r>
      <w:r w:rsidR="001C5D67">
        <w:rPr>
          <w:rFonts w:ascii="Cambria" w:hAnsi="Cambria"/>
          <w:sz w:val="24"/>
          <w:szCs w:val="24"/>
          <w:lang w:val="en-US"/>
        </w:rPr>
        <w:t>).</w:t>
      </w:r>
      <w:r w:rsidR="00AC06FC">
        <w:rPr>
          <w:rFonts w:ascii="Cambria" w:hAnsi="Cambria"/>
          <w:sz w:val="24"/>
          <w:szCs w:val="24"/>
          <w:lang w:val="en-US"/>
        </w:rPr>
        <w:t xml:space="preserve"> </w:t>
      </w:r>
      <w:r w:rsidR="00AC06FC" w:rsidRPr="00F34C5B">
        <w:rPr>
          <w:rFonts w:ascii="Cambria" w:hAnsi="Cambria"/>
          <w:sz w:val="24"/>
          <w:szCs w:val="24"/>
          <w:lang w:val="en-US"/>
        </w:rPr>
        <w:t xml:space="preserve">Three different orders of connectivity of </w:t>
      </w:r>
      <w:r w:rsidR="00B24924">
        <w:rPr>
          <w:rFonts w:ascii="Cambria" w:hAnsi="Cambria"/>
          <w:sz w:val="24"/>
          <w:szCs w:val="24"/>
          <w:lang w:val="en-US"/>
        </w:rPr>
        <w:t xml:space="preserve">the </w:t>
      </w:r>
      <w:r w:rsidR="00AC06FC" w:rsidRPr="00F34C5B">
        <w:rPr>
          <w:rFonts w:ascii="Cambria" w:hAnsi="Cambria"/>
          <w:sz w:val="24"/>
          <w:szCs w:val="24"/>
          <w:lang w:val="en-US"/>
        </w:rPr>
        <w:t xml:space="preserve">trade network </w:t>
      </w:r>
      <w:r w:rsidR="00AC06FC">
        <w:rPr>
          <w:rFonts w:ascii="Cambria" w:hAnsi="Cambria"/>
          <w:sz w:val="24"/>
          <w:szCs w:val="24"/>
          <w:lang w:val="en-US"/>
        </w:rPr>
        <w:t xml:space="preserve">are once </w:t>
      </w:r>
      <w:r w:rsidR="00AC06FC" w:rsidRPr="00F34C5B">
        <w:rPr>
          <w:rFonts w:ascii="Cambria" w:hAnsi="Cambria"/>
          <w:sz w:val="24"/>
          <w:szCs w:val="24"/>
          <w:lang w:val="en-US"/>
        </w:rPr>
        <w:t>calculated f</w:t>
      </w:r>
      <w:r w:rsidR="00B24924">
        <w:rPr>
          <w:rFonts w:ascii="Cambria" w:hAnsi="Cambria"/>
          <w:sz w:val="24"/>
          <w:szCs w:val="24"/>
          <w:lang w:val="en-US"/>
        </w:rPr>
        <w:t>ro</w:t>
      </w:r>
      <w:r w:rsidR="00AC06FC" w:rsidRPr="00F34C5B">
        <w:rPr>
          <w:rFonts w:ascii="Cambria" w:hAnsi="Cambria"/>
          <w:sz w:val="24"/>
          <w:szCs w:val="24"/>
          <w:lang w:val="en-US"/>
        </w:rPr>
        <w:t xml:space="preserve">m the country product link trade matrix and </w:t>
      </w:r>
      <w:r w:rsidR="00AC06FC">
        <w:rPr>
          <w:rFonts w:ascii="Cambria" w:hAnsi="Cambria"/>
          <w:sz w:val="24"/>
          <w:szCs w:val="24"/>
          <w:lang w:val="en-US"/>
        </w:rPr>
        <w:t xml:space="preserve">once </w:t>
      </w:r>
      <w:r w:rsidR="00AC06FC" w:rsidRPr="00F34C5B">
        <w:rPr>
          <w:rFonts w:ascii="Cambria" w:hAnsi="Cambria"/>
          <w:sz w:val="24"/>
          <w:szCs w:val="24"/>
          <w:lang w:val="en-US"/>
        </w:rPr>
        <w:t>f</w:t>
      </w:r>
      <w:r w:rsidR="00B24924">
        <w:rPr>
          <w:rFonts w:ascii="Cambria" w:hAnsi="Cambria"/>
          <w:sz w:val="24"/>
          <w:szCs w:val="24"/>
          <w:lang w:val="en-US"/>
        </w:rPr>
        <w:t>ro</w:t>
      </w:r>
      <w:r w:rsidR="00AC06FC" w:rsidRPr="00F34C5B">
        <w:rPr>
          <w:rFonts w:ascii="Cambria" w:hAnsi="Cambria"/>
          <w:sz w:val="24"/>
          <w:szCs w:val="24"/>
          <w:lang w:val="en-US"/>
        </w:rPr>
        <w:t xml:space="preserve">m </w:t>
      </w:r>
      <w:r w:rsidR="00B24924">
        <w:rPr>
          <w:rFonts w:ascii="Cambria" w:hAnsi="Cambria"/>
          <w:sz w:val="24"/>
          <w:szCs w:val="24"/>
          <w:lang w:val="en-US"/>
        </w:rPr>
        <w:t xml:space="preserve">the </w:t>
      </w:r>
      <w:r w:rsidR="00AC06FC" w:rsidRPr="00F34C5B">
        <w:rPr>
          <w:rFonts w:ascii="Cambria" w:hAnsi="Cambria"/>
          <w:sz w:val="24"/>
          <w:szCs w:val="24"/>
          <w:lang w:val="en-US"/>
        </w:rPr>
        <w:t>trade intensity network.</w:t>
      </w:r>
      <w:r w:rsidR="00AC06FC">
        <w:rPr>
          <w:rFonts w:ascii="Cambria" w:hAnsi="Cambria"/>
          <w:sz w:val="24"/>
          <w:szCs w:val="24"/>
          <w:lang w:val="en-US"/>
        </w:rPr>
        <w:t xml:space="preserve"> </w:t>
      </w:r>
      <m:oMath>
        <m:r>
          <w:rPr>
            <w:rFonts w:ascii="Cambria Math" w:hAnsi="Cambria Math"/>
            <w:sz w:val="24"/>
            <w:szCs w:val="24"/>
            <w:lang w:val="en-US"/>
          </w:rPr>
          <m:t>IntConnectivit</m:t>
        </m:r>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it</m:t>
            </m:r>
          </m:sub>
        </m:sSub>
      </m:oMath>
      <w:r w:rsidR="00AC06FC">
        <w:rPr>
          <w:rFonts w:ascii="Cambria" w:hAnsi="Cambria"/>
          <w:sz w:val="24"/>
          <w:szCs w:val="24"/>
          <w:lang w:val="en-US"/>
        </w:rPr>
        <w:t xml:space="preserve"> refer</w:t>
      </w:r>
      <w:r w:rsidR="001C5D67">
        <w:rPr>
          <w:rFonts w:ascii="Cambria" w:hAnsi="Cambria"/>
          <w:sz w:val="24"/>
          <w:szCs w:val="24"/>
          <w:lang w:val="en-US"/>
        </w:rPr>
        <w:t>s</w:t>
      </w:r>
      <w:r w:rsidR="00AC06FC">
        <w:rPr>
          <w:rFonts w:ascii="Cambria" w:hAnsi="Cambria"/>
          <w:sz w:val="24"/>
          <w:szCs w:val="24"/>
          <w:lang w:val="en-US"/>
        </w:rPr>
        <w:t xml:space="preserve"> to different orders of </w:t>
      </w:r>
      <w:r w:rsidR="00AC06FC">
        <w:rPr>
          <w:rFonts w:ascii="Cambria" w:hAnsi="Cambria"/>
          <w:sz w:val="24"/>
          <w:szCs w:val="24"/>
          <w:lang w:val="en-US"/>
        </w:rPr>
        <w:lastRenderedPageBreak/>
        <w:t>connect</w:t>
      </w:r>
      <w:r w:rsidR="00B24924">
        <w:rPr>
          <w:rFonts w:ascii="Cambria" w:hAnsi="Cambria"/>
          <w:sz w:val="24"/>
          <w:szCs w:val="24"/>
          <w:lang w:val="en-US"/>
        </w:rPr>
        <w:t>iv</w:t>
      </w:r>
      <w:r w:rsidR="00AC06FC">
        <w:rPr>
          <w:rFonts w:ascii="Cambria" w:hAnsi="Cambria"/>
          <w:sz w:val="24"/>
          <w:szCs w:val="24"/>
          <w:lang w:val="en-US"/>
        </w:rPr>
        <w:t xml:space="preserve">ity </w:t>
      </w:r>
      <w:r w:rsidR="0004525E" w:rsidRPr="00AC06FC">
        <w:rPr>
          <w:rFonts w:ascii="Cambria" w:hAnsi="Cambria"/>
          <w:sz w:val="24"/>
          <w:szCs w:val="24"/>
          <w:lang w:val="en-US"/>
        </w:rPr>
        <w:t>calculated f</w:t>
      </w:r>
      <w:r w:rsidR="00B24924">
        <w:rPr>
          <w:rFonts w:ascii="Cambria" w:hAnsi="Cambria"/>
          <w:sz w:val="24"/>
          <w:szCs w:val="24"/>
          <w:lang w:val="en-US"/>
        </w:rPr>
        <w:t>ro</w:t>
      </w:r>
      <w:r w:rsidR="0004525E" w:rsidRPr="00AC06FC">
        <w:rPr>
          <w:rFonts w:ascii="Cambria" w:hAnsi="Cambria"/>
          <w:sz w:val="24"/>
          <w:szCs w:val="24"/>
          <w:lang w:val="en-US"/>
        </w:rPr>
        <w:t>m the trade intensi</w:t>
      </w:r>
      <w:r w:rsidR="00B24924">
        <w:rPr>
          <w:rFonts w:ascii="Cambria" w:hAnsi="Cambria"/>
          <w:sz w:val="24"/>
          <w:szCs w:val="24"/>
          <w:lang w:val="en-US"/>
        </w:rPr>
        <w:t>t</w:t>
      </w:r>
      <w:r w:rsidR="0004525E" w:rsidRPr="00AC06FC">
        <w:rPr>
          <w:rFonts w:ascii="Cambria" w:hAnsi="Cambria"/>
          <w:sz w:val="24"/>
          <w:szCs w:val="24"/>
          <w:lang w:val="en-US"/>
        </w:rPr>
        <w:t xml:space="preserve">y matrix and </w:t>
      </w:r>
      <m:oMath>
        <m:r>
          <w:rPr>
            <w:rFonts w:ascii="Cambria Math" w:hAnsi="Cambria Math"/>
            <w:sz w:val="24"/>
            <w:szCs w:val="24"/>
            <w:lang w:val="en-US"/>
          </w:rPr>
          <m:t>ExtConnectivit</m:t>
        </m:r>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it</m:t>
            </m:r>
          </m:sub>
        </m:sSub>
      </m:oMath>
      <w:r w:rsidR="00AC06FC" w:rsidRPr="00AC06FC">
        <w:rPr>
          <w:rFonts w:ascii="Cambria" w:hAnsi="Cambria"/>
          <w:sz w:val="24"/>
          <w:szCs w:val="24"/>
          <w:lang w:val="en-US"/>
        </w:rPr>
        <w:t xml:space="preserve"> </w:t>
      </w:r>
      <w:r w:rsidR="00AC06FC">
        <w:rPr>
          <w:rFonts w:ascii="Cambria" w:hAnsi="Cambria"/>
          <w:sz w:val="24"/>
          <w:szCs w:val="24"/>
          <w:lang w:val="en-US"/>
        </w:rPr>
        <w:t>refer to different orders of connectivit</w:t>
      </w:r>
      <w:r w:rsidR="00B24924">
        <w:rPr>
          <w:rFonts w:ascii="Cambria" w:hAnsi="Cambria"/>
          <w:sz w:val="24"/>
          <w:szCs w:val="24"/>
          <w:lang w:val="en-US"/>
        </w:rPr>
        <w:t>y</w:t>
      </w:r>
      <w:r w:rsidR="00AC06FC" w:rsidRPr="00AC06FC">
        <w:rPr>
          <w:rFonts w:ascii="Cambria" w:hAnsi="Cambria"/>
          <w:sz w:val="24"/>
          <w:szCs w:val="24"/>
          <w:lang w:val="en-US"/>
        </w:rPr>
        <w:t xml:space="preserve"> calculated based on the trade links per country and prod</w:t>
      </w:r>
      <w:r w:rsidR="00B24924">
        <w:rPr>
          <w:rFonts w:ascii="Cambria" w:hAnsi="Cambria"/>
          <w:sz w:val="24"/>
          <w:szCs w:val="24"/>
          <w:lang w:val="en-US"/>
        </w:rPr>
        <w:t>uc</w:t>
      </w:r>
      <w:r w:rsidR="00AC06FC" w:rsidRPr="00AC06FC">
        <w:rPr>
          <w:rFonts w:ascii="Cambria" w:hAnsi="Cambria"/>
          <w:sz w:val="24"/>
          <w:szCs w:val="24"/>
          <w:lang w:val="en-US"/>
        </w:rPr>
        <w:t>t.</w:t>
      </w:r>
    </w:p>
    <w:p w14:paraId="1DE5A42E" w14:textId="40C992B9" w:rsidR="003A4904" w:rsidRDefault="001C5D67" w:rsidP="001C5D67">
      <w:pPr>
        <w:spacing w:before="120" w:after="120"/>
        <w:rPr>
          <w:rFonts w:ascii="Cambria" w:hAnsi="Cambria"/>
          <w:sz w:val="24"/>
          <w:szCs w:val="24"/>
          <w:lang w:val="en-US"/>
        </w:rPr>
      </w:pPr>
      <w:r>
        <w:rPr>
          <w:rFonts w:ascii="Cambria" w:hAnsi="Cambria"/>
          <w:b/>
          <w:bCs/>
          <w:sz w:val="24"/>
          <w:szCs w:val="24"/>
          <w:lang w:val="en-US"/>
        </w:rPr>
        <w:t>Table 4</w:t>
      </w:r>
      <w:r>
        <w:rPr>
          <w:rFonts w:ascii="Cambria" w:hAnsi="Cambria"/>
          <w:sz w:val="24"/>
          <w:szCs w:val="24"/>
          <w:lang w:val="en-US"/>
        </w:rPr>
        <w:t>.</w:t>
      </w:r>
      <w:r w:rsidR="0000218C" w:rsidRPr="00F34C5B">
        <w:rPr>
          <w:rFonts w:ascii="Cambria" w:hAnsi="Cambria"/>
          <w:sz w:val="24"/>
          <w:szCs w:val="24"/>
          <w:lang w:val="en-US"/>
        </w:rPr>
        <w:t xml:space="preserve"> </w:t>
      </w:r>
      <w:r>
        <w:rPr>
          <w:rFonts w:ascii="Cambria" w:hAnsi="Cambria"/>
          <w:sz w:val="24"/>
          <w:szCs w:val="24"/>
          <w:lang w:val="en-US"/>
        </w:rPr>
        <w:t xml:space="preserve">Measures of </w:t>
      </w:r>
      <w:proofErr w:type="spellStart"/>
      <w:r>
        <w:rPr>
          <w:rFonts w:ascii="Cambria" w:hAnsi="Cambria"/>
          <w:sz w:val="24"/>
          <w:szCs w:val="24"/>
          <w:lang w:val="en-US"/>
        </w:rPr>
        <w:t>connectvity</w:t>
      </w:r>
      <w:proofErr w:type="spellEnd"/>
    </w:p>
    <w:tbl>
      <w:tblPr>
        <w:tblStyle w:val="TableGrid"/>
        <w:tblW w:w="0" w:type="auto"/>
        <w:tblLook w:val="04A0" w:firstRow="1" w:lastRow="0" w:firstColumn="1" w:lastColumn="0" w:noHBand="0" w:noVBand="1"/>
      </w:tblPr>
      <w:tblGrid>
        <w:gridCol w:w="623"/>
        <w:gridCol w:w="1928"/>
        <w:gridCol w:w="3114"/>
        <w:gridCol w:w="2835"/>
      </w:tblGrid>
      <w:tr w:rsidR="0007294F" w:rsidRPr="0007294F" w14:paraId="10208455" w14:textId="77777777" w:rsidTr="00F34C5B">
        <w:tc>
          <w:tcPr>
            <w:tcW w:w="623" w:type="dxa"/>
            <w:shd w:val="clear" w:color="auto" w:fill="E7E6E6" w:themeFill="background2"/>
          </w:tcPr>
          <w:p w14:paraId="7CB1814F" w14:textId="77777777" w:rsidR="00FD081B" w:rsidRPr="0007294F" w:rsidRDefault="00FD081B" w:rsidP="00CF781B">
            <w:pPr>
              <w:ind w:right="96"/>
              <w:jc w:val="both"/>
              <w:rPr>
                <w:rFonts w:ascii="Cambria" w:hAnsi="Cambria"/>
                <w:b/>
                <w:bCs/>
                <w:sz w:val="28"/>
                <w:szCs w:val="28"/>
                <w:lang w:val="en-US"/>
              </w:rPr>
            </w:pPr>
          </w:p>
        </w:tc>
        <w:tc>
          <w:tcPr>
            <w:tcW w:w="1928" w:type="dxa"/>
            <w:shd w:val="clear" w:color="auto" w:fill="E7E6E6" w:themeFill="background2"/>
          </w:tcPr>
          <w:p w14:paraId="19F36946" w14:textId="5932609E" w:rsidR="00FD081B" w:rsidRPr="0007294F" w:rsidRDefault="00FD081B" w:rsidP="00CF781B">
            <w:pPr>
              <w:ind w:right="96"/>
              <w:jc w:val="both"/>
              <w:rPr>
                <w:rFonts w:ascii="Cambria" w:hAnsi="Cambria"/>
                <w:b/>
                <w:bCs/>
                <w:sz w:val="28"/>
                <w:szCs w:val="28"/>
                <w:lang w:val="en-US"/>
              </w:rPr>
            </w:pPr>
          </w:p>
        </w:tc>
        <w:tc>
          <w:tcPr>
            <w:tcW w:w="5949" w:type="dxa"/>
            <w:gridSpan w:val="2"/>
            <w:shd w:val="clear" w:color="auto" w:fill="E7E6E6" w:themeFill="background2"/>
          </w:tcPr>
          <w:p w14:paraId="4E6A38F3" w14:textId="5CFF3186" w:rsidR="00FD081B" w:rsidRPr="0007294F" w:rsidRDefault="00FD081B" w:rsidP="00CF781B">
            <w:pPr>
              <w:ind w:right="96"/>
              <w:jc w:val="both"/>
              <w:rPr>
                <w:rFonts w:ascii="Cambria" w:hAnsi="Cambria"/>
                <w:b/>
                <w:bCs/>
                <w:sz w:val="28"/>
                <w:szCs w:val="28"/>
                <w:lang w:val="en-US"/>
              </w:rPr>
            </w:pPr>
            <w:r w:rsidRPr="0007294F">
              <w:rPr>
                <w:rFonts w:ascii="Cambria" w:hAnsi="Cambria"/>
                <w:b/>
                <w:bCs/>
                <w:sz w:val="24"/>
                <w:szCs w:val="24"/>
                <w:lang w:val="en-US"/>
              </w:rPr>
              <w:t>Trade network</w:t>
            </w:r>
          </w:p>
        </w:tc>
      </w:tr>
      <w:tr w:rsidR="0007294F" w:rsidRPr="00F34C5B" w14:paraId="3E676BE8" w14:textId="77777777" w:rsidTr="00F34C5B">
        <w:tc>
          <w:tcPr>
            <w:tcW w:w="623" w:type="dxa"/>
            <w:shd w:val="clear" w:color="auto" w:fill="E7E6E6" w:themeFill="background2"/>
            <w:vAlign w:val="center"/>
          </w:tcPr>
          <w:p w14:paraId="559196DE" w14:textId="77777777" w:rsidR="00FD081B" w:rsidRPr="00F34C5B" w:rsidRDefault="00FD081B" w:rsidP="00CF781B">
            <w:pPr>
              <w:ind w:right="96"/>
              <w:jc w:val="both"/>
              <w:rPr>
                <w:rFonts w:ascii="Cambria" w:hAnsi="Cambria"/>
                <w:b/>
                <w:bCs/>
                <w:sz w:val="24"/>
                <w:szCs w:val="24"/>
                <w:lang w:val="en-US"/>
              </w:rPr>
            </w:pPr>
          </w:p>
        </w:tc>
        <w:tc>
          <w:tcPr>
            <w:tcW w:w="1928" w:type="dxa"/>
            <w:shd w:val="clear" w:color="auto" w:fill="E7E6E6" w:themeFill="background2"/>
            <w:vAlign w:val="center"/>
          </w:tcPr>
          <w:p w14:paraId="149CCC10" w14:textId="5564BF11" w:rsidR="00FD081B" w:rsidRPr="00F34C5B" w:rsidRDefault="00FD081B" w:rsidP="00CF781B">
            <w:pPr>
              <w:jc w:val="both"/>
              <w:rPr>
                <w:rFonts w:ascii="Cambria" w:hAnsi="Cambria"/>
                <w:b/>
                <w:bCs/>
                <w:sz w:val="24"/>
                <w:szCs w:val="24"/>
                <w:lang w:val="en-US"/>
              </w:rPr>
            </w:pPr>
            <w:r w:rsidRPr="00F34C5B">
              <w:rPr>
                <w:rFonts w:ascii="Cambria" w:hAnsi="Cambria"/>
                <w:b/>
                <w:bCs/>
                <w:sz w:val="24"/>
                <w:szCs w:val="24"/>
                <w:lang w:val="en-US"/>
              </w:rPr>
              <w:t>Connect</w:t>
            </w:r>
            <w:r w:rsidR="002F5969" w:rsidRPr="00F34C5B">
              <w:rPr>
                <w:rFonts w:ascii="Cambria" w:hAnsi="Cambria"/>
                <w:b/>
                <w:bCs/>
                <w:sz w:val="24"/>
                <w:szCs w:val="24"/>
                <w:lang w:val="en-US"/>
              </w:rPr>
              <w:t>i</w:t>
            </w:r>
            <w:r w:rsidRPr="00F34C5B">
              <w:rPr>
                <w:rFonts w:ascii="Cambria" w:hAnsi="Cambria"/>
                <w:b/>
                <w:bCs/>
                <w:sz w:val="24"/>
                <w:szCs w:val="24"/>
                <w:lang w:val="en-US"/>
              </w:rPr>
              <w:t xml:space="preserve">vity measures </w:t>
            </w:r>
          </w:p>
        </w:tc>
        <w:tc>
          <w:tcPr>
            <w:tcW w:w="3114" w:type="dxa"/>
            <w:shd w:val="clear" w:color="auto" w:fill="E7E6E6" w:themeFill="background2"/>
            <w:vAlign w:val="center"/>
          </w:tcPr>
          <w:p w14:paraId="5E4D318A" w14:textId="2EF6C3D6" w:rsidR="00FD081B" w:rsidRPr="00F34C5B" w:rsidRDefault="00FD081B" w:rsidP="00CF781B">
            <w:pPr>
              <w:ind w:right="96"/>
              <w:jc w:val="both"/>
              <w:rPr>
                <w:rFonts w:ascii="Cambria" w:hAnsi="Cambria"/>
                <w:b/>
                <w:bCs/>
                <w:sz w:val="24"/>
                <w:szCs w:val="24"/>
                <w:lang w:val="en-US"/>
              </w:rPr>
            </w:pPr>
            <w:r w:rsidRPr="00F34C5B">
              <w:rPr>
                <w:rFonts w:ascii="Cambria" w:hAnsi="Cambria"/>
                <w:b/>
                <w:bCs/>
                <w:sz w:val="24"/>
                <w:szCs w:val="24"/>
                <w:lang w:val="en-US"/>
              </w:rPr>
              <w:t>Trade links (per country</w:t>
            </w:r>
            <w:r w:rsidR="0007294F" w:rsidRPr="00F34C5B">
              <w:rPr>
                <w:rFonts w:ascii="Cambria" w:hAnsi="Cambria"/>
                <w:b/>
                <w:bCs/>
                <w:sz w:val="24"/>
                <w:szCs w:val="24"/>
                <w:lang w:val="en-US"/>
              </w:rPr>
              <w:t xml:space="preserve"> </w:t>
            </w:r>
            <w:r w:rsidRPr="00F34C5B">
              <w:rPr>
                <w:rFonts w:ascii="Cambria" w:hAnsi="Cambria"/>
                <w:b/>
                <w:bCs/>
                <w:sz w:val="24"/>
                <w:szCs w:val="24"/>
                <w:lang w:val="en-US"/>
              </w:rPr>
              <w:t>and produ</w:t>
            </w:r>
            <w:r w:rsidR="0007294F" w:rsidRPr="00F34C5B">
              <w:rPr>
                <w:rFonts w:ascii="Cambria" w:hAnsi="Cambria"/>
                <w:b/>
                <w:bCs/>
                <w:sz w:val="24"/>
                <w:szCs w:val="24"/>
                <w:lang w:val="en-US"/>
              </w:rPr>
              <w:t>c</w:t>
            </w:r>
            <w:r w:rsidRPr="00F34C5B">
              <w:rPr>
                <w:rFonts w:ascii="Cambria" w:hAnsi="Cambria"/>
                <w:b/>
                <w:bCs/>
                <w:sz w:val="24"/>
                <w:szCs w:val="24"/>
                <w:lang w:val="en-US"/>
              </w:rPr>
              <w:t>t)</w:t>
            </w:r>
          </w:p>
        </w:tc>
        <w:tc>
          <w:tcPr>
            <w:tcW w:w="2835" w:type="dxa"/>
            <w:shd w:val="clear" w:color="auto" w:fill="E7E6E6" w:themeFill="background2"/>
            <w:vAlign w:val="center"/>
          </w:tcPr>
          <w:p w14:paraId="52727005" w14:textId="1D9C12D4" w:rsidR="00FD081B" w:rsidRPr="00F34C5B" w:rsidRDefault="00FD081B" w:rsidP="00CF781B">
            <w:pPr>
              <w:ind w:right="96"/>
              <w:jc w:val="both"/>
              <w:rPr>
                <w:rFonts w:ascii="Cambria" w:hAnsi="Cambria"/>
                <w:b/>
                <w:bCs/>
                <w:sz w:val="24"/>
                <w:szCs w:val="24"/>
                <w:lang w:val="en-US"/>
              </w:rPr>
            </w:pPr>
            <w:r w:rsidRPr="00F34C5B">
              <w:rPr>
                <w:rFonts w:ascii="Cambria" w:hAnsi="Cambria"/>
                <w:b/>
                <w:bCs/>
                <w:sz w:val="24"/>
                <w:szCs w:val="24"/>
                <w:lang w:val="en-US"/>
              </w:rPr>
              <w:t>Trade Intensity (per country)</w:t>
            </w:r>
          </w:p>
        </w:tc>
      </w:tr>
      <w:tr w:rsidR="0007294F" w:rsidRPr="00F34C5B" w14:paraId="1C24D613" w14:textId="77777777" w:rsidTr="002957A0">
        <w:trPr>
          <w:trHeight w:val="469"/>
        </w:trPr>
        <w:tc>
          <w:tcPr>
            <w:tcW w:w="623" w:type="dxa"/>
            <w:vMerge w:val="restart"/>
            <w:textDirection w:val="tbRl"/>
          </w:tcPr>
          <w:p w14:paraId="6B04BAB0" w14:textId="1A5255B1" w:rsidR="00FD081B" w:rsidRPr="00F34C5B" w:rsidRDefault="00FD081B" w:rsidP="00CF781B">
            <w:pPr>
              <w:ind w:left="113" w:right="96"/>
              <w:rPr>
                <w:rFonts w:ascii="Cambria" w:hAnsi="Cambria"/>
                <w:sz w:val="18"/>
                <w:szCs w:val="18"/>
                <w:lang w:val="en-US"/>
              </w:rPr>
            </w:pPr>
            <w:r w:rsidRPr="00F34C5B">
              <w:rPr>
                <w:rFonts w:ascii="Cambria" w:hAnsi="Cambria"/>
                <w:sz w:val="18"/>
                <w:szCs w:val="18"/>
                <w:lang w:val="en-US"/>
              </w:rPr>
              <w:t>Order of connectiv</w:t>
            </w:r>
            <w:r w:rsidR="00F34C5B">
              <w:rPr>
                <w:rFonts w:ascii="Cambria" w:hAnsi="Cambria"/>
                <w:sz w:val="18"/>
                <w:szCs w:val="18"/>
                <w:lang w:val="en-US"/>
              </w:rPr>
              <w:t>ity</w:t>
            </w:r>
          </w:p>
        </w:tc>
        <w:tc>
          <w:tcPr>
            <w:tcW w:w="1928" w:type="dxa"/>
          </w:tcPr>
          <w:p w14:paraId="20A385AA" w14:textId="4D55AE18" w:rsidR="00FD081B" w:rsidRPr="00F34C5B" w:rsidRDefault="00FD081B" w:rsidP="00CF781B">
            <w:pPr>
              <w:ind w:right="96"/>
              <w:jc w:val="both"/>
              <w:rPr>
                <w:rFonts w:ascii="Cambria" w:hAnsi="Cambria"/>
                <w:sz w:val="24"/>
                <w:szCs w:val="24"/>
                <w:lang w:val="en-US"/>
              </w:rPr>
            </w:pPr>
            <w:r w:rsidRPr="00F34C5B">
              <w:rPr>
                <w:rFonts w:ascii="Cambria" w:hAnsi="Cambria"/>
                <w:sz w:val="24"/>
                <w:szCs w:val="24"/>
                <w:lang w:val="en-US"/>
              </w:rPr>
              <w:t>First order</w:t>
            </w:r>
          </w:p>
        </w:tc>
        <w:tc>
          <w:tcPr>
            <w:tcW w:w="3114" w:type="dxa"/>
          </w:tcPr>
          <w:p w14:paraId="3C4B9131" w14:textId="3220F0F8" w:rsidR="00FD081B" w:rsidRPr="00F34C5B" w:rsidRDefault="00FD081B" w:rsidP="00CF781B">
            <w:pPr>
              <w:ind w:right="96"/>
              <w:jc w:val="both"/>
              <w:rPr>
                <w:rFonts w:ascii="Cambria" w:hAnsi="Cambria"/>
                <w:sz w:val="24"/>
                <w:szCs w:val="24"/>
                <w:lang w:val="en-US"/>
              </w:rPr>
            </w:pPr>
          </w:p>
        </w:tc>
        <w:tc>
          <w:tcPr>
            <w:tcW w:w="2835" w:type="dxa"/>
          </w:tcPr>
          <w:p w14:paraId="3A0DD4C0" w14:textId="0D55DD8C" w:rsidR="00FD081B" w:rsidRPr="00F34C5B" w:rsidRDefault="00FD081B" w:rsidP="00CF781B">
            <w:pPr>
              <w:ind w:right="96"/>
              <w:jc w:val="both"/>
              <w:rPr>
                <w:rFonts w:ascii="Cambria" w:hAnsi="Cambria"/>
                <w:sz w:val="24"/>
                <w:szCs w:val="24"/>
                <w:lang w:val="en-US"/>
              </w:rPr>
            </w:pPr>
          </w:p>
        </w:tc>
      </w:tr>
      <w:tr w:rsidR="0007294F" w:rsidRPr="00F34C5B" w14:paraId="46B2E316" w14:textId="77777777" w:rsidTr="002957A0">
        <w:trPr>
          <w:trHeight w:val="419"/>
        </w:trPr>
        <w:tc>
          <w:tcPr>
            <w:tcW w:w="623" w:type="dxa"/>
            <w:vMerge/>
          </w:tcPr>
          <w:p w14:paraId="192F91B2" w14:textId="77777777" w:rsidR="00FD081B" w:rsidRPr="00F34C5B" w:rsidRDefault="00FD081B" w:rsidP="00CF781B">
            <w:pPr>
              <w:ind w:right="96"/>
              <w:jc w:val="both"/>
              <w:rPr>
                <w:rFonts w:ascii="Cambria" w:hAnsi="Cambria"/>
                <w:sz w:val="18"/>
                <w:szCs w:val="18"/>
                <w:lang w:val="en-US"/>
              </w:rPr>
            </w:pPr>
          </w:p>
        </w:tc>
        <w:tc>
          <w:tcPr>
            <w:tcW w:w="1928" w:type="dxa"/>
          </w:tcPr>
          <w:p w14:paraId="4C355A0A" w14:textId="2F7AE853" w:rsidR="00FD081B" w:rsidRPr="00F34C5B" w:rsidRDefault="00FD081B" w:rsidP="00CF781B">
            <w:pPr>
              <w:ind w:right="96"/>
              <w:jc w:val="both"/>
              <w:rPr>
                <w:rFonts w:ascii="Cambria" w:hAnsi="Cambria"/>
                <w:sz w:val="24"/>
                <w:szCs w:val="24"/>
                <w:lang w:val="en-US"/>
              </w:rPr>
            </w:pPr>
            <w:r w:rsidRPr="00F34C5B">
              <w:rPr>
                <w:rFonts w:ascii="Cambria" w:hAnsi="Cambria"/>
                <w:sz w:val="24"/>
                <w:szCs w:val="24"/>
                <w:lang w:val="en-US"/>
              </w:rPr>
              <w:t>Second order</w:t>
            </w:r>
          </w:p>
        </w:tc>
        <w:tc>
          <w:tcPr>
            <w:tcW w:w="3114" w:type="dxa"/>
          </w:tcPr>
          <w:p w14:paraId="35CC01E2" w14:textId="221A14B1" w:rsidR="00FD081B" w:rsidRPr="00F34C5B" w:rsidRDefault="00FD081B" w:rsidP="00CF781B">
            <w:pPr>
              <w:ind w:right="96"/>
              <w:jc w:val="both"/>
              <w:rPr>
                <w:rFonts w:ascii="Cambria" w:hAnsi="Cambria"/>
                <w:sz w:val="24"/>
                <w:szCs w:val="24"/>
                <w:lang w:val="en-US"/>
              </w:rPr>
            </w:pPr>
          </w:p>
        </w:tc>
        <w:tc>
          <w:tcPr>
            <w:tcW w:w="2835" w:type="dxa"/>
          </w:tcPr>
          <w:p w14:paraId="6E71032E" w14:textId="34C91AE8" w:rsidR="00FD081B" w:rsidRPr="00F34C5B" w:rsidRDefault="00FD081B" w:rsidP="00CF781B">
            <w:pPr>
              <w:ind w:right="96"/>
              <w:jc w:val="both"/>
              <w:rPr>
                <w:rFonts w:ascii="Cambria" w:hAnsi="Cambria"/>
                <w:sz w:val="24"/>
                <w:szCs w:val="24"/>
                <w:lang w:val="en-US"/>
              </w:rPr>
            </w:pPr>
          </w:p>
        </w:tc>
      </w:tr>
      <w:tr w:rsidR="002F5969" w:rsidRPr="00F34C5B" w14:paraId="23AC5F55" w14:textId="77777777" w:rsidTr="002957A0">
        <w:trPr>
          <w:trHeight w:val="411"/>
        </w:trPr>
        <w:tc>
          <w:tcPr>
            <w:tcW w:w="623" w:type="dxa"/>
            <w:vMerge/>
          </w:tcPr>
          <w:p w14:paraId="645F0BBD" w14:textId="77777777" w:rsidR="00FD081B" w:rsidRPr="00F34C5B" w:rsidRDefault="00FD081B" w:rsidP="00CF781B">
            <w:pPr>
              <w:ind w:right="96"/>
              <w:jc w:val="both"/>
              <w:rPr>
                <w:rFonts w:ascii="Cambria" w:hAnsi="Cambria"/>
                <w:sz w:val="18"/>
                <w:szCs w:val="18"/>
                <w:lang w:val="en-US"/>
              </w:rPr>
            </w:pPr>
          </w:p>
        </w:tc>
        <w:tc>
          <w:tcPr>
            <w:tcW w:w="1928" w:type="dxa"/>
          </w:tcPr>
          <w:p w14:paraId="57BE8C1F" w14:textId="50F50F76" w:rsidR="00FD081B" w:rsidRPr="00F34C5B" w:rsidRDefault="00FD081B" w:rsidP="00CF781B">
            <w:pPr>
              <w:ind w:right="96"/>
              <w:jc w:val="both"/>
              <w:rPr>
                <w:rFonts w:ascii="Cambria" w:hAnsi="Cambria"/>
                <w:sz w:val="24"/>
                <w:szCs w:val="24"/>
                <w:lang w:val="en-US"/>
              </w:rPr>
            </w:pPr>
            <w:r w:rsidRPr="00F34C5B">
              <w:rPr>
                <w:rFonts w:ascii="Cambria" w:hAnsi="Cambria"/>
                <w:sz w:val="24"/>
                <w:szCs w:val="24"/>
                <w:lang w:val="en-US"/>
              </w:rPr>
              <w:t>Eigenvector</w:t>
            </w:r>
          </w:p>
        </w:tc>
        <w:tc>
          <w:tcPr>
            <w:tcW w:w="3114" w:type="dxa"/>
          </w:tcPr>
          <w:p w14:paraId="4412715B" w14:textId="431A538B" w:rsidR="00FD081B" w:rsidRPr="00F34C5B" w:rsidRDefault="00FD081B" w:rsidP="00CF781B">
            <w:pPr>
              <w:ind w:right="96"/>
              <w:jc w:val="both"/>
              <w:rPr>
                <w:rFonts w:ascii="Cambria" w:hAnsi="Cambria"/>
                <w:sz w:val="24"/>
                <w:szCs w:val="24"/>
                <w:lang w:val="en-US"/>
              </w:rPr>
            </w:pPr>
          </w:p>
        </w:tc>
        <w:tc>
          <w:tcPr>
            <w:tcW w:w="2835" w:type="dxa"/>
          </w:tcPr>
          <w:p w14:paraId="12937FB6" w14:textId="5D989F0B" w:rsidR="00FD081B" w:rsidRPr="00F34C5B" w:rsidRDefault="00FD081B" w:rsidP="00CF781B">
            <w:pPr>
              <w:ind w:right="96"/>
              <w:jc w:val="both"/>
              <w:rPr>
                <w:rFonts w:ascii="Cambria" w:hAnsi="Cambria"/>
                <w:sz w:val="24"/>
                <w:szCs w:val="24"/>
                <w:lang w:val="en-US"/>
              </w:rPr>
            </w:pPr>
          </w:p>
        </w:tc>
      </w:tr>
    </w:tbl>
    <w:p w14:paraId="379A972A" w14:textId="1D6A16A3" w:rsidR="000D5BDC" w:rsidRPr="002957A0" w:rsidRDefault="000D5BDC" w:rsidP="001C5D67">
      <w:pPr>
        <w:spacing w:before="120" w:after="120"/>
        <w:ind w:right="96"/>
        <w:jc w:val="both"/>
        <w:rPr>
          <w:rFonts w:ascii="Cambria" w:hAnsi="Cambria"/>
          <w:sz w:val="24"/>
          <w:szCs w:val="24"/>
        </w:rPr>
      </w:pPr>
      <w:r w:rsidRPr="002957A0">
        <w:rPr>
          <w:rFonts w:ascii="Cambria" w:hAnsi="Cambria"/>
          <w:sz w:val="24"/>
          <w:szCs w:val="24"/>
        </w:rPr>
        <w:t xml:space="preserve">The control variables </w:t>
      </w:r>
      <w:r w:rsidR="005952D4">
        <w:rPr>
          <w:rFonts w:ascii="Cambria" w:hAnsi="Cambria"/>
          <w:sz w:val="24"/>
          <w:szCs w:val="24"/>
        </w:rPr>
        <w:t>(</w:t>
      </w:r>
      <w:r w:rsidR="005952D4" w:rsidRPr="005952D4">
        <w:rPr>
          <w:rFonts w:ascii="Cambria" w:hAnsi="Cambria"/>
          <w:b/>
          <w:bCs/>
          <w:sz w:val="24"/>
          <w:szCs w:val="24"/>
        </w:rPr>
        <w:t>X</w:t>
      </w:r>
      <w:r w:rsidR="005952D4">
        <w:rPr>
          <w:rFonts w:ascii="Cambria" w:hAnsi="Cambria"/>
          <w:sz w:val="24"/>
          <w:szCs w:val="24"/>
        </w:rPr>
        <w:t xml:space="preserve">) </w:t>
      </w:r>
      <w:r w:rsidRPr="002957A0">
        <w:rPr>
          <w:rFonts w:ascii="Cambria" w:hAnsi="Cambria"/>
          <w:sz w:val="24"/>
          <w:szCs w:val="24"/>
        </w:rPr>
        <w:t xml:space="preserve">that can be used </w:t>
      </w:r>
      <w:r w:rsidR="001C5D67">
        <w:rPr>
          <w:rFonts w:ascii="Cambria" w:hAnsi="Cambria"/>
          <w:sz w:val="24"/>
          <w:szCs w:val="24"/>
        </w:rPr>
        <w:t>are:</w:t>
      </w:r>
    </w:p>
    <w:p w14:paraId="27D80178" w14:textId="19986C3C" w:rsidR="008115D9" w:rsidRPr="00772F77" w:rsidRDefault="008115D9" w:rsidP="001C5D67">
      <w:pPr>
        <w:spacing w:before="120" w:after="120"/>
        <w:ind w:right="96"/>
        <w:jc w:val="both"/>
        <w:rPr>
          <w:rFonts w:ascii="Cambria" w:hAnsi="Cambria"/>
          <w:sz w:val="24"/>
          <w:szCs w:val="24"/>
        </w:rPr>
      </w:pPr>
      <w:r w:rsidRPr="001C5D67">
        <w:rPr>
          <w:rFonts w:ascii="Cambria" w:hAnsi="Cambria"/>
          <w:b/>
          <w:bCs/>
          <w:sz w:val="24"/>
          <w:szCs w:val="24"/>
        </w:rPr>
        <w:t>GDP per capita:</w:t>
      </w:r>
      <w:r w:rsidRPr="001C5D67">
        <w:rPr>
          <w:rFonts w:ascii="Cambria" w:hAnsi="Cambria"/>
          <w:sz w:val="24"/>
          <w:szCs w:val="24"/>
        </w:rPr>
        <w:t xml:space="preserve"> GDP per capita is often used as an indicator of a country's economic well-being, and it can have implications for factors such as food affordability, access to healthcare, and overall living standards, which in turn can affect nutritional </w:t>
      </w:r>
      <w:proofErr w:type="gramStart"/>
      <w:r w:rsidRPr="001C5D67">
        <w:rPr>
          <w:rFonts w:ascii="Cambria" w:hAnsi="Cambria"/>
          <w:sz w:val="24"/>
          <w:szCs w:val="24"/>
        </w:rPr>
        <w:t>security</w:t>
      </w:r>
      <w:r w:rsidR="001C5D67" w:rsidRPr="001C5D67">
        <w:rPr>
          <w:rFonts w:ascii="Cambria" w:hAnsi="Cambria"/>
          <w:sz w:val="24"/>
          <w:szCs w:val="24"/>
        </w:rPr>
        <w:t xml:space="preserve">  (</w:t>
      </w:r>
      <w:proofErr w:type="gramEnd"/>
      <w:r w:rsidR="001C5D67" w:rsidRPr="001C5D67">
        <w:rPr>
          <w:rFonts w:ascii="Cambria" w:hAnsi="Cambria"/>
          <w:i/>
          <w:iCs/>
          <w:sz w:val="24"/>
          <w:szCs w:val="24"/>
        </w:rPr>
        <w:t>Reference:</w:t>
      </w:r>
      <w:r w:rsidR="001C5D67" w:rsidRPr="001C5D67">
        <w:rPr>
          <w:rFonts w:ascii="Cambria" w:hAnsi="Cambria"/>
          <w:sz w:val="24"/>
          <w:szCs w:val="24"/>
        </w:rPr>
        <w:t xml:space="preserve"> </w:t>
      </w:r>
      <w:bookmarkStart w:id="7" w:name="_Hlk154052028"/>
      <w:r w:rsidR="001C5D67" w:rsidRPr="001C5D67">
        <w:rPr>
          <w:rFonts w:ascii="Cambria" w:hAnsi="Cambria"/>
          <w:sz w:val="24"/>
          <w:szCs w:val="24"/>
        </w:rPr>
        <w:t>Explaining Child Malnutrition in Developing Countries: A Cross- Country Analysis</w:t>
      </w:r>
      <w:bookmarkEnd w:id="7"/>
      <w:r w:rsidR="001C5D67">
        <w:rPr>
          <w:rFonts w:ascii="Cambria" w:hAnsi="Cambria"/>
          <w:sz w:val="24"/>
          <w:szCs w:val="24"/>
        </w:rPr>
        <w:t>)</w:t>
      </w:r>
      <w:r w:rsidRPr="00772F77">
        <w:rPr>
          <w:rFonts w:ascii="Cambria" w:hAnsi="Cambria"/>
          <w:sz w:val="24"/>
          <w:szCs w:val="24"/>
        </w:rPr>
        <w:t>.</w:t>
      </w:r>
    </w:p>
    <w:p w14:paraId="6CF6E818" w14:textId="6600D57B" w:rsidR="001F1CDB" w:rsidRDefault="001F1CDB" w:rsidP="001C5D67">
      <w:pPr>
        <w:spacing w:before="120" w:after="120"/>
        <w:ind w:right="96"/>
        <w:jc w:val="both"/>
        <w:rPr>
          <w:rFonts w:ascii="Cambria" w:hAnsi="Cambria"/>
          <w:sz w:val="24"/>
          <w:szCs w:val="24"/>
        </w:rPr>
      </w:pPr>
      <w:r w:rsidRPr="00772F77">
        <w:rPr>
          <w:rFonts w:ascii="Cambria" w:hAnsi="Cambria"/>
          <w:b/>
          <w:bCs/>
          <w:sz w:val="24"/>
          <w:szCs w:val="24"/>
        </w:rPr>
        <w:t>Democracy of a country:</w:t>
      </w:r>
      <w:r w:rsidRPr="00772F77">
        <w:rPr>
          <w:rFonts w:ascii="Cambria" w:hAnsi="Cambria"/>
          <w:sz w:val="24"/>
          <w:szCs w:val="24"/>
        </w:rPr>
        <w:t xml:space="preserve"> We account for the political context within which child malnutrition is determined by using democracy as an indicator. As for national income, we hypothesize that democracy plays a facilitating role in all of the underlying factors considered. The more democratic a government</w:t>
      </w:r>
      <w:r w:rsidR="00B24924">
        <w:rPr>
          <w:rFonts w:ascii="Cambria" w:hAnsi="Cambria"/>
          <w:sz w:val="24"/>
          <w:szCs w:val="24"/>
        </w:rPr>
        <w:t xml:space="preserve"> is</w:t>
      </w:r>
      <w:r w:rsidRPr="00772F77">
        <w:rPr>
          <w:rFonts w:ascii="Cambria" w:hAnsi="Cambria"/>
          <w:sz w:val="24"/>
          <w:szCs w:val="24"/>
        </w:rPr>
        <w:t xml:space="preserve">, the greater the percentage of government revenues that may be spent on education, health services, and income redistribution. A more democratic government may also be more likely to respond </w:t>
      </w:r>
      <w:r w:rsidR="00B24924">
        <w:rPr>
          <w:rFonts w:ascii="Cambria" w:hAnsi="Cambria"/>
          <w:sz w:val="24"/>
          <w:szCs w:val="24"/>
        </w:rPr>
        <w:t xml:space="preserve">to </w:t>
      </w:r>
      <w:r w:rsidRPr="00772F77">
        <w:rPr>
          <w:rFonts w:ascii="Cambria" w:hAnsi="Cambria"/>
          <w:sz w:val="24"/>
          <w:szCs w:val="24"/>
        </w:rPr>
        <w:t xml:space="preserve">the needs of all of its citizens, women's and well as men's, indirectly promoting women's relative status. With respect to food security, the work of </w:t>
      </w:r>
      <w:r w:rsidR="000D5AD0" w:rsidRPr="00772F77">
        <w:rPr>
          <w:rFonts w:ascii="Cambria" w:hAnsi="Cambria"/>
          <w:sz w:val="24"/>
          <w:szCs w:val="24"/>
        </w:rPr>
        <w:fldChar w:fldCharType="begin"/>
      </w:r>
      <w:r w:rsidR="000D5AD0" w:rsidRPr="00772F77">
        <w:rPr>
          <w:rFonts w:ascii="Cambria" w:hAnsi="Cambria"/>
          <w:sz w:val="24"/>
          <w:szCs w:val="24"/>
        </w:rPr>
        <w:instrText xml:space="preserve"> ADDIN ZOTERO_ITEM CSL_CITATION {"citationID":"bVOZdzg0","properties":{"formattedCitation":"(Dr\\uc0\\u232{}ze and Sen, 1991)","plainCitation":"(Drèze and Sen, 1991)","noteIndex":0},"citationItems":[{"id":1531,"uris":["http://zotero.org/users/12902950/items/EXJVMCVP"],"itemData":{"id":1531,"type":"book","abstract":"This book analyses the role of public action in solving the problem of hunger in the modern world and is divided into four parts: Hunger in the modern world, Famines, Undernutrition and deprivation, and Hunger and public action","event-place":"Oxford","ISBN":"978-0-19-159619-3","language":"eng","note":"OCLC: 1063786868","publisher":"Clarendon","publisher-place":"Oxford","source":"Open WorldCat","title":"Hunger and public action","author":[{"family":"Drèze","given":"Jean"},{"family":"Sen","given":"Amartya"}],"issued":{"date-parts":[["1991"]]}}}],"schema":"https://github.com/citation-style-language/schema/raw/master/csl-citation.json"} </w:instrText>
      </w:r>
      <w:r w:rsidR="000D5AD0" w:rsidRPr="00772F77">
        <w:rPr>
          <w:rFonts w:ascii="Cambria" w:hAnsi="Cambria"/>
          <w:sz w:val="24"/>
          <w:szCs w:val="24"/>
        </w:rPr>
        <w:fldChar w:fldCharType="separate"/>
      </w:r>
      <w:r w:rsidR="000D5AD0" w:rsidRPr="00772F77">
        <w:rPr>
          <w:rFonts w:ascii="Cambria" w:hAnsi="Cambria" w:cs="Times New Roman"/>
          <w:sz w:val="24"/>
          <w:szCs w:val="24"/>
        </w:rPr>
        <w:t>(Drèze and Sen, 1991)</w:t>
      </w:r>
      <w:r w:rsidR="000D5AD0" w:rsidRPr="00772F77">
        <w:rPr>
          <w:rFonts w:ascii="Cambria" w:hAnsi="Cambria"/>
          <w:sz w:val="24"/>
          <w:szCs w:val="24"/>
        </w:rPr>
        <w:fldChar w:fldCharType="end"/>
      </w:r>
      <w:r w:rsidRPr="00772F77">
        <w:rPr>
          <w:rFonts w:ascii="Cambria" w:hAnsi="Cambria"/>
          <w:sz w:val="24"/>
          <w:szCs w:val="24"/>
        </w:rPr>
        <w:t>and others clearly points to the expected importance of democracy in averting famine</w:t>
      </w:r>
      <w:r w:rsidR="00D33390">
        <w:rPr>
          <w:rFonts w:ascii="Cambria" w:hAnsi="Cambria"/>
          <w:sz w:val="24"/>
          <w:szCs w:val="24"/>
        </w:rPr>
        <w:t xml:space="preserve"> </w:t>
      </w:r>
      <w:r w:rsidR="00D33390">
        <w:rPr>
          <w:rFonts w:ascii="Cambria" w:hAnsi="Cambria"/>
          <w:sz w:val="24"/>
          <w:szCs w:val="24"/>
        </w:rPr>
        <w:fldChar w:fldCharType="begin"/>
      </w:r>
      <w:r w:rsidR="00D33390">
        <w:rPr>
          <w:rFonts w:ascii="Cambria" w:hAnsi="Cambria"/>
          <w:sz w:val="24"/>
          <w:szCs w:val="24"/>
        </w:rPr>
        <w:instrText xml:space="preserve"> ADDIN ZOTERO_ITEM CSL_CITATION {"citationID":"gcOoQG4E","properties":{"formattedCitation":"(Haddad and Smith, 2000)","plainCitation":"(Haddad and Smith, 2000)","noteIndex":0},"citationItems":[{"id":1530,"uris":["http://zotero.org/users/12902950/items/QWI3DIEH"],"itemData":{"id":1530,"type":"book","title":"Explaining child malnutrition in developing countries a cross-country analysis","URL":"https://www.ifpri.org/publication/explaining-child-malnutrition-developing-countries-1","author":[{"family":"Haddad","given":"Lawrence"},{"family":"Smith","given":"Lisa"}],"issued":{"date-parts":[["2000"]]}}}],"schema":"https://github.com/citation-style-language/schema/raw/master/csl-citation.json"} </w:instrText>
      </w:r>
      <w:r w:rsidR="00D33390">
        <w:rPr>
          <w:rFonts w:ascii="Cambria" w:hAnsi="Cambria"/>
          <w:sz w:val="24"/>
          <w:szCs w:val="24"/>
        </w:rPr>
        <w:fldChar w:fldCharType="separate"/>
      </w:r>
      <w:r w:rsidR="00D33390" w:rsidRPr="00D33390">
        <w:rPr>
          <w:rFonts w:ascii="Cambria" w:hAnsi="Cambria"/>
          <w:sz w:val="24"/>
        </w:rPr>
        <w:t>(Haddad and Smith, 2000)</w:t>
      </w:r>
      <w:r w:rsidR="00D33390">
        <w:rPr>
          <w:rFonts w:ascii="Cambria" w:hAnsi="Cambria"/>
          <w:sz w:val="24"/>
          <w:szCs w:val="24"/>
        </w:rPr>
        <w:fldChar w:fldCharType="end"/>
      </w:r>
    </w:p>
    <w:p w14:paraId="28401131" w14:textId="0E4F2A84" w:rsidR="004F22D9" w:rsidRDefault="002A520C" w:rsidP="001C5D67">
      <w:pPr>
        <w:spacing w:before="120" w:after="120"/>
        <w:ind w:right="96"/>
        <w:jc w:val="both"/>
        <w:rPr>
          <w:rFonts w:ascii="Cambria" w:hAnsi="Cambria"/>
          <w:sz w:val="24"/>
          <w:szCs w:val="24"/>
        </w:rPr>
      </w:pPr>
      <w:r w:rsidRPr="002957A0">
        <w:rPr>
          <w:rFonts w:ascii="Cambria" w:hAnsi="Cambria"/>
          <w:b/>
          <w:bCs/>
          <w:sz w:val="24"/>
          <w:szCs w:val="24"/>
        </w:rPr>
        <w:t>Income Inequality:</w:t>
      </w:r>
      <w:r w:rsidRPr="002957A0">
        <w:rPr>
          <w:rFonts w:ascii="Cambria" w:hAnsi="Cambria"/>
          <w:sz w:val="24"/>
          <w:szCs w:val="24"/>
        </w:rPr>
        <w:t xml:space="preserve"> Inequality indices, such as the Gini coefficient or the Human Development Index (HDI), are often used to assess the disparities in income, education, and healthcare within a population. These disparities can have a direct impact on nutritional security</w:t>
      </w:r>
      <w:r w:rsidR="006A2754">
        <w:rPr>
          <w:rFonts w:ascii="Cambria" w:hAnsi="Cambria"/>
          <w:sz w:val="24"/>
          <w:szCs w:val="24"/>
        </w:rPr>
        <w:t xml:space="preserve">. </w:t>
      </w:r>
      <w:r w:rsidR="006A2754" w:rsidRPr="002957A0">
        <w:rPr>
          <w:rFonts w:ascii="Cambria" w:hAnsi="Cambria"/>
          <w:sz w:val="24"/>
          <w:szCs w:val="24"/>
        </w:rPr>
        <w:t>High income inequality in a country can adversely affect its nutritional security. In societies with significant income disparities, lower-income groups often struggle to afford a balanced and nutritious diet, leading to issues like undernutrition and malnutrition. Conversely, higher-income groups may have excessive caloric intake, potentially leading to obesity and related health issues. This unequal access to quality food can result in widespread nutritional imbalances across different segments of the population, impacting the overall nutritional security of the country</w:t>
      </w:r>
      <w:r w:rsidR="001C5D67">
        <w:rPr>
          <w:rFonts w:ascii="Cambria" w:hAnsi="Cambria"/>
          <w:sz w:val="24"/>
          <w:szCs w:val="24"/>
        </w:rPr>
        <w:t xml:space="preserve"> </w:t>
      </w:r>
      <w:r w:rsidR="001C5D67">
        <w:rPr>
          <w:rFonts w:ascii="Cambria" w:hAnsi="Cambria"/>
          <w:sz w:val="24"/>
          <w:szCs w:val="24"/>
        </w:rPr>
        <w:fldChar w:fldCharType="begin"/>
      </w:r>
      <w:r w:rsidR="001C5D67">
        <w:rPr>
          <w:rFonts w:ascii="Cambria" w:hAnsi="Cambria"/>
          <w:sz w:val="24"/>
          <w:szCs w:val="24"/>
        </w:rPr>
        <w:instrText xml:space="preserve"> ADDIN ZOTERO_ITEM CSL_CITATION {"citationID":"zIzM2ifj","properties":{"formattedCitation":"(Das, 2021)","plainCitation":"(Das, 2021)","noteIndex":0},"citationItems":[{"id":1528,"uris":["http://zotero.org/users/12902950/items/W24D47BE"],"itemData":{"id":1528,"type":"article-journal","container-title":"Social Indicators Research","DOI":"10.1007/s11205-021-02625-7","ISSN":"0303-8300, 1573-0921","issue":"1","journalAbbreviation":"Soc Indic Res","language":"en","page":"167-199","source":"DOI.org (Crossref)","title":"Vulnerability to Food Insecurity: A Decomposition Exercise for Rural India using the Expected Utility Approach","title-short":"Vulnerability to Food Insecurity","volume":"156","author":[{"family":"Das","given":"Mousumi"}],"issued":{"date-parts":[["2021",7]]}}}],"schema":"https://github.com/citation-style-language/schema/raw/master/csl-citation.json"} </w:instrText>
      </w:r>
      <w:r w:rsidR="001C5D67">
        <w:rPr>
          <w:rFonts w:ascii="Cambria" w:hAnsi="Cambria"/>
          <w:sz w:val="24"/>
          <w:szCs w:val="24"/>
        </w:rPr>
        <w:fldChar w:fldCharType="separate"/>
      </w:r>
      <w:r w:rsidR="001C5D67" w:rsidRPr="00D33390">
        <w:rPr>
          <w:rFonts w:ascii="Cambria" w:hAnsi="Cambria"/>
          <w:sz w:val="24"/>
        </w:rPr>
        <w:t>(Das, 2021)</w:t>
      </w:r>
      <w:r w:rsidR="001C5D67">
        <w:rPr>
          <w:rFonts w:ascii="Cambria" w:hAnsi="Cambria"/>
          <w:sz w:val="24"/>
          <w:szCs w:val="24"/>
        </w:rPr>
        <w:fldChar w:fldCharType="end"/>
      </w:r>
      <w:r w:rsidR="006A2754" w:rsidRPr="002957A0">
        <w:rPr>
          <w:rFonts w:ascii="Cambria" w:hAnsi="Cambria"/>
          <w:sz w:val="24"/>
          <w:szCs w:val="24"/>
        </w:rPr>
        <w:t>. (can be taken under country-specific effects to be discussed)</w:t>
      </w:r>
      <w:r w:rsidR="00D33390">
        <w:rPr>
          <w:rFonts w:ascii="Cambria" w:hAnsi="Cambria"/>
          <w:sz w:val="24"/>
          <w:szCs w:val="24"/>
        </w:rPr>
        <w:t xml:space="preserve"> </w:t>
      </w:r>
    </w:p>
    <w:p w14:paraId="531397D7" w14:textId="1E8702DA" w:rsidR="004F22D9" w:rsidRDefault="00F37502" w:rsidP="001C5D67">
      <w:pPr>
        <w:spacing w:before="120" w:after="120"/>
        <w:ind w:right="96"/>
        <w:jc w:val="both"/>
        <w:rPr>
          <w:rFonts w:ascii="Cambria" w:hAnsi="Cambria"/>
          <w:sz w:val="24"/>
          <w:szCs w:val="24"/>
        </w:rPr>
      </w:pPr>
      <w:r w:rsidRPr="002957A0">
        <w:rPr>
          <w:rFonts w:ascii="Cambria" w:hAnsi="Cambria"/>
          <w:b/>
          <w:bCs/>
          <w:sz w:val="24"/>
          <w:szCs w:val="24"/>
        </w:rPr>
        <w:t>Weather shocks</w:t>
      </w:r>
      <w:r w:rsidR="00317E41">
        <w:rPr>
          <w:rFonts w:ascii="Cambria" w:hAnsi="Cambria"/>
          <w:b/>
          <w:bCs/>
          <w:sz w:val="24"/>
          <w:szCs w:val="24"/>
        </w:rPr>
        <w:t xml:space="preserve"> and Natural Disasters</w:t>
      </w:r>
      <w:r w:rsidR="00EE146A" w:rsidRPr="002957A0">
        <w:rPr>
          <w:rFonts w:ascii="Cambria" w:hAnsi="Cambria"/>
          <w:b/>
          <w:bCs/>
          <w:sz w:val="24"/>
          <w:szCs w:val="24"/>
        </w:rPr>
        <w:t>:</w:t>
      </w:r>
      <w:r w:rsidR="00EE146A" w:rsidRPr="002957A0">
        <w:rPr>
          <w:rFonts w:ascii="Cambria" w:hAnsi="Cambria"/>
          <w:sz w:val="24"/>
          <w:szCs w:val="24"/>
        </w:rPr>
        <w:t xml:space="preserve"> Research indicates that clima</w:t>
      </w:r>
      <w:r w:rsidRPr="002957A0">
        <w:rPr>
          <w:rFonts w:ascii="Cambria" w:hAnsi="Cambria"/>
          <w:sz w:val="24"/>
          <w:szCs w:val="24"/>
        </w:rPr>
        <w:t>te change causing weather shocks</w:t>
      </w:r>
      <w:r w:rsidR="00EE146A" w:rsidRPr="002957A0">
        <w:rPr>
          <w:rFonts w:ascii="Cambria" w:hAnsi="Cambria"/>
          <w:sz w:val="24"/>
          <w:szCs w:val="24"/>
        </w:rPr>
        <w:t xml:space="preserve">, characterized by rising temperatures and changing </w:t>
      </w:r>
      <w:r w:rsidR="00EE146A" w:rsidRPr="002957A0">
        <w:rPr>
          <w:rFonts w:ascii="Cambria" w:hAnsi="Cambria"/>
          <w:sz w:val="24"/>
          <w:szCs w:val="24"/>
        </w:rPr>
        <w:lastRenderedPageBreak/>
        <w:t>precipitation patterns, significantly affects food and nutritional security worldwide. The impacts of climate change</w:t>
      </w:r>
      <w:r w:rsidRPr="002957A0">
        <w:rPr>
          <w:rFonts w:ascii="Cambria" w:hAnsi="Cambria"/>
          <w:sz w:val="24"/>
          <w:szCs w:val="24"/>
        </w:rPr>
        <w:t xml:space="preserve"> and weather shocks</w:t>
      </w:r>
      <w:r w:rsidR="00EE146A" w:rsidRPr="002957A0">
        <w:rPr>
          <w:rFonts w:ascii="Cambria" w:hAnsi="Cambria"/>
          <w:sz w:val="24"/>
          <w:szCs w:val="24"/>
        </w:rPr>
        <w:t xml:space="preserve"> on crop yields and food supplies are well-documented, with evidence showing substantial reductions in yields of major crops like maize, wheat, and rice under increased temperatures. These changes in agricultural productivity directly influence food availability and accessibility, posing a challenge to nutritional security</w:t>
      </w:r>
      <w:r w:rsidR="001C5D67">
        <w:rPr>
          <w:rFonts w:ascii="Cambria" w:hAnsi="Cambria"/>
          <w:sz w:val="24"/>
          <w:szCs w:val="24"/>
        </w:rPr>
        <w:t xml:space="preserve"> </w:t>
      </w:r>
      <w:r w:rsidR="00D33390">
        <w:rPr>
          <w:rFonts w:ascii="Cambria" w:hAnsi="Cambria"/>
          <w:sz w:val="24"/>
          <w:szCs w:val="24"/>
        </w:rPr>
        <w:fldChar w:fldCharType="begin"/>
      </w:r>
      <w:r w:rsidR="00D33390">
        <w:rPr>
          <w:rFonts w:ascii="Cambria" w:hAnsi="Cambria"/>
          <w:sz w:val="24"/>
          <w:szCs w:val="24"/>
        </w:rPr>
        <w:instrText xml:space="preserve"> ADDIN ZOTERO_ITEM CSL_CITATION {"citationID":"3beETorY","properties":{"formattedCitation":"(Center for Strategic and International Studies., undated)","plainCitation":"(Center for Strategic and International Studies., undated)","noteIndex":0},"citationItems":[{"id":1520,"uris":["http://zotero.org/users/12902950/items/MWVHPCMF"],"itemData":{"id":1520,"type":"article-journal","title":"Beyond Yields: Mapping the Many Impacts of Climate on Food   Security","URL":"https://www.csis.org/analysis/beyond-yields-mapping-many-impacts-climate-food-security","author":[{"family":"Center for Strategic and International Studies.","given":""}]}}],"schema":"https://github.com/citation-style-language/schema/raw/master/csl-citation.json"} </w:instrText>
      </w:r>
      <w:r w:rsidR="00D33390">
        <w:rPr>
          <w:rFonts w:ascii="Cambria" w:hAnsi="Cambria"/>
          <w:sz w:val="24"/>
          <w:szCs w:val="24"/>
        </w:rPr>
        <w:fldChar w:fldCharType="separate"/>
      </w:r>
      <w:r w:rsidR="00D33390" w:rsidRPr="00D33390">
        <w:rPr>
          <w:rFonts w:ascii="Cambria" w:hAnsi="Cambria"/>
          <w:sz w:val="24"/>
        </w:rPr>
        <w:t>(Center for Strategic and International Studies., undated</w:t>
      </w:r>
      <w:r w:rsidR="001C5D67">
        <w:rPr>
          <w:rFonts w:ascii="Cambria" w:hAnsi="Cambria"/>
          <w:sz w:val="24"/>
        </w:rPr>
        <w:t>;</w:t>
      </w:r>
      <w:r w:rsidR="00D33390">
        <w:rPr>
          <w:rFonts w:ascii="Cambria" w:hAnsi="Cambria"/>
          <w:sz w:val="24"/>
          <w:szCs w:val="24"/>
        </w:rPr>
        <w:fldChar w:fldCharType="end"/>
      </w:r>
      <w:r w:rsidR="00D33390">
        <w:rPr>
          <w:rFonts w:ascii="Cambria" w:hAnsi="Cambria"/>
          <w:sz w:val="24"/>
          <w:szCs w:val="24"/>
        </w:rPr>
        <w:fldChar w:fldCharType="begin"/>
      </w:r>
      <w:r w:rsidR="00D33390">
        <w:rPr>
          <w:rFonts w:ascii="Cambria" w:hAnsi="Cambria"/>
          <w:sz w:val="24"/>
          <w:szCs w:val="24"/>
        </w:rPr>
        <w:instrText xml:space="preserve"> ADDIN ZOTERO_ITEM CSL_CITATION {"citationID":"EkzEgvdh","properties":{"formattedCitation":"(Hirte, Lessmann and Seidel, 2020)","plainCitation":"(Hirte, Lessmann and Seidel, 2020)","noteIndex":0},"citationItems":[{"id":1523,"uris":["http://zotero.org/users/12902950/items/JGQ7UFB3"],"itemData":{"id":1523,"type":"article-journal","container-title":"European Economic Review","DOI":"10.1016/j.euroecorev.2020.103427","ISSN":"00142921","journalAbbreviation":"European Economic Review","language":"en","page":"103427","source":"DOI.org (Crossref)","title":"International trade, geographic heterogeneity and interregional inequality","volume":"127","author":[{"family":"Hirte","given":"Georg"},{"family":"Lessmann","given":"Christian"},{"family":"Seidel","given":"André"}],"issued":{"date-parts":[["2020",8]]}}}],"schema":"https://github.com/citation-style-language/schema/raw/master/csl-citation.json"} </w:instrText>
      </w:r>
      <w:r w:rsidR="00D33390">
        <w:rPr>
          <w:rFonts w:ascii="Cambria" w:hAnsi="Cambria"/>
          <w:sz w:val="24"/>
          <w:szCs w:val="24"/>
        </w:rPr>
        <w:fldChar w:fldCharType="separate"/>
      </w:r>
      <w:r w:rsidR="001C5D67">
        <w:rPr>
          <w:rFonts w:ascii="Cambria" w:hAnsi="Cambria"/>
          <w:sz w:val="24"/>
        </w:rPr>
        <w:t xml:space="preserve"> </w:t>
      </w:r>
      <w:r w:rsidR="00D33390" w:rsidRPr="00D33390">
        <w:rPr>
          <w:rFonts w:ascii="Cambria" w:hAnsi="Cambria"/>
          <w:sz w:val="24"/>
        </w:rPr>
        <w:t>Hirte, Lessmann and Seidel, 2020</w:t>
      </w:r>
      <w:r w:rsidR="001C5D67">
        <w:rPr>
          <w:rFonts w:ascii="Cambria" w:hAnsi="Cambria"/>
          <w:sz w:val="24"/>
        </w:rPr>
        <w:t>;</w:t>
      </w:r>
      <w:r w:rsidR="00D33390">
        <w:rPr>
          <w:rFonts w:ascii="Cambria" w:hAnsi="Cambria"/>
          <w:sz w:val="24"/>
          <w:szCs w:val="24"/>
        </w:rPr>
        <w:fldChar w:fldCharType="end"/>
      </w:r>
      <w:r w:rsidR="00D33390">
        <w:rPr>
          <w:rFonts w:ascii="Cambria" w:hAnsi="Cambria"/>
          <w:sz w:val="24"/>
          <w:szCs w:val="24"/>
        </w:rPr>
        <w:fldChar w:fldCharType="begin"/>
      </w:r>
      <w:r w:rsidR="00D33390">
        <w:rPr>
          <w:rFonts w:ascii="Cambria" w:hAnsi="Cambria"/>
          <w:sz w:val="24"/>
          <w:szCs w:val="24"/>
        </w:rPr>
        <w:instrText xml:space="preserve"> ADDIN ZOTERO_ITEM CSL_CITATION {"citationID":"l3WellW0","properties":{"formattedCitation":"(Felbermayr and Gr\\uc0\\u246{}schl, 2014)","plainCitation":"(Felbermayr and Gröschl, 2014)","noteIndex":0},"citationItems":[{"id":1521,"uris":["http://zotero.org/users/12902950/items/TWG2UC85"],"itemData":{"id":1521,"type":"article-journal","container-title":"Journal of Development Economics","DOI":"10.1016/j.jdeveco.2014.07.004","ISSN":"03043878","journalAbbreviation":"Journal of Development Economics","language":"en","page":"92-106","source":"DOI.org (Crossref)","title":"Naturally negative: The growth effects of natural disasters","title-short":"Naturally negative","volume":"111","author":[{"family":"Felbermayr","given":"Gabriel"},{"family":"Gröschl","given":"Jasmin"}],"issued":{"date-parts":[["2014",11]]}}}],"schema":"https://github.com/citation-style-language/schema/raw/master/csl-citation.json"} </w:instrText>
      </w:r>
      <w:r w:rsidR="00D33390">
        <w:rPr>
          <w:rFonts w:ascii="Cambria" w:hAnsi="Cambria"/>
          <w:sz w:val="24"/>
          <w:szCs w:val="24"/>
        </w:rPr>
        <w:fldChar w:fldCharType="separate"/>
      </w:r>
      <w:r w:rsidR="00D33390" w:rsidRPr="00D33390">
        <w:rPr>
          <w:rFonts w:ascii="Cambria" w:hAnsi="Cambria" w:cs="Times New Roman"/>
          <w:sz w:val="24"/>
          <w:szCs w:val="24"/>
        </w:rPr>
        <w:t>Felbermayr and Gröschl, 2014)</w:t>
      </w:r>
      <w:r w:rsidR="00D33390">
        <w:rPr>
          <w:rFonts w:ascii="Cambria" w:hAnsi="Cambria"/>
          <w:sz w:val="24"/>
          <w:szCs w:val="24"/>
        </w:rPr>
        <w:fldChar w:fldCharType="end"/>
      </w:r>
      <w:r w:rsidR="001C5D67">
        <w:rPr>
          <w:rFonts w:ascii="Cambria" w:hAnsi="Cambria"/>
          <w:sz w:val="24"/>
          <w:szCs w:val="24"/>
        </w:rPr>
        <w:t>.</w:t>
      </w:r>
    </w:p>
    <w:p w14:paraId="7C4929CE" w14:textId="4A3C01D0" w:rsidR="007273A7" w:rsidRDefault="007273A7" w:rsidP="00CF781B">
      <w:pPr>
        <w:spacing w:before="120" w:after="120"/>
        <w:rPr>
          <w:rFonts w:ascii="Cambria" w:eastAsiaTheme="minorEastAsia" w:hAnsi="Cambria" w:cstheme="minorHAnsi"/>
          <w:b/>
          <w:sz w:val="24"/>
          <w:szCs w:val="24"/>
        </w:rPr>
      </w:pPr>
      <w:r w:rsidRPr="0007294F">
        <w:rPr>
          <w:rFonts w:ascii="Cambria" w:eastAsiaTheme="minorEastAsia" w:hAnsi="Cambria" w:cstheme="minorHAnsi"/>
          <w:b/>
          <w:sz w:val="24"/>
          <w:szCs w:val="24"/>
        </w:rPr>
        <w:t xml:space="preserve">Table </w:t>
      </w:r>
      <w:r w:rsidR="00860B41">
        <w:rPr>
          <w:rFonts w:ascii="Cambria" w:eastAsiaTheme="minorEastAsia" w:hAnsi="Cambria" w:cstheme="minorHAnsi"/>
          <w:b/>
          <w:sz w:val="24"/>
          <w:szCs w:val="24"/>
        </w:rPr>
        <w:t>4</w:t>
      </w:r>
      <w:r w:rsidR="00CF781B">
        <w:rPr>
          <w:rFonts w:ascii="Cambria" w:eastAsiaTheme="minorEastAsia" w:hAnsi="Cambria" w:cstheme="minorHAnsi"/>
          <w:b/>
          <w:sz w:val="24"/>
          <w:szCs w:val="24"/>
        </w:rPr>
        <w:t>.</w:t>
      </w:r>
      <w:r w:rsidRPr="00CF781B">
        <w:rPr>
          <w:rFonts w:ascii="Cambria" w:eastAsiaTheme="minorEastAsia" w:hAnsi="Cambria" w:cstheme="minorHAnsi"/>
          <w:bCs/>
          <w:sz w:val="24"/>
          <w:szCs w:val="24"/>
        </w:rPr>
        <w:t xml:space="preserve"> Control variables to be used in the regression analysis</w:t>
      </w:r>
    </w:p>
    <w:tbl>
      <w:tblPr>
        <w:tblStyle w:val="TableGrid"/>
        <w:tblW w:w="0" w:type="auto"/>
        <w:tblLook w:val="04A0" w:firstRow="1" w:lastRow="0" w:firstColumn="1" w:lastColumn="0" w:noHBand="0" w:noVBand="1"/>
      </w:tblPr>
      <w:tblGrid>
        <w:gridCol w:w="1938"/>
        <w:gridCol w:w="2169"/>
        <w:gridCol w:w="2923"/>
        <w:gridCol w:w="1987"/>
      </w:tblGrid>
      <w:tr w:rsidR="0007294F" w:rsidRPr="0007294F" w14:paraId="7D12D0A8" w14:textId="77777777" w:rsidTr="001A521C">
        <w:tc>
          <w:tcPr>
            <w:tcW w:w="1938" w:type="dxa"/>
          </w:tcPr>
          <w:p w14:paraId="1DD5C6F6" w14:textId="77777777" w:rsidR="007273A7" w:rsidRPr="0007294F" w:rsidRDefault="007273A7" w:rsidP="00CF781B">
            <w:pPr>
              <w:spacing w:after="240"/>
              <w:rPr>
                <w:rFonts w:ascii="Cambria" w:eastAsiaTheme="minorEastAsia" w:hAnsi="Cambria" w:cstheme="minorHAnsi"/>
                <w:b/>
                <w:sz w:val="24"/>
                <w:szCs w:val="24"/>
              </w:rPr>
            </w:pPr>
            <w:r w:rsidRPr="0007294F">
              <w:rPr>
                <w:rFonts w:ascii="Cambria" w:eastAsiaTheme="minorEastAsia" w:hAnsi="Cambria" w:cstheme="minorHAnsi"/>
                <w:b/>
                <w:sz w:val="24"/>
                <w:szCs w:val="24"/>
              </w:rPr>
              <w:t>Control variables</w:t>
            </w:r>
          </w:p>
        </w:tc>
        <w:tc>
          <w:tcPr>
            <w:tcW w:w="2169" w:type="dxa"/>
          </w:tcPr>
          <w:p w14:paraId="2D3EA06A" w14:textId="77777777" w:rsidR="007273A7" w:rsidRPr="0007294F" w:rsidRDefault="007273A7" w:rsidP="00CF781B">
            <w:pPr>
              <w:spacing w:after="240"/>
              <w:rPr>
                <w:rFonts w:ascii="Cambria" w:eastAsiaTheme="minorEastAsia" w:hAnsi="Cambria" w:cstheme="minorHAnsi"/>
                <w:b/>
                <w:sz w:val="24"/>
                <w:szCs w:val="24"/>
              </w:rPr>
            </w:pPr>
            <w:r w:rsidRPr="0007294F">
              <w:rPr>
                <w:rFonts w:ascii="Cambria" w:eastAsiaTheme="minorEastAsia" w:hAnsi="Cambria" w:cstheme="minorHAnsi"/>
                <w:b/>
                <w:sz w:val="24"/>
                <w:szCs w:val="24"/>
              </w:rPr>
              <w:t>Reason</w:t>
            </w:r>
          </w:p>
        </w:tc>
        <w:tc>
          <w:tcPr>
            <w:tcW w:w="2923" w:type="dxa"/>
          </w:tcPr>
          <w:p w14:paraId="569CBC34" w14:textId="77777777" w:rsidR="007273A7" w:rsidRPr="0007294F" w:rsidRDefault="007273A7" w:rsidP="00CF781B">
            <w:pPr>
              <w:spacing w:after="240"/>
              <w:rPr>
                <w:rFonts w:ascii="Cambria" w:eastAsiaTheme="minorEastAsia" w:hAnsi="Cambria" w:cstheme="minorHAnsi"/>
                <w:b/>
                <w:sz w:val="24"/>
                <w:szCs w:val="24"/>
              </w:rPr>
            </w:pPr>
            <w:r w:rsidRPr="0007294F">
              <w:rPr>
                <w:rFonts w:ascii="Cambria" w:eastAsiaTheme="minorEastAsia" w:hAnsi="Cambria" w:cstheme="minorHAnsi"/>
                <w:b/>
                <w:sz w:val="24"/>
                <w:szCs w:val="24"/>
              </w:rPr>
              <w:t>Variable definition</w:t>
            </w:r>
          </w:p>
        </w:tc>
        <w:tc>
          <w:tcPr>
            <w:tcW w:w="1987" w:type="dxa"/>
          </w:tcPr>
          <w:p w14:paraId="55ECEB7C" w14:textId="77777777" w:rsidR="007273A7" w:rsidRPr="0007294F" w:rsidRDefault="007273A7" w:rsidP="00CF781B">
            <w:pPr>
              <w:spacing w:after="240"/>
              <w:rPr>
                <w:rFonts w:ascii="Cambria" w:eastAsiaTheme="minorEastAsia" w:hAnsi="Cambria" w:cstheme="minorHAnsi"/>
                <w:b/>
                <w:sz w:val="24"/>
                <w:szCs w:val="24"/>
              </w:rPr>
            </w:pPr>
            <w:r w:rsidRPr="0007294F">
              <w:rPr>
                <w:rFonts w:ascii="Cambria" w:eastAsiaTheme="minorEastAsia" w:hAnsi="Cambria" w:cstheme="minorHAnsi"/>
                <w:b/>
                <w:sz w:val="24"/>
                <w:szCs w:val="24"/>
              </w:rPr>
              <w:t>Source</w:t>
            </w:r>
          </w:p>
        </w:tc>
      </w:tr>
      <w:tr w:rsidR="00D33390" w:rsidRPr="0007294F" w14:paraId="021B593E" w14:textId="77777777" w:rsidTr="001A521C">
        <w:tc>
          <w:tcPr>
            <w:tcW w:w="1938" w:type="dxa"/>
          </w:tcPr>
          <w:p w14:paraId="31D53F36" w14:textId="250DABBF" w:rsidR="00D33390" w:rsidRPr="0007294F" w:rsidRDefault="00D33390" w:rsidP="00CF781B">
            <w:pPr>
              <w:spacing w:after="240"/>
              <w:rPr>
                <w:rFonts w:ascii="Cambria" w:eastAsiaTheme="minorEastAsia" w:hAnsi="Cambria" w:cstheme="minorHAnsi"/>
                <w:sz w:val="24"/>
                <w:szCs w:val="24"/>
              </w:rPr>
            </w:pPr>
            <w:r w:rsidRPr="00B6185A">
              <w:rPr>
                <w:rFonts w:ascii="Cambria" w:eastAsiaTheme="minorEastAsia" w:hAnsi="Cambria" w:cstheme="minorHAnsi"/>
                <w:sz w:val="24"/>
                <w:szCs w:val="24"/>
              </w:rPr>
              <w:t>Income Levels (GDP per Capita)</w:t>
            </w:r>
          </w:p>
        </w:tc>
        <w:tc>
          <w:tcPr>
            <w:tcW w:w="2169" w:type="dxa"/>
          </w:tcPr>
          <w:p w14:paraId="5CE6C864" w14:textId="18827CE1" w:rsidR="00D33390" w:rsidRPr="0007294F" w:rsidRDefault="00D33390" w:rsidP="00CF781B">
            <w:pPr>
              <w:spacing w:after="240"/>
              <w:rPr>
                <w:rFonts w:ascii="Cambria" w:hAnsi="Cambria" w:cstheme="minorHAnsi"/>
                <w:sz w:val="24"/>
                <w:szCs w:val="24"/>
              </w:rPr>
            </w:pPr>
            <w:r w:rsidRPr="00B6185A">
              <w:rPr>
                <w:rFonts w:ascii="Cambria" w:eastAsiaTheme="minorEastAsia" w:hAnsi="Cambria" w:cstheme="minorHAnsi"/>
                <w:sz w:val="24"/>
                <w:szCs w:val="24"/>
              </w:rPr>
              <w:t>Explores the influence of a country's income level on its export diversification, considering the 'inverted U-shaped' relationship between income and diversification.</w:t>
            </w:r>
          </w:p>
        </w:tc>
        <w:tc>
          <w:tcPr>
            <w:tcW w:w="2923" w:type="dxa"/>
          </w:tcPr>
          <w:p w14:paraId="1CA29300" w14:textId="60FD89F2" w:rsidR="00D33390" w:rsidRPr="00B6185A" w:rsidRDefault="00D33390" w:rsidP="00CF781B">
            <w:pPr>
              <w:spacing w:after="240"/>
              <w:rPr>
                <w:rFonts w:ascii="Cambria" w:eastAsiaTheme="minorEastAsia" w:hAnsi="Cambria" w:cstheme="minorHAnsi"/>
                <w:sz w:val="24"/>
                <w:szCs w:val="24"/>
              </w:rPr>
            </w:pPr>
            <w:r>
              <w:rPr>
                <w:rFonts w:ascii="Cambria" w:eastAsiaTheme="minorEastAsia" w:hAnsi="Cambria" w:cstheme="minorHAnsi"/>
                <w:sz w:val="24"/>
                <w:szCs w:val="24"/>
              </w:rPr>
              <w:t>GDP per capita</w:t>
            </w:r>
          </w:p>
        </w:tc>
        <w:tc>
          <w:tcPr>
            <w:tcW w:w="1987" w:type="dxa"/>
          </w:tcPr>
          <w:p w14:paraId="23EE2558" w14:textId="79A1EA51" w:rsidR="00D33390"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r w:rsidR="00D33390" w:rsidRPr="0007294F" w14:paraId="6FF0403F" w14:textId="77777777" w:rsidTr="001A521C">
        <w:tc>
          <w:tcPr>
            <w:tcW w:w="1938" w:type="dxa"/>
          </w:tcPr>
          <w:p w14:paraId="0347ED44" w14:textId="4F1EDA71" w:rsidR="00D33390" w:rsidRPr="00D33390" w:rsidRDefault="00D33390" w:rsidP="00CF781B">
            <w:pPr>
              <w:spacing w:after="240"/>
              <w:rPr>
                <w:rFonts w:ascii="Cambria" w:eastAsiaTheme="minorEastAsia" w:hAnsi="Cambria" w:cstheme="minorHAnsi"/>
                <w:sz w:val="24"/>
                <w:szCs w:val="24"/>
              </w:rPr>
            </w:pPr>
            <w:r w:rsidRPr="00D33390">
              <w:rPr>
                <w:rFonts w:ascii="Cambria" w:hAnsi="Cambria"/>
                <w:sz w:val="24"/>
                <w:szCs w:val="24"/>
              </w:rPr>
              <w:t>Democracy of a country</w:t>
            </w:r>
          </w:p>
        </w:tc>
        <w:tc>
          <w:tcPr>
            <w:tcW w:w="2169" w:type="dxa"/>
          </w:tcPr>
          <w:p w14:paraId="79660CE9" w14:textId="73D5CF4E" w:rsidR="00D33390" w:rsidRPr="0007294F" w:rsidRDefault="00D33390" w:rsidP="00CF781B">
            <w:pPr>
              <w:spacing w:after="240"/>
              <w:rPr>
                <w:rFonts w:ascii="Cambria" w:hAnsi="Cambria" w:cstheme="minorHAnsi"/>
                <w:sz w:val="24"/>
                <w:szCs w:val="24"/>
              </w:rPr>
            </w:pPr>
            <w:r w:rsidRPr="002957A0">
              <w:rPr>
                <w:rFonts w:ascii="Cambria" w:hAnsi="Cambria"/>
                <w:sz w:val="24"/>
                <w:szCs w:val="24"/>
              </w:rPr>
              <w:t>The more democratic a government, the greater the percentage of government revenues that may be spent on education, health services, and income redistribution.</w:t>
            </w:r>
          </w:p>
        </w:tc>
        <w:tc>
          <w:tcPr>
            <w:tcW w:w="2923" w:type="dxa"/>
          </w:tcPr>
          <w:p w14:paraId="5B0A443A" w14:textId="6569C1C7" w:rsidR="00D33390" w:rsidRPr="00B6185A" w:rsidRDefault="000D5AD0" w:rsidP="00CF781B">
            <w:pPr>
              <w:spacing w:after="240"/>
              <w:rPr>
                <w:rFonts w:ascii="Cambria" w:eastAsiaTheme="minorEastAsia" w:hAnsi="Cambria" w:cstheme="minorHAnsi"/>
                <w:sz w:val="24"/>
                <w:szCs w:val="24"/>
              </w:rPr>
            </w:pPr>
            <w:r w:rsidRPr="000D5AD0">
              <w:rPr>
                <w:rFonts w:ascii="Cambria" w:eastAsiaTheme="minorEastAsia" w:hAnsi="Cambria" w:cstheme="minorHAnsi"/>
                <w:sz w:val="24"/>
                <w:szCs w:val="24"/>
              </w:rPr>
              <w:t>The Economist Intelligence Unit's Democracy Index: This index provides a score based on five categories: electoral process and pluralism, civil liberties, the functioning of government, political participation, and political culture.</w:t>
            </w:r>
          </w:p>
        </w:tc>
        <w:tc>
          <w:tcPr>
            <w:tcW w:w="1987" w:type="dxa"/>
          </w:tcPr>
          <w:p w14:paraId="33E8401C" w14:textId="6E6DF725" w:rsidR="00D33390" w:rsidRDefault="000D5AD0" w:rsidP="00CF781B">
            <w:pPr>
              <w:spacing w:after="240"/>
              <w:rPr>
                <w:rFonts w:ascii="Cambria" w:eastAsiaTheme="minorEastAsia" w:hAnsi="Cambria" w:cstheme="minorHAnsi"/>
                <w:sz w:val="24"/>
                <w:szCs w:val="24"/>
              </w:rPr>
            </w:pPr>
            <w:r w:rsidRPr="000D5AD0">
              <w:rPr>
                <w:rFonts w:ascii="Cambria" w:eastAsiaTheme="minorEastAsia" w:hAnsi="Cambria" w:cstheme="minorHAnsi"/>
                <w:sz w:val="24"/>
                <w:szCs w:val="24"/>
              </w:rPr>
              <w:t>Our World in Data</w:t>
            </w:r>
            <w:r>
              <w:rPr>
                <w:rFonts w:ascii="Cambria" w:eastAsiaTheme="minorEastAsia" w:hAnsi="Cambria" w:cstheme="minorHAnsi"/>
                <w:sz w:val="24"/>
                <w:szCs w:val="24"/>
              </w:rPr>
              <w:t>,</w:t>
            </w:r>
            <w:r w:rsidRPr="000D5AD0">
              <w:rPr>
                <w:rFonts w:ascii="Cambria" w:eastAsiaTheme="minorEastAsia" w:hAnsi="Cambria" w:cstheme="minorHAnsi"/>
                <w:sz w:val="24"/>
                <w:szCs w:val="24"/>
              </w:rPr>
              <w:t xml:space="preserve"> which provides comprehensive datasets, including the Democracy Index by the EIU, weighted by population</w:t>
            </w:r>
          </w:p>
        </w:tc>
      </w:tr>
      <w:tr w:rsidR="00D33390" w:rsidRPr="0007294F" w14:paraId="209A553E" w14:textId="77777777" w:rsidTr="001A521C">
        <w:tc>
          <w:tcPr>
            <w:tcW w:w="1938" w:type="dxa"/>
          </w:tcPr>
          <w:p w14:paraId="7D1C2370" w14:textId="2158AFB8" w:rsidR="00D33390" w:rsidRPr="0007294F" w:rsidRDefault="00D33390" w:rsidP="00CF781B">
            <w:pPr>
              <w:spacing w:after="240"/>
              <w:rPr>
                <w:rFonts w:ascii="Cambria" w:eastAsiaTheme="minorEastAsia" w:hAnsi="Cambria" w:cstheme="minorHAnsi"/>
                <w:sz w:val="24"/>
                <w:szCs w:val="24"/>
              </w:rPr>
            </w:pPr>
            <w:r w:rsidRPr="00E14D8C">
              <w:rPr>
                <w:rFonts w:ascii="Cambria" w:eastAsiaTheme="minorEastAsia" w:hAnsi="Cambria" w:cstheme="minorHAnsi"/>
                <w:sz w:val="24"/>
                <w:szCs w:val="24"/>
              </w:rPr>
              <w:t>Income Inequality</w:t>
            </w:r>
          </w:p>
        </w:tc>
        <w:tc>
          <w:tcPr>
            <w:tcW w:w="2169" w:type="dxa"/>
          </w:tcPr>
          <w:p w14:paraId="3B886E35" w14:textId="6259E981" w:rsidR="00D33390" w:rsidRPr="0007294F" w:rsidRDefault="00D33390" w:rsidP="00CF781B">
            <w:pPr>
              <w:spacing w:after="240"/>
              <w:rPr>
                <w:rFonts w:ascii="Cambria" w:hAnsi="Cambria" w:cstheme="minorHAnsi"/>
                <w:sz w:val="24"/>
                <w:szCs w:val="24"/>
              </w:rPr>
            </w:pPr>
            <w:r w:rsidRPr="00E14D8C">
              <w:rPr>
                <w:rFonts w:ascii="Cambria" w:eastAsiaTheme="minorEastAsia" w:hAnsi="Cambria" w:cstheme="minorHAnsi"/>
                <w:sz w:val="24"/>
                <w:szCs w:val="24"/>
              </w:rPr>
              <w:t xml:space="preserve">Income inequality, as indicated by the Gini index, impacts trade diversity. More equitable income </w:t>
            </w:r>
            <w:r w:rsidRPr="00E14D8C">
              <w:rPr>
                <w:rFonts w:ascii="Cambria" w:eastAsiaTheme="minorEastAsia" w:hAnsi="Cambria" w:cstheme="minorHAnsi"/>
                <w:sz w:val="24"/>
                <w:szCs w:val="24"/>
              </w:rPr>
              <w:lastRenderedPageBreak/>
              <w:t>distribution leads to a broader range of goods and services being produced and consumed.</w:t>
            </w:r>
          </w:p>
        </w:tc>
        <w:tc>
          <w:tcPr>
            <w:tcW w:w="2923" w:type="dxa"/>
          </w:tcPr>
          <w:p w14:paraId="7BF8BE18" w14:textId="2E5FD487" w:rsidR="00D33390" w:rsidRPr="00B6185A" w:rsidRDefault="00D33390" w:rsidP="00CF781B">
            <w:pPr>
              <w:spacing w:after="240"/>
              <w:rPr>
                <w:rFonts w:ascii="Cambria" w:eastAsiaTheme="minorEastAsia" w:hAnsi="Cambria" w:cstheme="minorHAnsi"/>
                <w:sz w:val="24"/>
                <w:szCs w:val="24"/>
              </w:rPr>
            </w:pPr>
            <w:r>
              <w:rPr>
                <w:rFonts w:ascii="Cambria" w:eastAsiaTheme="minorEastAsia" w:hAnsi="Cambria" w:cstheme="minorHAnsi"/>
                <w:sz w:val="24"/>
                <w:szCs w:val="24"/>
              </w:rPr>
              <w:lastRenderedPageBreak/>
              <w:t>Gini Coefficient of the Income Inequality</w:t>
            </w:r>
          </w:p>
        </w:tc>
        <w:tc>
          <w:tcPr>
            <w:tcW w:w="1987" w:type="dxa"/>
          </w:tcPr>
          <w:p w14:paraId="10A18C91" w14:textId="2D6910A4" w:rsidR="00D33390" w:rsidRDefault="00D33390" w:rsidP="00CF781B">
            <w:pPr>
              <w:spacing w:after="240"/>
              <w:rPr>
                <w:rFonts w:ascii="Cambria" w:eastAsiaTheme="minorEastAsia" w:hAnsi="Cambria" w:cstheme="minorHAnsi"/>
                <w:sz w:val="24"/>
                <w:szCs w:val="24"/>
              </w:rPr>
            </w:pPr>
            <w:r>
              <w:rPr>
                <w:rFonts w:ascii="Cambria" w:eastAsiaTheme="minorEastAsia" w:hAnsi="Cambria" w:cstheme="minorHAnsi"/>
                <w:sz w:val="24"/>
                <w:szCs w:val="24"/>
              </w:rPr>
              <w:t>World Development Indicators</w:t>
            </w:r>
          </w:p>
        </w:tc>
      </w:tr>
      <w:tr w:rsidR="00D33390" w:rsidRPr="0007294F" w14:paraId="04553FE7" w14:textId="77777777" w:rsidTr="001A521C">
        <w:tc>
          <w:tcPr>
            <w:tcW w:w="1938" w:type="dxa"/>
          </w:tcPr>
          <w:p w14:paraId="55DBAA5A"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Natural disasters</w:t>
            </w:r>
          </w:p>
        </w:tc>
        <w:tc>
          <w:tcPr>
            <w:tcW w:w="2169" w:type="dxa"/>
          </w:tcPr>
          <w:p w14:paraId="67231922"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sz w:val="24"/>
                <w:szCs w:val="24"/>
              </w:rPr>
              <w:t>Natural disasters can lead to considerable crop losses. These losses, in turn, diminish the food supply derived from domestic production and exert significant pressure on farm earnings.</w:t>
            </w:r>
          </w:p>
        </w:tc>
        <w:tc>
          <w:tcPr>
            <w:tcW w:w="2923" w:type="dxa"/>
          </w:tcPr>
          <w:p w14:paraId="48881068" w14:textId="42D498AB" w:rsidR="00D33390" w:rsidRPr="0007294F" w:rsidRDefault="00D33390" w:rsidP="00CF781B">
            <w:pPr>
              <w:spacing w:after="240"/>
              <w:rPr>
                <w:rFonts w:ascii="Cambria" w:eastAsiaTheme="minorEastAsia" w:hAnsi="Cambria" w:cstheme="minorHAnsi"/>
                <w:sz w:val="24"/>
                <w:szCs w:val="24"/>
              </w:rPr>
            </w:pPr>
            <w:r w:rsidRPr="00B6185A">
              <w:rPr>
                <w:rFonts w:ascii="Cambria" w:eastAsiaTheme="minorEastAsia" w:hAnsi="Cambria" w:cstheme="minorHAnsi"/>
                <w:sz w:val="24"/>
                <w:szCs w:val="24"/>
              </w:rPr>
              <w:t xml:space="preserve">The number of large natural disasters that caused 1000 or more deaths or affected 100,000 or more persons </w:t>
            </w:r>
          </w:p>
        </w:tc>
        <w:tc>
          <w:tcPr>
            <w:tcW w:w="1987" w:type="dxa"/>
          </w:tcPr>
          <w:p w14:paraId="26EA4491" w14:textId="197F2AB8" w:rsidR="00D33390" w:rsidRPr="0007294F" w:rsidRDefault="00D33390" w:rsidP="00CF781B">
            <w:pPr>
              <w:spacing w:after="240"/>
              <w:rPr>
                <w:rFonts w:ascii="Cambria" w:eastAsiaTheme="minorEastAsia" w:hAnsi="Cambria" w:cstheme="minorHAnsi"/>
                <w:sz w:val="24"/>
                <w:szCs w:val="24"/>
              </w:rPr>
            </w:pPr>
            <w:r>
              <w:rPr>
                <w:rFonts w:ascii="Cambria" w:eastAsiaTheme="minorEastAsia" w:hAnsi="Cambria" w:cstheme="minorHAnsi"/>
                <w:sz w:val="24"/>
                <w:szCs w:val="24"/>
              </w:rPr>
              <w:t>Emergency Events database</w:t>
            </w:r>
            <w:r w:rsidR="00D83BB6">
              <w:rPr>
                <w:rFonts w:ascii="Cambria" w:eastAsiaTheme="minorEastAsia" w:hAnsi="Cambria" w:cstheme="minorHAnsi"/>
                <w:sz w:val="24"/>
                <w:szCs w:val="24"/>
              </w:rPr>
              <w:t xml:space="preserve"> </w:t>
            </w:r>
            <w:r>
              <w:rPr>
                <w:rFonts w:ascii="Cambria" w:eastAsiaTheme="minorEastAsia" w:hAnsi="Cambria" w:cstheme="minorHAnsi"/>
                <w:sz w:val="24"/>
                <w:szCs w:val="24"/>
              </w:rPr>
              <w:t>of</w:t>
            </w:r>
            <w:r w:rsidR="00D83BB6">
              <w:rPr>
                <w:rFonts w:ascii="Cambria" w:eastAsiaTheme="minorEastAsia" w:hAnsi="Cambria" w:cstheme="minorHAnsi"/>
                <w:sz w:val="24"/>
                <w:szCs w:val="24"/>
              </w:rPr>
              <w:t xml:space="preserve"> </w:t>
            </w:r>
            <w:r>
              <w:rPr>
                <w:rFonts w:ascii="Cambria" w:eastAsiaTheme="minorEastAsia" w:hAnsi="Cambria" w:cstheme="minorHAnsi"/>
                <w:sz w:val="24"/>
                <w:szCs w:val="24"/>
              </w:rPr>
              <w:t xml:space="preserve">CRED </w:t>
            </w:r>
            <w:r w:rsidRPr="00B6185A">
              <w:rPr>
                <w:rFonts w:ascii="Cambria" w:hAnsi="Cambria" w:cs="Times New Roman"/>
                <w:sz w:val="24"/>
                <w:szCs w:val="24"/>
              </w:rPr>
              <w:t>“Emergency Events Database.”</w:t>
            </w:r>
          </w:p>
        </w:tc>
      </w:tr>
      <w:tr w:rsidR="00D33390" w:rsidRPr="0007294F" w14:paraId="4958F8F8" w14:textId="77777777" w:rsidTr="001A521C">
        <w:tc>
          <w:tcPr>
            <w:tcW w:w="1938" w:type="dxa"/>
          </w:tcPr>
          <w:p w14:paraId="5581307F"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Armed conflict</w:t>
            </w:r>
          </w:p>
        </w:tc>
        <w:tc>
          <w:tcPr>
            <w:tcW w:w="2169" w:type="dxa"/>
          </w:tcPr>
          <w:p w14:paraId="582E5F16"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Its impact on food diversity and nutrient adequacy is manifested through reduced preferences for market participation, income losses, and disruptions to transportation, trade, and markets, thereby causing significant upheavals in domestic food chains.</w:t>
            </w:r>
          </w:p>
        </w:tc>
        <w:tc>
          <w:tcPr>
            <w:tcW w:w="2923" w:type="dxa"/>
          </w:tcPr>
          <w:p w14:paraId="0602BEDD"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The number of armed conflicts (domestic and international conflicts/wars) each resulted in more than 1000 deaths.</w:t>
            </w:r>
          </w:p>
        </w:tc>
        <w:tc>
          <w:tcPr>
            <w:tcW w:w="1987" w:type="dxa"/>
          </w:tcPr>
          <w:p w14:paraId="3260DF08" w14:textId="0B9ACBAE"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noProof/>
                <w:sz w:val="24"/>
                <w:szCs w:val="24"/>
              </w:rPr>
              <w:t xml:space="preserve">UCDP/PRIO Armed Conflict Dataset </w:t>
            </w:r>
          </w:p>
        </w:tc>
      </w:tr>
      <w:tr w:rsidR="00D33390" w:rsidRPr="0007294F" w14:paraId="5408C329" w14:textId="77777777" w:rsidTr="001A521C">
        <w:tc>
          <w:tcPr>
            <w:tcW w:w="1938" w:type="dxa"/>
          </w:tcPr>
          <w:p w14:paraId="75540B5F"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 xml:space="preserve">Population </w:t>
            </w:r>
          </w:p>
        </w:tc>
        <w:tc>
          <w:tcPr>
            <w:tcW w:w="2169" w:type="dxa"/>
          </w:tcPr>
          <w:p w14:paraId="34452E14"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sz w:val="24"/>
                <w:szCs w:val="24"/>
              </w:rPr>
              <w:t xml:space="preserve">As the population increases, the demand for food also rises, potentially </w:t>
            </w:r>
            <w:r w:rsidRPr="0007294F">
              <w:rPr>
                <w:rFonts w:ascii="Cambria" w:hAnsi="Cambria" w:cstheme="minorHAnsi"/>
                <w:sz w:val="24"/>
                <w:szCs w:val="24"/>
              </w:rPr>
              <w:lastRenderedPageBreak/>
              <w:t>resulting in a decrease in the per capita availability of food.</w:t>
            </w:r>
          </w:p>
        </w:tc>
        <w:tc>
          <w:tcPr>
            <w:tcW w:w="2923" w:type="dxa"/>
          </w:tcPr>
          <w:p w14:paraId="5D0584C3" w14:textId="604B6735" w:rsidR="00D33390" w:rsidRPr="0007294F" w:rsidRDefault="00D33390" w:rsidP="00CF781B">
            <w:pPr>
              <w:spacing w:after="240"/>
              <w:rPr>
                <w:rFonts w:ascii="Cambria" w:eastAsiaTheme="minorEastAsia" w:hAnsi="Cambria" w:cstheme="minorHAnsi"/>
                <w:sz w:val="24"/>
                <w:szCs w:val="24"/>
              </w:rPr>
            </w:pPr>
            <w:r>
              <w:rPr>
                <w:rFonts w:ascii="Cambria" w:eastAsiaTheme="minorEastAsia" w:hAnsi="Cambria" w:cstheme="minorHAnsi"/>
                <w:sz w:val="24"/>
                <w:szCs w:val="24"/>
              </w:rPr>
              <w:lastRenderedPageBreak/>
              <w:t>Total</w:t>
            </w:r>
            <w:r w:rsidRPr="0007294F">
              <w:rPr>
                <w:rFonts w:ascii="Cambria" w:eastAsiaTheme="minorEastAsia" w:hAnsi="Cambria" w:cstheme="minorHAnsi"/>
                <w:sz w:val="24"/>
                <w:szCs w:val="24"/>
              </w:rPr>
              <w:t xml:space="preserve"> population</w:t>
            </w:r>
          </w:p>
        </w:tc>
        <w:tc>
          <w:tcPr>
            <w:tcW w:w="1987" w:type="dxa"/>
          </w:tcPr>
          <w:p w14:paraId="37C32254"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r w:rsidR="00D33390" w:rsidRPr="0007294F" w14:paraId="0AE17220" w14:textId="77777777" w:rsidTr="001A521C">
        <w:tc>
          <w:tcPr>
            <w:tcW w:w="1938" w:type="dxa"/>
          </w:tcPr>
          <w:p w14:paraId="6F33E325"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Rural population</w:t>
            </w:r>
          </w:p>
        </w:tc>
        <w:tc>
          <w:tcPr>
            <w:tcW w:w="2169" w:type="dxa"/>
          </w:tcPr>
          <w:p w14:paraId="349DE7D2"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sz w:val="24"/>
                <w:szCs w:val="24"/>
              </w:rPr>
              <w:t xml:space="preserve">The rural population represents the percentage of the total population residing in rural areas. Given that the poorest nations often exhibit a higher proportion of rural populations, coupled with the fact that food insecurity is more prevalent in rural areas, an elevated percentage of rural residents may correlate with lower national food security. Additionally, this demographic characteristic signifies a crucial aspect of domestic resource endowments—specifically, the rural population's contribution, particularly the agricultural labor force, which can have a positive impact on food </w:t>
            </w:r>
            <w:r w:rsidRPr="0007294F">
              <w:rPr>
                <w:rFonts w:ascii="Cambria" w:hAnsi="Cambria" w:cstheme="minorHAnsi"/>
                <w:sz w:val="24"/>
                <w:szCs w:val="24"/>
              </w:rPr>
              <w:lastRenderedPageBreak/>
              <w:t>production and availability.</w:t>
            </w:r>
          </w:p>
        </w:tc>
        <w:tc>
          <w:tcPr>
            <w:tcW w:w="2923" w:type="dxa"/>
          </w:tcPr>
          <w:p w14:paraId="28D333FD" w14:textId="7463E7D1" w:rsidR="00D33390" w:rsidRPr="0007294F" w:rsidRDefault="00D33390" w:rsidP="00CF781B">
            <w:pPr>
              <w:spacing w:after="240"/>
              <w:rPr>
                <w:rFonts w:ascii="Cambria" w:eastAsiaTheme="minorEastAsia" w:hAnsi="Cambria" w:cstheme="minorHAnsi"/>
                <w:sz w:val="24"/>
                <w:szCs w:val="24"/>
              </w:rPr>
            </w:pPr>
            <w:r>
              <w:rPr>
                <w:rFonts w:ascii="Cambria" w:eastAsiaTheme="minorEastAsia" w:hAnsi="Cambria" w:cstheme="minorHAnsi"/>
                <w:sz w:val="24"/>
                <w:szCs w:val="24"/>
              </w:rPr>
              <w:lastRenderedPageBreak/>
              <w:t>Percentage</w:t>
            </w:r>
            <w:r w:rsidRPr="0007294F">
              <w:rPr>
                <w:rFonts w:ascii="Cambria" w:eastAsiaTheme="minorEastAsia" w:hAnsi="Cambria" w:cstheme="minorHAnsi"/>
                <w:sz w:val="24"/>
                <w:szCs w:val="24"/>
              </w:rPr>
              <w:t xml:space="preserve"> of rural population over total population</w:t>
            </w:r>
          </w:p>
        </w:tc>
        <w:tc>
          <w:tcPr>
            <w:tcW w:w="1987" w:type="dxa"/>
          </w:tcPr>
          <w:p w14:paraId="497E3C70"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r w:rsidR="00D33390" w:rsidRPr="0007294F" w14:paraId="7728F77E" w14:textId="77777777" w:rsidTr="001A521C">
        <w:tc>
          <w:tcPr>
            <w:tcW w:w="1938" w:type="dxa"/>
          </w:tcPr>
          <w:p w14:paraId="05E3FC83"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GDP per capita</w:t>
            </w:r>
          </w:p>
        </w:tc>
        <w:tc>
          <w:tcPr>
            <w:tcW w:w="2169" w:type="dxa"/>
          </w:tcPr>
          <w:p w14:paraId="165ADAA0"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sz w:val="24"/>
                <w:szCs w:val="24"/>
              </w:rPr>
              <w:t>It serves as a gauge for average real income, determining food security by influencing economic access to food.</w:t>
            </w:r>
          </w:p>
        </w:tc>
        <w:tc>
          <w:tcPr>
            <w:tcW w:w="2923" w:type="dxa"/>
          </w:tcPr>
          <w:p w14:paraId="3681E5F8"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GDP (PPP) per capita in constant term USD</w:t>
            </w:r>
          </w:p>
        </w:tc>
        <w:tc>
          <w:tcPr>
            <w:tcW w:w="1987" w:type="dxa"/>
          </w:tcPr>
          <w:p w14:paraId="30603DA0" w14:textId="2F45A738"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w:t>
            </w:r>
            <w:r>
              <w:rPr>
                <w:rFonts w:ascii="Cambria" w:eastAsiaTheme="minorEastAsia" w:hAnsi="Cambria" w:cstheme="minorHAnsi"/>
                <w:sz w:val="24"/>
                <w:szCs w:val="24"/>
              </w:rPr>
              <w:t>i</w:t>
            </w:r>
            <w:r w:rsidRPr="0007294F">
              <w:rPr>
                <w:rFonts w:ascii="Cambria" w:eastAsiaTheme="minorEastAsia" w:hAnsi="Cambria" w:cstheme="minorHAnsi"/>
                <w:sz w:val="24"/>
                <w:szCs w:val="24"/>
              </w:rPr>
              <w:t>cators</w:t>
            </w:r>
          </w:p>
        </w:tc>
      </w:tr>
      <w:tr w:rsidR="00D33390" w:rsidRPr="0007294F" w14:paraId="3B5F2F99" w14:textId="77777777" w:rsidTr="001A521C">
        <w:tc>
          <w:tcPr>
            <w:tcW w:w="1938" w:type="dxa"/>
          </w:tcPr>
          <w:p w14:paraId="79AB8AD7"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 xml:space="preserve">Consumer Price Index </w:t>
            </w:r>
          </w:p>
        </w:tc>
        <w:tc>
          <w:tcPr>
            <w:tcW w:w="2169" w:type="dxa"/>
          </w:tcPr>
          <w:p w14:paraId="44FA53DD"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sz w:val="24"/>
                <w:szCs w:val="24"/>
              </w:rPr>
              <w:t>Higher prices may affect consumers' purchasing power, potentially limiting their ability to access an adequate and diverse supply of food. Additionally, inflationary pressures can influence production costs and supply chains, indirectly impacting food availability.</w:t>
            </w:r>
          </w:p>
        </w:tc>
        <w:tc>
          <w:tcPr>
            <w:tcW w:w="2923" w:type="dxa"/>
          </w:tcPr>
          <w:p w14:paraId="52702591"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Consumer price index (normalized for 2010)</w:t>
            </w:r>
          </w:p>
        </w:tc>
        <w:tc>
          <w:tcPr>
            <w:tcW w:w="1987" w:type="dxa"/>
          </w:tcPr>
          <w:p w14:paraId="335E152D"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r w:rsidR="00D33390" w:rsidRPr="0007294F" w14:paraId="1E01B26C" w14:textId="77777777" w:rsidTr="001A521C">
        <w:tc>
          <w:tcPr>
            <w:tcW w:w="1938" w:type="dxa"/>
          </w:tcPr>
          <w:p w14:paraId="4DB1C8AA"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Agricultural TFP</w:t>
            </w:r>
          </w:p>
        </w:tc>
        <w:tc>
          <w:tcPr>
            <w:tcW w:w="2169" w:type="dxa"/>
          </w:tcPr>
          <w:p w14:paraId="386BF18F"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sz w:val="24"/>
                <w:szCs w:val="24"/>
              </w:rPr>
              <w:t>Increased agricultural productivity is expected to have a positive impact on the domestic food supply.</w:t>
            </w:r>
          </w:p>
        </w:tc>
        <w:tc>
          <w:tcPr>
            <w:tcW w:w="2923" w:type="dxa"/>
          </w:tcPr>
          <w:p w14:paraId="201EBF96"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Cereals yield per hectare</w:t>
            </w:r>
          </w:p>
        </w:tc>
        <w:tc>
          <w:tcPr>
            <w:tcW w:w="1987" w:type="dxa"/>
          </w:tcPr>
          <w:p w14:paraId="56A89FA7"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r w:rsidR="00D33390" w:rsidRPr="0007294F" w14:paraId="44CDCEBD" w14:textId="77777777" w:rsidTr="001A521C">
        <w:tc>
          <w:tcPr>
            <w:tcW w:w="1938" w:type="dxa"/>
          </w:tcPr>
          <w:p w14:paraId="42268A2A"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Arable land</w:t>
            </w:r>
          </w:p>
        </w:tc>
        <w:tc>
          <w:tcPr>
            <w:tcW w:w="2169" w:type="dxa"/>
          </w:tcPr>
          <w:p w14:paraId="5B8F382F"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hAnsi="Cambria" w:cstheme="minorHAnsi"/>
                <w:sz w:val="24"/>
                <w:szCs w:val="24"/>
              </w:rPr>
              <w:t xml:space="preserve">The arable land variable quantifies the extent of land available for </w:t>
            </w:r>
            <w:r w:rsidRPr="0007294F">
              <w:rPr>
                <w:rFonts w:ascii="Cambria" w:hAnsi="Cambria" w:cstheme="minorHAnsi"/>
                <w:sz w:val="24"/>
                <w:szCs w:val="24"/>
              </w:rPr>
              <w:lastRenderedPageBreak/>
              <w:t>agricultural production.</w:t>
            </w:r>
          </w:p>
        </w:tc>
        <w:tc>
          <w:tcPr>
            <w:tcW w:w="2923" w:type="dxa"/>
          </w:tcPr>
          <w:p w14:paraId="206B557E"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lastRenderedPageBreak/>
              <w:t>Total arable land in hectares</w:t>
            </w:r>
          </w:p>
        </w:tc>
        <w:tc>
          <w:tcPr>
            <w:tcW w:w="1987" w:type="dxa"/>
          </w:tcPr>
          <w:p w14:paraId="50BB8443" w14:textId="77777777" w:rsidR="00D33390" w:rsidRPr="0007294F" w:rsidRDefault="00D33390" w:rsidP="00CF781B">
            <w:pPr>
              <w:spacing w:after="240"/>
              <w:rPr>
                <w:rFonts w:ascii="Cambria" w:eastAsiaTheme="minorEastAsia" w:hAnsi="Cambria" w:cstheme="minorHAnsi"/>
                <w:sz w:val="24"/>
                <w:szCs w:val="24"/>
              </w:rPr>
            </w:pPr>
            <w:r w:rsidRPr="0007294F">
              <w:rPr>
                <w:rFonts w:ascii="Cambria" w:eastAsiaTheme="minorEastAsia" w:hAnsi="Cambria" w:cstheme="minorHAnsi"/>
                <w:sz w:val="24"/>
                <w:szCs w:val="24"/>
              </w:rPr>
              <w:t>World Development Indicators</w:t>
            </w:r>
          </w:p>
        </w:tc>
      </w:tr>
    </w:tbl>
    <w:p w14:paraId="18D4B9BE" w14:textId="5C9377B5" w:rsidR="00354903" w:rsidRPr="0007294F" w:rsidRDefault="00354903" w:rsidP="00CF781B">
      <w:pPr>
        <w:pStyle w:val="ListParagraph"/>
        <w:ind w:left="567" w:right="96"/>
        <w:jc w:val="both"/>
        <w:rPr>
          <w:rFonts w:ascii="Cambria" w:hAnsi="Cambria"/>
          <w:sz w:val="28"/>
          <w:szCs w:val="28"/>
        </w:rPr>
      </w:pPr>
    </w:p>
    <w:p w14:paraId="69872012" w14:textId="77777777" w:rsidR="00947FAF" w:rsidRDefault="00947FAF" w:rsidP="00947FAF">
      <w:pPr>
        <w:pStyle w:val="Title"/>
      </w:pPr>
      <w:r>
        <w:br w:type="page"/>
      </w:r>
    </w:p>
    <w:p w14:paraId="64A7E34D" w14:textId="6DA18C0F" w:rsidR="00F051EE" w:rsidRDefault="004F3680" w:rsidP="00947FAF">
      <w:pPr>
        <w:pStyle w:val="Title"/>
        <w:jc w:val="center"/>
      </w:pPr>
      <w:r>
        <w:lastRenderedPageBreak/>
        <w:t xml:space="preserve">Countries trade </w:t>
      </w:r>
      <w:r w:rsidRPr="00947FAF">
        <w:t>patterns</w:t>
      </w:r>
      <w:r>
        <w:t xml:space="preserve"> </w:t>
      </w:r>
      <w:r w:rsidR="00F051EE">
        <w:t xml:space="preserve">and its impact on </w:t>
      </w:r>
      <w:r w:rsidR="00773B99">
        <w:t>n</w:t>
      </w:r>
      <w:r w:rsidR="00F051EE" w:rsidRPr="0007294F">
        <w:t>utrition Security</w:t>
      </w:r>
    </w:p>
    <w:p w14:paraId="65199C9C" w14:textId="59A58477" w:rsidR="004F3680" w:rsidRPr="00CF781B" w:rsidRDefault="004F3680" w:rsidP="00947FAF">
      <w:pPr>
        <w:pStyle w:val="Heading1"/>
      </w:pPr>
      <w:bookmarkStart w:id="8" w:name="_Toc155551035"/>
      <w:r w:rsidRPr="00CF781B">
        <w:t>Motivation</w:t>
      </w:r>
      <w:bookmarkEnd w:id="8"/>
    </w:p>
    <w:p w14:paraId="1D47A120" w14:textId="4D2CAC5F" w:rsidR="00221724" w:rsidRPr="00CF781B" w:rsidRDefault="00221724" w:rsidP="00CF781B">
      <w:pPr>
        <w:pStyle w:val="NormalWeb"/>
        <w:spacing w:before="120" w:beforeAutospacing="0" w:after="120" w:afterAutospacing="0" w:line="276" w:lineRule="auto"/>
        <w:rPr>
          <w:rFonts w:ascii="Cambria" w:eastAsia="Arial" w:hAnsi="Cambria" w:cs="Arial"/>
          <w:lang w:val="en" w:eastAsia="en-GB"/>
        </w:rPr>
      </w:pPr>
      <w:r w:rsidRPr="00CF781B">
        <w:rPr>
          <w:rFonts w:ascii="Cambria" w:eastAsia="Arial" w:hAnsi="Cambria" w:cs="Arial"/>
          <w:lang w:val="en" w:eastAsia="en-GB"/>
        </w:rPr>
        <w:t>The integration of countries into the global trade network is crucial, and it can be viewed from both import and export perspectives.</w:t>
      </w:r>
      <w:r w:rsidR="00B24924" w:rsidRPr="00CF781B">
        <w:rPr>
          <w:rFonts w:ascii="Cambria" w:eastAsia="Arial" w:hAnsi="Cambria" w:cs="Arial"/>
          <w:lang w:val="en" w:eastAsia="en-GB"/>
        </w:rPr>
        <w:t xml:space="preserve"> </w:t>
      </w:r>
      <w:r w:rsidR="00E71709" w:rsidRPr="00CF781B">
        <w:rPr>
          <w:rFonts w:ascii="Cambria" w:eastAsia="Arial" w:hAnsi="Cambria" w:cs="Arial"/>
          <w:lang w:val="en" w:eastAsia="en-GB"/>
        </w:rPr>
        <w:t xml:space="preserve">The ability </w:t>
      </w:r>
      <w:r w:rsidR="00B24924" w:rsidRPr="00CF781B">
        <w:rPr>
          <w:rFonts w:ascii="Cambria" w:eastAsia="Arial" w:hAnsi="Cambria" w:cs="Arial"/>
          <w:lang w:val="en" w:eastAsia="en-GB"/>
        </w:rPr>
        <w:t>of</w:t>
      </w:r>
      <w:r w:rsidR="00E71709" w:rsidRPr="00CF781B">
        <w:rPr>
          <w:rFonts w:ascii="Cambria" w:eastAsia="Arial" w:hAnsi="Cambria" w:cs="Arial"/>
          <w:lang w:val="en" w:eastAsia="en-GB"/>
        </w:rPr>
        <w:t xml:space="preserve"> nations to import goods helps alleviate domestic production shocks, ensuring a steady supply of a diverse range of products throughout various seasons and often at more affordable prices. While reliance on imports enhances resilience, it also poses the risk of translating negative shocks to the domestic economy.</w:t>
      </w:r>
      <w:r w:rsidRPr="00CF781B">
        <w:rPr>
          <w:rFonts w:ascii="Cambria" w:eastAsia="Arial" w:hAnsi="Cambria" w:cs="Arial"/>
          <w:lang w:val="en" w:eastAsia="en-GB"/>
        </w:rPr>
        <w:t xml:space="preserve"> Moreover</w:t>
      </w:r>
      <w:r w:rsidR="00E71709" w:rsidRPr="00CF781B">
        <w:rPr>
          <w:rFonts w:ascii="Cambria" w:eastAsia="Arial" w:hAnsi="Cambria" w:cs="Arial"/>
          <w:lang w:val="en" w:eastAsia="en-GB"/>
        </w:rPr>
        <w:t xml:space="preserve">, the opportunity for countries to engage in export activities opens up a larger market size and potentially higher prices for their goods. However, dependence on exports makes nations susceptible to global demand shocks and the import policies of trading partners, which can significantly impact export revenues. </w:t>
      </w:r>
    </w:p>
    <w:p w14:paraId="092C918B" w14:textId="0FDA646B" w:rsidR="00221724" w:rsidRPr="00CF781B" w:rsidRDefault="00221724" w:rsidP="00CF781B">
      <w:pPr>
        <w:pStyle w:val="NormalWeb"/>
        <w:spacing w:before="120" w:beforeAutospacing="0" w:after="120" w:afterAutospacing="0" w:line="276" w:lineRule="auto"/>
        <w:rPr>
          <w:rFonts w:ascii="Cambria" w:eastAsia="Arial" w:hAnsi="Cambria" w:cs="Arial"/>
          <w:lang w:val="en" w:eastAsia="en-GB"/>
        </w:rPr>
      </w:pPr>
      <w:r w:rsidRPr="00CF781B">
        <w:rPr>
          <w:rFonts w:ascii="Cambria" w:eastAsia="Arial" w:hAnsi="Cambria" w:cs="Arial"/>
          <w:lang w:val="en" w:eastAsia="en-GB"/>
        </w:rPr>
        <w:t xml:space="preserve">As countries integrate into the global trade network, the dynamics of import and export activities can shape the availability, affordability, and diversity of food products, directly </w:t>
      </w:r>
      <w:r w:rsidR="00816926" w:rsidRPr="00CF781B">
        <w:rPr>
          <w:rFonts w:ascii="Cambria" w:eastAsia="Arial" w:hAnsi="Cambria" w:cs="Arial"/>
          <w:lang w:val="en" w:eastAsia="en-GB"/>
        </w:rPr>
        <w:t xml:space="preserve">and indirectly </w:t>
      </w:r>
      <w:r w:rsidRPr="00CF781B">
        <w:rPr>
          <w:rFonts w:ascii="Cambria" w:eastAsia="Arial" w:hAnsi="Cambria" w:cs="Arial"/>
          <w:lang w:val="en" w:eastAsia="en-GB"/>
        </w:rPr>
        <w:t xml:space="preserve">influencing the overall health of populations. Examination of the impact of trade on </w:t>
      </w:r>
      <w:r w:rsidR="00B24924" w:rsidRPr="00CF781B">
        <w:rPr>
          <w:rFonts w:ascii="Cambria" w:eastAsia="Arial" w:hAnsi="Cambria" w:cs="Arial"/>
          <w:lang w:val="en" w:eastAsia="en-GB"/>
        </w:rPr>
        <w:t xml:space="preserve">the </w:t>
      </w:r>
      <w:r w:rsidRPr="00CF781B">
        <w:rPr>
          <w:rFonts w:ascii="Cambria" w:eastAsia="Arial" w:hAnsi="Cambria" w:cs="Arial"/>
          <w:lang w:val="en" w:eastAsia="en-GB"/>
        </w:rPr>
        <w:t>nutritional status of countries is crucial as trade policies must ensure th</w:t>
      </w:r>
      <w:r w:rsidR="00816926" w:rsidRPr="00CF781B">
        <w:rPr>
          <w:rFonts w:ascii="Cambria" w:eastAsia="Arial" w:hAnsi="Cambria" w:cs="Arial"/>
          <w:lang w:val="en" w:eastAsia="en-GB"/>
        </w:rPr>
        <w:t>a</w:t>
      </w:r>
      <w:r w:rsidRPr="00CF781B">
        <w:rPr>
          <w:rFonts w:ascii="Cambria" w:eastAsia="Arial" w:hAnsi="Cambria" w:cs="Arial"/>
          <w:lang w:val="en" w:eastAsia="en-GB"/>
        </w:rPr>
        <w:t>t economic development aligns with the imperative of maintaining nutritionally secure environments.</w:t>
      </w:r>
    </w:p>
    <w:p w14:paraId="44C4C494" w14:textId="77777777" w:rsidR="004F3680" w:rsidRPr="00CF781B" w:rsidRDefault="00F051EE" w:rsidP="00947FAF">
      <w:pPr>
        <w:pStyle w:val="Heading1"/>
      </w:pPr>
      <w:bookmarkStart w:id="9" w:name="_Toc155551036"/>
      <w:r w:rsidRPr="00CF781B">
        <w:t>Objective</w:t>
      </w:r>
      <w:bookmarkEnd w:id="9"/>
    </w:p>
    <w:p w14:paraId="319719D6" w14:textId="5E3E6648" w:rsidR="00816926" w:rsidRPr="00CF781B" w:rsidRDefault="00816926" w:rsidP="00CF781B">
      <w:pPr>
        <w:ind w:right="96"/>
        <w:rPr>
          <w:rFonts w:ascii="Cambria" w:hAnsi="Cambria"/>
          <w:sz w:val="24"/>
          <w:szCs w:val="24"/>
        </w:rPr>
      </w:pPr>
      <w:r w:rsidRPr="00CF781B">
        <w:rPr>
          <w:rFonts w:ascii="Cambria" w:hAnsi="Cambria"/>
          <w:sz w:val="24"/>
          <w:szCs w:val="24"/>
        </w:rPr>
        <w:t>We explore the impact of countries' import and export activities, along with their overall trade engagement and the diversification of these activities, on the nutritional security status of nations.</w:t>
      </w:r>
    </w:p>
    <w:p w14:paraId="3B371A04" w14:textId="5EA31630" w:rsidR="004F3680" w:rsidRPr="00CF781B" w:rsidRDefault="004F3680" w:rsidP="00947FAF">
      <w:pPr>
        <w:pStyle w:val="Heading1"/>
      </w:pPr>
      <w:bookmarkStart w:id="10" w:name="_Toc155551037"/>
      <w:r w:rsidRPr="00CF781B">
        <w:t>Regression Specification</w:t>
      </w:r>
      <w:bookmarkEnd w:id="10"/>
    </w:p>
    <w:p w14:paraId="59753465" w14:textId="0F6F43C4" w:rsidR="00977E85" w:rsidRPr="008120A9" w:rsidRDefault="008120A9" w:rsidP="00CF781B">
      <w:pPr>
        <w:spacing w:before="120" w:after="120"/>
        <w:ind w:right="96"/>
        <w:rPr>
          <w:rFonts w:ascii="Cambria" w:hAnsi="Cambria"/>
          <w:sz w:val="24"/>
          <w:szCs w:val="24"/>
        </w:rPr>
      </w:pPr>
      <w:r w:rsidRPr="008120A9">
        <w:rPr>
          <w:rFonts w:ascii="Cambria" w:hAnsi="Cambria"/>
          <w:sz w:val="24"/>
          <w:szCs w:val="24"/>
        </w:rPr>
        <w:t>To address this issue, we define the following regression and apply it separately to both the import and export activities of countries, as well as the overall trade of nations.</w:t>
      </w:r>
    </w:p>
    <w:p w14:paraId="3C7C5D88" w14:textId="79A71C54" w:rsidR="00F051EE" w:rsidRPr="00CF781B" w:rsidRDefault="00F051EE" w:rsidP="00CF781B">
      <w:pPr>
        <w:spacing w:before="120" w:after="120"/>
        <w:ind w:left="426" w:right="96"/>
        <w:jc w:val="both"/>
        <w:rPr>
          <w:rFonts w:ascii="Cambria" w:hAnsi="Cambria"/>
          <w:sz w:val="24"/>
          <w:szCs w:val="24"/>
        </w:rPr>
      </w:pPr>
      <m:oMath>
        <m:r>
          <m:rPr>
            <m:sty m:val="bi"/>
          </m:rPr>
          <w:rPr>
            <w:rFonts w:ascii="Cambria Math" w:hAnsi="Cambria Math"/>
            <w:sz w:val="24"/>
            <w:szCs w:val="24"/>
          </w:rPr>
          <m:t>Nutrition</m:t>
        </m:r>
        <m:r>
          <m:rPr>
            <m:sty m:val="p"/>
          </m:rPr>
          <w:rPr>
            <w:rFonts w:ascii="Cambria Math" w:hAnsi="Cambria Math"/>
            <w:sz w:val="24"/>
            <w:szCs w:val="24"/>
          </w:rPr>
          <m:t xml:space="preserve"> </m:t>
        </m:r>
        <m:r>
          <m:rPr>
            <m:sty m:val="bi"/>
          </m:rPr>
          <w:rPr>
            <w:rFonts w:ascii="Cambria Math" w:hAnsi="Cambria Math"/>
            <w:sz w:val="24"/>
            <w:szCs w:val="24"/>
          </w:rPr>
          <m:t>Securit</m:t>
        </m:r>
        <m:sSub>
          <m:sSubPr>
            <m:ctrlPr>
              <w:rPr>
                <w:rFonts w:ascii="Cambria Math" w:hAnsi="Cambria Math"/>
                <w:sz w:val="24"/>
                <w:szCs w:val="24"/>
              </w:rPr>
            </m:ctrlPr>
          </m:sSubPr>
          <m:e>
            <m:r>
              <m:rPr>
                <m:sty m:val="bi"/>
              </m:rPr>
              <w:rPr>
                <w:rFonts w:ascii="Cambria Math" w:hAnsi="Cambria Math"/>
                <w:sz w:val="24"/>
                <w:szCs w:val="24"/>
              </w:rPr>
              <m:t>y</m:t>
            </m:r>
          </m:e>
          <m:sub>
            <m:r>
              <m:rPr>
                <m:sty m:val="bi"/>
              </m:rPr>
              <w:rPr>
                <w:rFonts w:ascii="Cambria Math" w:hAnsi="Cambria Math"/>
                <w:sz w:val="24"/>
                <w:szCs w:val="24"/>
              </w:rPr>
              <m:t>it</m:t>
            </m:r>
          </m:sub>
        </m:sSub>
        <m:r>
          <m:rPr>
            <m:sty m:val="p"/>
          </m:rPr>
          <w:rPr>
            <w:rFonts w:ascii="Cambria Math" w:hAnsi="Cambria Math"/>
            <w:sz w:val="24"/>
            <w:szCs w:val="24"/>
          </w:rPr>
          <m:t>=</m:t>
        </m:r>
        <m:r>
          <m:rPr>
            <m:sty m:val="bi"/>
          </m:rPr>
          <w:rPr>
            <w:rFonts w:ascii="Cambria Math" w:hAnsi="Cambria Math"/>
            <w:sz w:val="24"/>
            <w:szCs w:val="24"/>
          </w:rPr>
          <m:t>a</m:t>
        </m:r>
        <m:r>
          <m:rPr>
            <m:sty m:val="p"/>
          </m:rPr>
          <w:rPr>
            <w:rFonts w:ascii="Cambria Math" w:hAnsi="Cambria Math"/>
            <w:sz w:val="24"/>
            <w:szCs w:val="24"/>
          </w:rPr>
          <m:t>+</m:t>
        </m:r>
        <m:r>
          <m:rPr>
            <m:sty m:val="bi"/>
          </m:rPr>
          <w:rPr>
            <w:rFonts w:ascii="Cambria Math" w:hAnsi="Cambria Math"/>
            <w:sz w:val="24"/>
            <w:szCs w:val="24"/>
          </w:rPr>
          <m:t>Connectivit</m:t>
        </m:r>
        <m:sSub>
          <m:sSubPr>
            <m:ctrlPr>
              <w:rPr>
                <w:rFonts w:ascii="Cambria Math" w:hAnsi="Cambria Math"/>
                <w:sz w:val="24"/>
                <w:szCs w:val="24"/>
              </w:rPr>
            </m:ctrlPr>
          </m:sSubPr>
          <m:e>
            <m:r>
              <m:rPr>
                <m:sty m:val="bi"/>
              </m:rPr>
              <w:rPr>
                <w:rFonts w:ascii="Cambria Math" w:hAnsi="Cambria Math"/>
                <w:sz w:val="24"/>
                <w:szCs w:val="24"/>
              </w:rPr>
              <m:t>y</m:t>
            </m:r>
          </m:e>
          <m:sub>
            <m:r>
              <m:rPr>
                <m:sty m:val="bi"/>
              </m:rPr>
              <w:rPr>
                <w:rFonts w:ascii="Cambria Math" w:hAnsi="Cambria Math"/>
                <w:sz w:val="24"/>
                <w:szCs w:val="24"/>
              </w:rPr>
              <m:t>it</m:t>
            </m:r>
          </m:sub>
        </m:sSub>
        <m:r>
          <m:rPr>
            <m:sty m:val="p"/>
          </m:rPr>
          <w:rPr>
            <w:rFonts w:ascii="Cambria Math" w:hAnsi="Cambria Math"/>
            <w:sz w:val="24"/>
            <w:szCs w:val="24"/>
          </w:rPr>
          <m:t>+</m:t>
        </m:r>
        <m:r>
          <m:rPr>
            <m:sty m:val="bi"/>
          </m:rPr>
          <w:rPr>
            <w:rFonts w:ascii="Cambria Math" w:hAnsi="Cambria Math"/>
            <w:sz w:val="24"/>
            <w:szCs w:val="24"/>
          </w:rPr>
          <m:t>Connectivit</m:t>
        </m:r>
        <m:sSub>
          <m:sSubPr>
            <m:ctrlPr>
              <w:rPr>
                <w:rFonts w:ascii="Cambria Math" w:hAnsi="Cambria Math"/>
                <w:sz w:val="24"/>
                <w:szCs w:val="24"/>
              </w:rPr>
            </m:ctrlPr>
          </m:sSubPr>
          <m:e>
            <m:r>
              <m:rPr>
                <m:sty m:val="bi"/>
              </m:rPr>
              <w:rPr>
                <w:rFonts w:ascii="Cambria Math" w:hAnsi="Cambria Math"/>
                <w:sz w:val="24"/>
                <w:szCs w:val="24"/>
              </w:rPr>
              <m:t>y</m:t>
            </m:r>
          </m:e>
          <m:sub>
            <m:r>
              <m:rPr>
                <m:sty m:val="bi"/>
              </m:rPr>
              <w:rPr>
                <w:rFonts w:ascii="Cambria Math" w:hAnsi="Cambria Math"/>
                <w:sz w:val="24"/>
                <w:szCs w:val="24"/>
              </w:rPr>
              <m:t>it</m:t>
            </m:r>
          </m:sub>
        </m:sSub>
        <m:r>
          <m:rPr>
            <m:sty m:val="p"/>
          </m:rPr>
          <w:rPr>
            <w:rFonts w:ascii="Cambria Math" w:hAnsi="Cambria Math"/>
            <w:sz w:val="24"/>
            <w:szCs w:val="24"/>
          </w:rPr>
          <m:t xml:space="preserve"> </m:t>
        </m:r>
        <m:r>
          <m:rPr>
            <m:sty m:val="bi"/>
          </m:rPr>
          <w:rPr>
            <w:rFonts w:ascii="Cambria Math" w:hAnsi="Cambria Math"/>
            <w:sz w:val="24"/>
            <w:szCs w:val="24"/>
          </w:rPr>
          <m:t>x</m:t>
        </m:r>
        <m:r>
          <m:rPr>
            <m:sty m:val="p"/>
          </m:rP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IntDiversification</m:t>
            </m:r>
          </m:e>
          <m:sub>
            <m:r>
              <m:rPr>
                <m:sty m:val="bi"/>
              </m:rPr>
              <w:rPr>
                <w:rFonts w:ascii="Cambria Math" w:hAnsi="Cambria Math"/>
                <w:sz w:val="24"/>
                <w:szCs w:val="24"/>
              </w:rPr>
              <m:t>it</m:t>
            </m:r>
          </m:sub>
        </m:sSub>
        <m:r>
          <m:rPr>
            <m:sty m:val="p"/>
          </m:rPr>
          <w:rPr>
            <w:rFonts w:ascii="Cambria Math" w:hAnsi="Cambria Math"/>
            <w:sz w:val="24"/>
            <w:szCs w:val="24"/>
          </w:rPr>
          <m:t>+</m:t>
        </m:r>
        <m:r>
          <m:rPr>
            <m:sty m:val="bi"/>
          </m:rPr>
          <w:rPr>
            <w:rFonts w:ascii="Cambria Math" w:hAnsi="Cambria Math"/>
            <w:sz w:val="24"/>
            <w:szCs w:val="24"/>
          </w:rPr>
          <m:t>Connectivit</m:t>
        </m:r>
        <m:sSub>
          <m:sSubPr>
            <m:ctrlPr>
              <w:rPr>
                <w:rFonts w:ascii="Cambria Math" w:hAnsi="Cambria Math"/>
                <w:sz w:val="24"/>
                <w:szCs w:val="24"/>
              </w:rPr>
            </m:ctrlPr>
          </m:sSubPr>
          <m:e>
            <m:r>
              <m:rPr>
                <m:sty m:val="bi"/>
              </m:rPr>
              <w:rPr>
                <w:rFonts w:ascii="Cambria Math" w:hAnsi="Cambria Math"/>
                <w:sz w:val="24"/>
                <w:szCs w:val="24"/>
              </w:rPr>
              <m:t>y</m:t>
            </m:r>
          </m:e>
          <m:sub>
            <m:r>
              <m:rPr>
                <m:sty m:val="bi"/>
              </m:rPr>
              <w:rPr>
                <w:rFonts w:ascii="Cambria Math" w:hAnsi="Cambria Math"/>
                <w:sz w:val="24"/>
                <w:szCs w:val="24"/>
              </w:rPr>
              <m:t>it</m:t>
            </m:r>
          </m:sub>
        </m:sSub>
        <m:r>
          <m:rPr>
            <m:sty m:val="p"/>
          </m:rPr>
          <w:rPr>
            <w:rFonts w:ascii="Cambria Math" w:hAnsi="Cambria Math"/>
            <w:sz w:val="24"/>
            <w:szCs w:val="24"/>
          </w:rPr>
          <m:t xml:space="preserve"> </m:t>
        </m:r>
        <m:r>
          <m:rPr>
            <m:sty m:val="bi"/>
          </m:rPr>
          <w:rPr>
            <w:rFonts w:ascii="Cambria Math" w:hAnsi="Cambria Math"/>
            <w:sz w:val="24"/>
            <w:szCs w:val="24"/>
          </w:rPr>
          <m:t>x</m:t>
        </m:r>
        <m:r>
          <m:rPr>
            <m:sty m:val="p"/>
          </m:rP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ExtDiversification</m:t>
            </m:r>
          </m:e>
          <m:sub>
            <m:r>
              <m:rPr>
                <m:sty m:val="bi"/>
              </m:rPr>
              <w:rPr>
                <w:rFonts w:ascii="Cambria Math" w:hAnsi="Cambria Math"/>
                <w:sz w:val="24"/>
                <w:szCs w:val="24"/>
              </w:rPr>
              <m:t>it</m:t>
            </m:r>
          </m:sub>
        </m:sSub>
        <m:r>
          <m:rPr>
            <m:sty m:val="p"/>
          </m:rPr>
          <w:rPr>
            <w:rFonts w:ascii="Cambria Math" w:hAnsi="Cambria Math"/>
            <w:sz w:val="24"/>
            <w:szCs w:val="24"/>
          </w:rPr>
          <m:t>+</m:t>
        </m:r>
        <m:r>
          <m:rPr>
            <m:sty m:val="bi"/>
          </m:rPr>
          <w:rPr>
            <w:rFonts w:ascii="Cambria Math" w:hAnsi="Cambria Math"/>
            <w:sz w:val="24"/>
            <w:szCs w:val="24"/>
          </w:rPr>
          <m:t>Controls</m:t>
        </m:r>
      </m:oMath>
      <w:r w:rsidRPr="00CF781B">
        <w:rPr>
          <w:rFonts w:ascii="Cambria" w:hAnsi="Cambr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FE</m:t>
            </m:r>
          </m:e>
          <m:sub>
            <m:r>
              <m:rPr>
                <m:sty m:val="bi"/>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FE</m:t>
            </m:r>
          </m:e>
          <m:sub>
            <m:r>
              <m:rPr>
                <m:sty m:val="bi"/>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it</m:t>
            </m:r>
          </m:sub>
        </m:sSub>
      </m:oMath>
    </w:p>
    <w:p w14:paraId="093944E9" w14:textId="5D1A6B22" w:rsidR="008120A9" w:rsidRPr="00CF781B" w:rsidRDefault="008120A9" w:rsidP="00CF781B">
      <w:pPr>
        <w:spacing w:before="120" w:after="120"/>
        <w:rPr>
          <w:rFonts w:ascii="Cambria" w:hAnsi="Cambria"/>
          <w:sz w:val="24"/>
          <w:szCs w:val="24"/>
        </w:rPr>
      </w:pPr>
      <w:r w:rsidRPr="00CF781B">
        <w:rPr>
          <w:rFonts w:ascii="Cambria" w:hAnsi="Cambria"/>
          <w:sz w:val="24"/>
          <w:szCs w:val="24"/>
        </w:rPr>
        <w:t>Connectiv</w:t>
      </w:r>
      <w:r w:rsidR="00B24924" w:rsidRPr="00CF781B">
        <w:rPr>
          <w:rFonts w:ascii="Cambria" w:hAnsi="Cambria"/>
          <w:sz w:val="24"/>
          <w:szCs w:val="24"/>
        </w:rPr>
        <w:t>i</w:t>
      </w:r>
      <w:r w:rsidRPr="00CF781B">
        <w:rPr>
          <w:rFonts w:ascii="Cambria" w:hAnsi="Cambria"/>
          <w:sz w:val="24"/>
          <w:szCs w:val="24"/>
        </w:rPr>
        <w:t>ty measure will be calculated f</w:t>
      </w:r>
      <w:r w:rsidR="00B24924" w:rsidRPr="00CF781B">
        <w:rPr>
          <w:rFonts w:ascii="Cambria" w:hAnsi="Cambria"/>
          <w:sz w:val="24"/>
          <w:szCs w:val="24"/>
        </w:rPr>
        <w:t>ro</w:t>
      </w:r>
      <w:r w:rsidRPr="00CF781B">
        <w:rPr>
          <w:rFonts w:ascii="Cambria" w:hAnsi="Cambria"/>
          <w:sz w:val="24"/>
          <w:szCs w:val="24"/>
        </w:rPr>
        <w:t xml:space="preserve">m the trade network from </w:t>
      </w:r>
      <w:r w:rsidR="00B24924" w:rsidRPr="00CF781B">
        <w:rPr>
          <w:rFonts w:ascii="Cambria" w:hAnsi="Cambria"/>
          <w:sz w:val="24"/>
          <w:szCs w:val="24"/>
        </w:rPr>
        <w:t xml:space="preserve">the </w:t>
      </w:r>
      <w:r w:rsidRPr="00CF781B">
        <w:rPr>
          <w:rFonts w:ascii="Cambria" w:hAnsi="Cambria"/>
          <w:sz w:val="24"/>
          <w:szCs w:val="24"/>
        </w:rPr>
        <w:t>importers</w:t>
      </w:r>
      <w:r w:rsidR="00B24924" w:rsidRPr="00CF781B">
        <w:rPr>
          <w:rFonts w:ascii="Cambria" w:hAnsi="Cambria"/>
          <w:sz w:val="24"/>
          <w:szCs w:val="24"/>
        </w:rPr>
        <w:t>'</w:t>
      </w:r>
      <w:r w:rsidRPr="00CF781B">
        <w:rPr>
          <w:rFonts w:ascii="Cambria" w:hAnsi="Cambria"/>
          <w:sz w:val="24"/>
          <w:szCs w:val="24"/>
        </w:rPr>
        <w:t xml:space="preserve"> perspective, from the exporters’ perspective</w:t>
      </w:r>
      <w:r w:rsidR="00B24924" w:rsidRPr="00CF781B">
        <w:rPr>
          <w:rFonts w:ascii="Cambria" w:hAnsi="Cambria"/>
          <w:sz w:val="24"/>
          <w:szCs w:val="24"/>
        </w:rPr>
        <w:t>,</w:t>
      </w:r>
      <w:r w:rsidRPr="00CF781B">
        <w:rPr>
          <w:rFonts w:ascii="Cambria" w:hAnsi="Cambria"/>
          <w:sz w:val="24"/>
          <w:szCs w:val="24"/>
        </w:rPr>
        <w:t xml:space="preserve"> and from the un</w:t>
      </w:r>
      <w:r w:rsidR="00B24924" w:rsidRPr="00CF781B">
        <w:rPr>
          <w:rFonts w:ascii="Cambria" w:hAnsi="Cambria"/>
          <w:sz w:val="24"/>
          <w:szCs w:val="24"/>
        </w:rPr>
        <w:t>i</w:t>
      </w:r>
      <w:r w:rsidRPr="00CF781B">
        <w:rPr>
          <w:rFonts w:ascii="Cambria" w:hAnsi="Cambria"/>
          <w:sz w:val="24"/>
          <w:szCs w:val="24"/>
        </w:rPr>
        <w:t>directional trade matrix that consider</w:t>
      </w:r>
      <w:r w:rsidR="00B24924" w:rsidRPr="00CF781B">
        <w:rPr>
          <w:rFonts w:ascii="Cambria" w:hAnsi="Cambria"/>
          <w:sz w:val="24"/>
          <w:szCs w:val="24"/>
        </w:rPr>
        <w:t>s</w:t>
      </w:r>
      <w:r w:rsidRPr="00CF781B">
        <w:rPr>
          <w:rFonts w:ascii="Cambria" w:hAnsi="Cambria"/>
          <w:sz w:val="24"/>
          <w:szCs w:val="24"/>
        </w:rPr>
        <w:t xml:space="preserve"> overall trade values.</w:t>
      </w:r>
    </w:p>
    <w:p w14:paraId="2B196AFB" w14:textId="3A169872" w:rsidR="008120A9" w:rsidRPr="00CF781B" w:rsidRDefault="008120A9" w:rsidP="00CF781B">
      <w:pPr>
        <w:spacing w:before="120" w:after="120"/>
        <w:rPr>
          <w:rFonts w:ascii="Cambria" w:hAnsi="Cambria"/>
          <w:sz w:val="24"/>
          <w:szCs w:val="24"/>
        </w:rPr>
      </w:pPr>
      <m:oMath>
        <m:r>
          <m:rPr>
            <m:sty m:val="bi"/>
          </m:rPr>
          <w:rPr>
            <w:rFonts w:ascii="Cambria Math" w:hAnsi="Cambria Math"/>
            <w:sz w:val="24"/>
            <w:szCs w:val="24"/>
          </w:rPr>
          <m:t>IntDiversification</m:t>
        </m:r>
      </m:oMath>
      <w:r w:rsidRPr="00CF781B">
        <w:rPr>
          <w:rFonts w:ascii="Cambria" w:hAnsi="Cambria"/>
          <w:sz w:val="24"/>
          <w:szCs w:val="24"/>
        </w:rPr>
        <w:t xml:space="preserve">: </w:t>
      </w:r>
      <w:r w:rsidRPr="008120A9">
        <w:rPr>
          <w:rFonts w:ascii="Cambria" w:hAnsi="Cambria"/>
          <w:sz w:val="24"/>
          <w:szCs w:val="24"/>
        </w:rPr>
        <w:t>Accounts for the diversity of connectivity along the intensive margin of trade.</w:t>
      </w:r>
      <w:r w:rsidR="005952D4">
        <w:rPr>
          <w:rFonts w:ascii="Cambria" w:hAnsi="Cambria"/>
          <w:sz w:val="24"/>
          <w:szCs w:val="24"/>
        </w:rPr>
        <w:t xml:space="preserve">  </w:t>
      </w:r>
      <w:r w:rsidR="005952D4" w:rsidRPr="00CF781B">
        <w:rPr>
          <w:rFonts w:ascii="Cambria" w:hAnsi="Cambria"/>
          <w:sz w:val="24"/>
          <w:szCs w:val="24"/>
        </w:rPr>
        <w:t>We use the Shannon diversity of trade values across countries.</w:t>
      </w:r>
    </w:p>
    <w:p w14:paraId="658E2F35" w14:textId="771492E4" w:rsidR="008120A9" w:rsidRPr="00CF781B" w:rsidRDefault="00575406" w:rsidP="00CF781B">
      <w:pPr>
        <w:spacing w:before="120" w:after="120"/>
        <w:rPr>
          <w:rFonts w:ascii="Cambria" w:hAnsi="Cambria"/>
          <w:sz w:val="24"/>
          <w:szCs w:val="24"/>
        </w:rPr>
      </w:pPr>
      <m:oMath>
        <m:sSub>
          <m:sSubPr>
            <m:ctrlPr>
              <w:rPr>
                <w:rFonts w:ascii="Cambria Math" w:hAnsi="Cambria Math"/>
                <w:sz w:val="24"/>
                <w:szCs w:val="24"/>
              </w:rPr>
            </m:ctrlPr>
          </m:sSubPr>
          <m:e>
            <m:r>
              <m:rPr>
                <m:sty m:val="bi"/>
              </m:rPr>
              <w:rPr>
                <w:rFonts w:ascii="Cambria Math" w:hAnsi="Cambria Math"/>
                <w:sz w:val="24"/>
                <w:szCs w:val="24"/>
              </w:rPr>
              <m:t>ExtDiversification</m:t>
            </m:r>
          </m:e>
          <m:sub>
            <m:r>
              <m:rPr>
                <m:sty m:val="bi"/>
              </m:rPr>
              <w:rPr>
                <w:rFonts w:ascii="Cambria Math" w:hAnsi="Cambria Math"/>
                <w:sz w:val="24"/>
                <w:szCs w:val="24"/>
              </w:rPr>
              <m:t>it</m:t>
            </m:r>
          </m:sub>
        </m:sSub>
      </m:oMath>
      <w:r w:rsidR="008120A9" w:rsidRPr="00CF781B">
        <w:rPr>
          <w:rFonts w:ascii="Cambria" w:hAnsi="Cambria"/>
          <w:sz w:val="24"/>
          <w:szCs w:val="24"/>
        </w:rPr>
        <w:t xml:space="preserve">: </w:t>
      </w:r>
      <w:r w:rsidR="008120A9" w:rsidRPr="008120A9">
        <w:rPr>
          <w:rFonts w:ascii="Cambria" w:hAnsi="Cambria"/>
          <w:sz w:val="24"/>
          <w:szCs w:val="24"/>
        </w:rPr>
        <w:t>Accounts for the diversity of connectivity along the extensive margin of trade.</w:t>
      </w:r>
      <w:r w:rsidR="005952D4">
        <w:rPr>
          <w:rFonts w:ascii="Cambria" w:hAnsi="Cambria"/>
          <w:sz w:val="24"/>
          <w:szCs w:val="24"/>
        </w:rPr>
        <w:t xml:space="preserve"> </w:t>
      </w:r>
      <w:r w:rsidR="005952D4" w:rsidRPr="00CF781B">
        <w:rPr>
          <w:rFonts w:ascii="Cambria" w:hAnsi="Cambria"/>
          <w:sz w:val="24"/>
          <w:szCs w:val="24"/>
        </w:rPr>
        <w:t xml:space="preserve">We use the </w:t>
      </w:r>
      <w:r w:rsidR="00673096" w:rsidRPr="00CF781B">
        <w:rPr>
          <w:rFonts w:ascii="Cambria" w:hAnsi="Cambria"/>
          <w:sz w:val="24"/>
          <w:szCs w:val="24"/>
        </w:rPr>
        <w:t>number of trade links (per country, per prod</w:t>
      </w:r>
      <w:r w:rsidR="00B24924" w:rsidRPr="00CF781B">
        <w:rPr>
          <w:rFonts w:ascii="Cambria" w:hAnsi="Cambria"/>
          <w:sz w:val="24"/>
          <w:szCs w:val="24"/>
        </w:rPr>
        <w:t>uc</w:t>
      </w:r>
      <w:r w:rsidR="00673096" w:rsidRPr="00CF781B">
        <w:rPr>
          <w:rFonts w:ascii="Cambria" w:hAnsi="Cambria"/>
          <w:sz w:val="24"/>
          <w:szCs w:val="24"/>
        </w:rPr>
        <w:t>t)</w:t>
      </w:r>
      <w:r w:rsidR="005952D4" w:rsidRPr="00CF781B">
        <w:rPr>
          <w:rFonts w:ascii="Cambria" w:hAnsi="Cambria"/>
          <w:sz w:val="24"/>
          <w:szCs w:val="24"/>
        </w:rPr>
        <w:t>.</w:t>
      </w:r>
    </w:p>
    <w:p w14:paraId="060664B2" w14:textId="238A15D3" w:rsidR="00947FAF" w:rsidRDefault="00F17DD6" w:rsidP="00CF781B">
      <w:pPr>
        <w:pStyle w:val="Bibliography"/>
        <w:spacing w:before="120" w:after="120" w:line="276" w:lineRule="auto"/>
        <w:rPr>
          <w:rFonts w:ascii="Cambria" w:hAnsi="Cambria"/>
          <w:sz w:val="24"/>
          <w:szCs w:val="24"/>
        </w:rPr>
      </w:pPr>
      <w:r w:rsidRPr="00CF781B">
        <w:rPr>
          <w:rFonts w:ascii="Cambria" w:hAnsi="Cambria"/>
          <w:sz w:val="24"/>
          <w:szCs w:val="24"/>
        </w:rPr>
        <w:t>Control variables: The same as above</w:t>
      </w:r>
      <w:r w:rsidR="00947FAF">
        <w:rPr>
          <w:rFonts w:ascii="Cambria" w:hAnsi="Cambria"/>
          <w:sz w:val="24"/>
          <w:szCs w:val="24"/>
        </w:rPr>
        <w:br w:type="page"/>
      </w:r>
    </w:p>
    <w:p w14:paraId="1A430247" w14:textId="061B9978" w:rsidR="00B366E7" w:rsidRDefault="00354903" w:rsidP="00947FAF">
      <w:pPr>
        <w:pStyle w:val="Heading1"/>
      </w:pPr>
      <w:bookmarkStart w:id="11" w:name="_Toc155551038"/>
      <w:r w:rsidRPr="00CF781B">
        <w:lastRenderedPageBreak/>
        <w:t>References</w:t>
      </w:r>
      <w:r w:rsidRPr="0007294F">
        <w:t>:</w:t>
      </w:r>
      <w:bookmarkEnd w:id="11"/>
    </w:p>
    <w:p w14:paraId="7C21BDF6" w14:textId="737CEAA7" w:rsidR="00B366E7" w:rsidRPr="00B366E7" w:rsidRDefault="00354903" w:rsidP="00CF781B">
      <w:pPr>
        <w:pStyle w:val="Bibliography"/>
        <w:spacing w:line="276" w:lineRule="auto"/>
        <w:rPr>
          <w:rFonts w:ascii="Cambria" w:hAnsi="Cambria"/>
          <w:sz w:val="28"/>
        </w:rPr>
      </w:pPr>
      <w:r w:rsidRPr="0007294F">
        <w:rPr>
          <w:rFonts w:ascii="Cambria" w:hAnsi="Cambria"/>
          <w:sz w:val="28"/>
          <w:szCs w:val="28"/>
        </w:rPr>
        <w:t xml:space="preserve"> </w:t>
      </w:r>
      <w:r w:rsidR="00B366E7">
        <w:rPr>
          <w:rFonts w:ascii="Cambria" w:hAnsi="Cambria"/>
          <w:sz w:val="28"/>
          <w:szCs w:val="28"/>
        </w:rPr>
        <w:fldChar w:fldCharType="begin"/>
      </w:r>
      <w:r w:rsidR="00B366E7">
        <w:rPr>
          <w:rFonts w:ascii="Cambria" w:hAnsi="Cambria"/>
          <w:sz w:val="28"/>
          <w:szCs w:val="28"/>
        </w:rPr>
        <w:instrText xml:space="preserve"> ADDIN ZOTERO_BIBL {"uncited":[],"omitted":[],"custom":[]} CSL_BIBLIOGRAPHY </w:instrText>
      </w:r>
      <w:r w:rsidR="00B366E7">
        <w:rPr>
          <w:rFonts w:ascii="Cambria" w:hAnsi="Cambria"/>
          <w:sz w:val="28"/>
          <w:szCs w:val="28"/>
        </w:rPr>
        <w:fldChar w:fldCharType="separate"/>
      </w:r>
      <w:r w:rsidR="00B366E7" w:rsidRPr="00B366E7">
        <w:rPr>
          <w:rFonts w:ascii="Cambria" w:hAnsi="Cambria"/>
          <w:b/>
          <w:bCs/>
          <w:sz w:val="28"/>
        </w:rPr>
        <w:t>Anderson, J.E. &amp; Van Wincoop, E.</w:t>
      </w:r>
      <w:r w:rsidR="00B366E7" w:rsidRPr="00B366E7">
        <w:rPr>
          <w:rFonts w:ascii="Cambria" w:hAnsi="Cambria"/>
          <w:sz w:val="28"/>
        </w:rPr>
        <w:t xml:space="preserve"> 2004. Trade Costs. </w:t>
      </w:r>
      <w:r w:rsidR="00B366E7" w:rsidRPr="00B366E7">
        <w:rPr>
          <w:rFonts w:ascii="Cambria" w:hAnsi="Cambria"/>
          <w:i/>
          <w:iCs/>
          <w:sz w:val="28"/>
        </w:rPr>
        <w:t>Journal of Economic Literature</w:t>
      </w:r>
      <w:r w:rsidR="00B366E7" w:rsidRPr="00B366E7">
        <w:rPr>
          <w:rFonts w:ascii="Cambria" w:hAnsi="Cambria"/>
          <w:sz w:val="28"/>
        </w:rPr>
        <w:t>, 42(3): 691–751. https://doi.org/10.1257/0022051042177649</w:t>
      </w:r>
    </w:p>
    <w:p w14:paraId="35817364"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Cadot, O., Carrère, C. &amp; Strauss-Kahn, V.</w:t>
      </w:r>
      <w:r w:rsidRPr="00B366E7">
        <w:rPr>
          <w:rFonts w:ascii="Cambria" w:hAnsi="Cambria"/>
          <w:sz w:val="28"/>
        </w:rPr>
        <w:t xml:space="preserve"> 2011. Export Diversification: What’s behind the Hump? </w:t>
      </w:r>
      <w:r w:rsidRPr="00B366E7">
        <w:rPr>
          <w:rFonts w:ascii="Cambria" w:hAnsi="Cambria"/>
          <w:i/>
          <w:iCs/>
          <w:sz w:val="28"/>
        </w:rPr>
        <w:t>Review of Economics and Statistics</w:t>
      </w:r>
      <w:r w:rsidRPr="00B366E7">
        <w:rPr>
          <w:rFonts w:ascii="Cambria" w:hAnsi="Cambria"/>
          <w:sz w:val="28"/>
        </w:rPr>
        <w:t>, 93(2): 590–605. https://doi.org/10.1162/REST_a_00078</w:t>
      </w:r>
    </w:p>
    <w:p w14:paraId="423481E5"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Cadot, O., Carrère, C. &amp; Strauss</w:t>
      </w:r>
      <w:r w:rsidRPr="00B366E7">
        <w:rPr>
          <w:rFonts w:ascii="Cambria" w:hAnsi="Cambria" w:cs="Cambria Math"/>
          <w:b/>
          <w:bCs/>
          <w:sz w:val="28"/>
        </w:rPr>
        <w:t>‐</w:t>
      </w:r>
      <w:r w:rsidRPr="00B366E7">
        <w:rPr>
          <w:rFonts w:ascii="Cambria" w:hAnsi="Cambria"/>
          <w:b/>
          <w:bCs/>
          <w:sz w:val="28"/>
        </w:rPr>
        <w:t>Kahn, V.</w:t>
      </w:r>
      <w:r w:rsidRPr="00B366E7">
        <w:rPr>
          <w:rFonts w:ascii="Cambria" w:hAnsi="Cambria"/>
          <w:sz w:val="28"/>
        </w:rPr>
        <w:t xml:space="preserve"> 2013. Trade Diversification, Income, and Growth: What Do We Know? </w:t>
      </w:r>
      <w:r w:rsidRPr="00B366E7">
        <w:rPr>
          <w:rFonts w:ascii="Cambria" w:hAnsi="Cambria"/>
          <w:i/>
          <w:iCs/>
          <w:sz w:val="28"/>
        </w:rPr>
        <w:t>Journal of Economic Surveys</w:t>
      </w:r>
      <w:r w:rsidRPr="00B366E7">
        <w:rPr>
          <w:rFonts w:ascii="Cambria" w:hAnsi="Cambria"/>
          <w:sz w:val="28"/>
        </w:rPr>
        <w:t>, 27(4): 790–812. https://doi.org/10.1111/j.1467-6419.2011.00719.x</w:t>
      </w:r>
    </w:p>
    <w:p w14:paraId="7367FB5D" w14:textId="5922CD6A"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Center for Strategic and International Studies.</w:t>
      </w:r>
      <w:r w:rsidRPr="00B366E7">
        <w:rPr>
          <w:rFonts w:ascii="Cambria" w:hAnsi="Cambria"/>
          <w:sz w:val="28"/>
        </w:rPr>
        <w:t xml:space="preserve"> undated. Beyond Yields: Mapping the Many Impacts of Climate on Food</w:t>
      </w:r>
      <w:r w:rsidR="00D83BB6">
        <w:rPr>
          <w:rFonts w:ascii="Cambria" w:hAnsi="Cambria"/>
          <w:sz w:val="28"/>
        </w:rPr>
        <w:t xml:space="preserve"> </w:t>
      </w:r>
      <w:r w:rsidRPr="00B366E7">
        <w:rPr>
          <w:rFonts w:ascii="Cambria" w:hAnsi="Cambria"/>
          <w:sz w:val="28"/>
        </w:rPr>
        <w:t>Security. https://www.csis.org/analysis/beyond-yields-mapping-many-impacts-climate-food-security</w:t>
      </w:r>
    </w:p>
    <w:p w14:paraId="7723226E"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Clark, X., Dollar, D. &amp; Micco, A.</w:t>
      </w:r>
      <w:r w:rsidRPr="00B366E7">
        <w:rPr>
          <w:rFonts w:ascii="Cambria" w:hAnsi="Cambria"/>
          <w:sz w:val="28"/>
        </w:rPr>
        <w:t xml:space="preserve"> 2004. Port efficiency, maritime transport costs, and bilateral trade. </w:t>
      </w:r>
      <w:r w:rsidRPr="00B366E7">
        <w:rPr>
          <w:rFonts w:ascii="Cambria" w:hAnsi="Cambria"/>
          <w:i/>
          <w:iCs/>
          <w:sz w:val="28"/>
        </w:rPr>
        <w:t>Journal of Development Economics</w:t>
      </w:r>
      <w:r w:rsidRPr="00B366E7">
        <w:rPr>
          <w:rFonts w:ascii="Cambria" w:hAnsi="Cambria"/>
          <w:sz w:val="28"/>
        </w:rPr>
        <w:t>, 75(2): 417–450. https://doi.org/10.1016/j.jdeveco.2004.06.005</w:t>
      </w:r>
    </w:p>
    <w:p w14:paraId="19ECDBB6"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Das, M.</w:t>
      </w:r>
      <w:r w:rsidRPr="00B366E7">
        <w:rPr>
          <w:rFonts w:ascii="Cambria" w:hAnsi="Cambria"/>
          <w:sz w:val="28"/>
        </w:rPr>
        <w:t xml:space="preserve"> 2021. Vulnerability to Food Insecurity: A Decomposition Exercise for Rural India using the Expected Utility Approach. </w:t>
      </w:r>
      <w:r w:rsidRPr="00B366E7">
        <w:rPr>
          <w:rFonts w:ascii="Cambria" w:hAnsi="Cambria"/>
          <w:i/>
          <w:iCs/>
          <w:sz w:val="28"/>
        </w:rPr>
        <w:t>Social Indicators Research</w:t>
      </w:r>
      <w:r w:rsidRPr="00B366E7">
        <w:rPr>
          <w:rFonts w:ascii="Cambria" w:hAnsi="Cambria"/>
          <w:sz w:val="28"/>
        </w:rPr>
        <w:t>, 156(1): 167–199. https://doi.org/10.1007/s11205-021-02625-7</w:t>
      </w:r>
    </w:p>
    <w:p w14:paraId="2EB59170"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Drèze, J. &amp; Sen, A.</w:t>
      </w:r>
      <w:r w:rsidRPr="00B366E7">
        <w:rPr>
          <w:rFonts w:ascii="Cambria" w:hAnsi="Cambria"/>
          <w:sz w:val="28"/>
        </w:rPr>
        <w:t xml:space="preserve"> 1991. </w:t>
      </w:r>
      <w:r w:rsidRPr="00B366E7">
        <w:rPr>
          <w:rFonts w:ascii="Cambria" w:hAnsi="Cambria"/>
          <w:i/>
          <w:iCs/>
          <w:sz w:val="28"/>
        </w:rPr>
        <w:t>Hunger and public action</w:t>
      </w:r>
      <w:r w:rsidRPr="00B366E7">
        <w:rPr>
          <w:rFonts w:ascii="Cambria" w:hAnsi="Cambria"/>
          <w:sz w:val="28"/>
        </w:rPr>
        <w:t>. Oxford, Clarendon.</w:t>
      </w:r>
    </w:p>
    <w:p w14:paraId="069931A2" w14:textId="77777777" w:rsidR="00B366E7" w:rsidRPr="00B366E7" w:rsidRDefault="00B366E7" w:rsidP="00CF781B">
      <w:pPr>
        <w:pStyle w:val="Bibliography"/>
        <w:spacing w:line="276" w:lineRule="auto"/>
        <w:rPr>
          <w:rFonts w:ascii="Cambria" w:hAnsi="Cambria"/>
          <w:sz w:val="28"/>
        </w:rPr>
      </w:pPr>
      <w:r w:rsidRPr="00265CF0">
        <w:rPr>
          <w:rFonts w:ascii="Cambria" w:hAnsi="Cambria"/>
          <w:b/>
          <w:bCs/>
          <w:sz w:val="28"/>
          <w:lang w:val="de-DE"/>
        </w:rPr>
        <w:t>Engemann, H., Jafari, Y. &amp; Heckelei, T.</w:t>
      </w:r>
      <w:r w:rsidRPr="00265CF0">
        <w:rPr>
          <w:rFonts w:ascii="Cambria" w:hAnsi="Cambria"/>
          <w:sz w:val="28"/>
          <w:lang w:val="de-DE"/>
        </w:rPr>
        <w:t xml:space="preserve"> 2023. </w:t>
      </w:r>
      <w:r w:rsidRPr="00B366E7">
        <w:rPr>
          <w:rFonts w:ascii="Cambria" w:hAnsi="Cambria"/>
          <w:sz w:val="28"/>
        </w:rPr>
        <w:t>Institutional quality and the duration of agri</w:t>
      </w:r>
      <w:r w:rsidRPr="00B366E7">
        <w:rPr>
          <w:rFonts w:ascii="Cambria" w:hAnsi="Cambria" w:cs="Cambria Math"/>
          <w:sz w:val="28"/>
        </w:rPr>
        <w:t>‐</w:t>
      </w:r>
      <w:r w:rsidRPr="00B366E7">
        <w:rPr>
          <w:rFonts w:ascii="Cambria" w:hAnsi="Cambria"/>
          <w:sz w:val="28"/>
        </w:rPr>
        <w:t xml:space="preserve">food trade flows. </w:t>
      </w:r>
      <w:r w:rsidRPr="00B366E7">
        <w:rPr>
          <w:rFonts w:ascii="Cambria" w:hAnsi="Cambria"/>
          <w:i/>
          <w:iCs/>
          <w:sz w:val="28"/>
        </w:rPr>
        <w:t>Journal of Agricultural Economics</w:t>
      </w:r>
      <w:r w:rsidRPr="00B366E7">
        <w:rPr>
          <w:rFonts w:ascii="Cambria" w:hAnsi="Cambria"/>
          <w:sz w:val="28"/>
        </w:rPr>
        <w:t>, 74(1): 135–154. https://doi.org/10.1111/1477-9552.12491</w:t>
      </w:r>
    </w:p>
    <w:p w14:paraId="3E11D351"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Felbermayr, G. &amp; Gröschl, J.</w:t>
      </w:r>
      <w:r w:rsidRPr="00B366E7">
        <w:rPr>
          <w:rFonts w:ascii="Cambria" w:hAnsi="Cambria"/>
          <w:sz w:val="28"/>
        </w:rPr>
        <w:t xml:space="preserve"> 2014. Naturally negative: The growth effects of natural disasters. </w:t>
      </w:r>
      <w:r w:rsidRPr="00B366E7">
        <w:rPr>
          <w:rFonts w:ascii="Cambria" w:hAnsi="Cambria"/>
          <w:i/>
          <w:iCs/>
          <w:sz w:val="28"/>
        </w:rPr>
        <w:t>Journal of Development Economics</w:t>
      </w:r>
      <w:r w:rsidRPr="00B366E7">
        <w:rPr>
          <w:rFonts w:ascii="Cambria" w:hAnsi="Cambria"/>
          <w:sz w:val="28"/>
        </w:rPr>
        <w:t>, 111: 92–106. https://doi.org/10.1016/j.jdeveco.2014.07.004</w:t>
      </w:r>
    </w:p>
    <w:p w14:paraId="4CE49E7F"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Haddad, L. &amp; Smith, L.</w:t>
      </w:r>
      <w:r w:rsidRPr="00B366E7">
        <w:rPr>
          <w:rFonts w:ascii="Cambria" w:hAnsi="Cambria"/>
          <w:sz w:val="28"/>
        </w:rPr>
        <w:t xml:space="preserve"> 2000. </w:t>
      </w:r>
      <w:r w:rsidRPr="00B366E7">
        <w:rPr>
          <w:rFonts w:ascii="Cambria" w:hAnsi="Cambria"/>
          <w:i/>
          <w:iCs/>
          <w:sz w:val="28"/>
        </w:rPr>
        <w:t>Explaining child malnutrition in developing countries a cross-country analysis</w:t>
      </w:r>
      <w:r w:rsidRPr="00B366E7">
        <w:rPr>
          <w:rFonts w:ascii="Cambria" w:hAnsi="Cambria"/>
          <w:sz w:val="28"/>
        </w:rPr>
        <w:t>. https://www.ifpri.org/publication/explaining-child-malnutrition-developing-countries-1</w:t>
      </w:r>
    </w:p>
    <w:p w14:paraId="79A14054" w14:textId="77777777" w:rsidR="00B366E7" w:rsidRPr="00B366E7" w:rsidRDefault="00B366E7" w:rsidP="00CF781B">
      <w:pPr>
        <w:pStyle w:val="Bibliography"/>
        <w:spacing w:line="276" w:lineRule="auto"/>
        <w:rPr>
          <w:rFonts w:ascii="Cambria" w:hAnsi="Cambria"/>
          <w:sz w:val="28"/>
        </w:rPr>
      </w:pPr>
      <w:r w:rsidRPr="00265CF0">
        <w:rPr>
          <w:rFonts w:ascii="Cambria" w:hAnsi="Cambria"/>
          <w:b/>
          <w:bCs/>
          <w:sz w:val="28"/>
          <w:lang w:val="de-DE"/>
        </w:rPr>
        <w:t>Helpman, E., Melitz, M. &amp; Rubinstein, Y.</w:t>
      </w:r>
      <w:r w:rsidRPr="00265CF0">
        <w:rPr>
          <w:rFonts w:ascii="Cambria" w:hAnsi="Cambria"/>
          <w:sz w:val="28"/>
          <w:lang w:val="de-DE"/>
        </w:rPr>
        <w:t xml:space="preserve"> 2008. </w:t>
      </w:r>
      <w:r w:rsidRPr="00B366E7">
        <w:rPr>
          <w:rFonts w:ascii="Cambria" w:hAnsi="Cambria"/>
          <w:sz w:val="28"/>
        </w:rPr>
        <w:t xml:space="preserve">Estimating Trade Flows: Trading Partners and Trading Volumes </w:t>
      </w:r>
      <w:r w:rsidRPr="00B366E7">
        <w:rPr>
          <w:rFonts w:ascii="Cambria" w:hAnsi="Cambria"/>
          <w:sz w:val="28"/>
          <w:vertAlign w:val="superscript"/>
        </w:rPr>
        <w:t>*</w:t>
      </w:r>
      <w:r w:rsidRPr="00B366E7">
        <w:rPr>
          <w:rFonts w:ascii="Cambria" w:hAnsi="Cambria"/>
          <w:sz w:val="28"/>
        </w:rPr>
        <w:t xml:space="preserve">. </w:t>
      </w:r>
      <w:r w:rsidRPr="00B366E7">
        <w:rPr>
          <w:rFonts w:ascii="Cambria" w:hAnsi="Cambria"/>
          <w:i/>
          <w:iCs/>
          <w:sz w:val="28"/>
        </w:rPr>
        <w:t xml:space="preserve">Quarterly Journal of </w:t>
      </w:r>
      <w:r w:rsidRPr="00B366E7">
        <w:rPr>
          <w:rFonts w:ascii="Cambria" w:hAnsi="Cambria"/>
          <w:i/>
          <w:iCs/>
          <w:sz w:val="28"/>
        </w:rPr>
        <w:lastRenderedPageBreak/>
        <w:t>Economics</w:t>
      </w:r>
      <w:r w:rsidRPr="00B366E7">
        <w:rPr>
          <w:rFonts w:ascii="Cambria" w:hAnsi="Cambria"/>
          <w:sz w:val="28"/>
        </w:rPr>
        <w:t>, 123(2): 441–487. https://doi.org/10.1162/qjec.2008.123.2.441</w:t>
      </w:r>
    </w:p>
    <w:p w14:paraId="3A2DE0AF"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Hirte, G., Lessmann, C. &amp; Seidel, A.</w:t>
      </w:r>
      <w:r w:rsidRPr="00B366E7">
        <w:rPr>
          <w:rFonts w:ascii="Cambria" w:hAnsi="Cambria"/>
          <w:sz w:val="28"/>
        </w:rPr>
        <w:t xml:space="preserve"> 2020. International trade, geographic heterogeneity and interregional inequality. </w:t>
      </w:r>
      <w:r w:rsidRPr="00B366E7">
        <w:rPr>
          <w:rFonts w:ascii="Cambria" w:hAnsi="Cambria"/>
          <w:i/>
          <w:iCs/>
          <w:sz w:val="28"/>
        </w:rPr>
        <w:t>European Economic Review</w:t>
      </w:r>
      <w:r w:rsidRPr="00B366E7">
        <w:rPr>
          <w:rFonts w:ascii="Cambria" w:hAnsi="Cambria"/>
          <w:sz w:val="28"/>
        </w:rPr>
        <w:t>, 127: 103427. https://doi.org/10.1016/j.euroecorev.2020.103427</w:t>
      </w:r>
    </w:p>
    <w:p w14:paraId="0D117152"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Martínez-Zarzoso, I. &amp; Vollmer, S.</w:t>
      </w:r>
      <w:r w:rsidRPr="00B366E7">
        <w:rPr>
          <w:rFonts w:ascii="Cambria" w:hAnsi="Cambria"/>
          <w:sz w:val="28"/>
        </w:rPr>
        <w:t xml:space="preserve"> 2016. Bilateral Trade Flows and Income Distribution Similarity. </w:t>
      </w:r>
      <w:r w:rsidRPr="00B366E7">
        <w:rPr>
          <w:rFonts w:ascii="Cambria" w:hAnsi="Cambria"/>
          <w:i/>
          <w:iCs/>
          <w:sz w:val="28"/>
        </w:rPr>
        <w:t>PLOS ONE</w:t>
      </w:r>
      <w:r w:rsidRPr="00B366E7">
        <w:rPr>
          <w:rFonts w:ascii="Cambria" w:hAnsi="Cambria"/>
          <w:sz w:val="28"/>
        </w:rPr>
        <w:t>, 11(5): e0128191. https://doi.org/10.1371/journal.pone.0128191</w:t>
      </w:r>
    </w:p>
    <w:p w14:paraId="7134FECC" w14:textId="77777777" w:rsidR="00B366E7" w:rsidRPr="00B366E7" w:rsidRDefault="00B366E7" w:rsidP="00CF781B">
      <w:pPr>
        <w:pStyle w:val="Bibliography"/>
        <w:spacing w:line="276" w:lineRule="auto"/>
        <w:rPr>
          <w:rFonts w:ascii="Cambria" w:hAnsi="Cambria"/>
          <w:sz w:val="28"/>
        </w:rPr>
      </w:pPr>
      <w:r w:rsidRPr="00B366E7">
        <w:rPr>
          <w:rFonts w:ascii="Cambria" w:hAnsi="Cambria"/>
          <w:b/>
          <w:bCs/>
          <w:sz w:val="28"/>
        </w:rPr>
        <w:t>Parteka, A. &amp; Tamberi, M.</w:t>
      </w:r>
      <w:r w:rsidRPr="00B366E7">
        <w:rPr>
          <w:rFonts w:ascii="Cambria" w:hAnsi="Cambria"/>
          <w:sz w:val="28"/>
        </w:rPr>
        <w:t xml:space="preserve"> 2008. Determinants of Export Diversification: An Empirical Investigation. </w:t>
      </w:r>
      <w:r w:rsidRPr="00B366E7">
        <w:rPr>
          <w:rFonts w:ascii="Cambria" w:hAnsi="Cambria"/>
          <w:i/>
          <w:iCs/>
          <w:sz w:val="28"/>
        </w:rPr>
        <w:t>SSRN Electronic Journal</w:t>
      </w:r>
      <w:r w:rsidRPr="00B366E7">
        <w:rPr>
          <w:rFonts w:ascii="Cambria" w:hAnsi="Cambria"/>
          <w:sz w:val="28"/>
        </w:rPr>
        <w:t>. https://doi.org/10.2139/ssrn.1345728</w:t>
      </w:r>
    </w:p>
    <w:p w14:paraId="5B1BA5AA" w14:textId="6BCB17F1" w:rsidR="000D5BDC" w:rsidRPr="0007294F" w:rsidRDefault="00B366E7" w:rsidP="00B0322E">
      <w:r>
        <w:fldChar w:fldCharType="end"/>
      </w:r>
    </w:p>
    <w:sectPr w:rsidR="000D5BDC" w:rsidRPr="0007294F" w:rsidSect="0007294F">
      <w:footerReference w:type="default" r:id="rId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5CF85" w14:textId="77777777" w:rsidR="005A779A" w:rsidRDefault="005A779A" w:rsidP="00610F80">
      <w:pPr>
        <w:spacing w:line="240" w:lineRule="auto"/>
      </w:pPr>
      <w:r>
        <w:separator/>
      </w:r>
    </w:p>
  </w:endnote>
  <w:endnote w:type="continuationSeparator" w:id="0">
    <w:p w14:paraId="5B439285" w14:textId="77777777" w:rsidR="005A779A" w:rsidRDefault="005A779A" w:rsidP="00610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741322"/>
      <w:docPartObj>
        <w:docPartGallery w:val="Page Numbers (Bottom of Page)"/>
        <w:docPartUnique/>
      </w:docPartObj>
    </w:sdtPr>
    <w:sdtEndPr/>
    <w:sdtContent>
      <w:p w14:paraId="7E5435C5" w14:textId="4845AA01" w:rsidR="0068406C" w:rsidRDefault="0068406C">
        <w:pPr>
          <w:pStyle w:val="Footer"/>
          <w:jc w:val="center"/>
        </w:pPr>
        <w:r>
          <w:fldChar w:fldCharType="begin"/>
        </w:r>
        <w:r>
          <w:instrText>PAGE   \* MERGEFORMAT</w:instrText>
        </w:r>
        <w:r>
          <w:fldChar w:fldCharType="separate"/>
        </w:r>
        <w:r w:rsidR="005A779A" w:rsidRPr="005A779A">
          <w:rPr>
            <w:noProof/>
            <w:lang w:val="de-DE"/>
          </w:rPr>
          <w:t>1</w:t>
        </w:r>
        <w:r>
          <w:fldChar w:fldCharType="end"/>
        </w:r>
      </w:p>
    </w:sdtContent>
  </w:sdt>
  <w:p w14:paraId="1716FBF8" w14:textId="77777777" w:rsidR="0004525E" w:rsidRDefault="00045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FD925" w14:textId="77777777" w:rsidR="005A779A" w:rsidRDefault="005A779A" w:rsidP="00610F80">
      <w:pPr>
        <w:spacing w:line="240" w:lineRule="auto"/>
      </w:pPr>
      <w:r>
        <w:separator/>
      </w:r>
    </w:p>
  </w:footnote>
  <w:footnote w:type="continuationSeparator" w:id="0">
    <w:p w14:paraId="0193E087" w14:textId="77777777" w:rsidR="005A779A" w:rsidRDefault="005A779A" w:rsidP="00610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37BB0"/>
    <w:multiLevelType w:val="hybridMultilevel"/>
    <w:tmpl w:val="B8367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523332"/>
    <w:multiLevelType w:val="hybridMultilevel"/>
    <w:tmpl w:val="91C821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AB76C29"/>
    <w:multiLevelType w:val="multilevel"/>
    <w:tmpl w:val="7B62D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554227"/>
    <w:multiLevelType w:val="hybridMultilevel"/>
    <w:tmpl w:val="D6841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035433"/>
    <w:multiLevelType w:val="multilevel"/>
    <w:tmpl w:val="3E406908"/>
    <w:lvl w:ilvl="0">
      <w:start w:val="1"/>
      <w:numFmt w:val="decimal"/>
      <w:lvlText w:val="%1."/>
      <w:lvlJc w:val="left"/>
      <w:pPr>
        <w:ind w:left="928" w:hanging="360"/>
      </w:pPr>
      <w:rPr>
        <w:b/>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b/>
        <w:bCs/>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FDD5259"/>
    <w:multiLevelType w:val="hybridMultilevel"/>
    <w:tmpl w:val="F4BA4E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FB44AF5"/>
    <w:multiLevelType w:val="hybridMultilevel"/>
    <w:tmpl w:val="36E2C95C"/>
    <w:lvl w:ilvl="0" w:tplc="4009000F">
      <w:start w:val="1"/>
      <w:numFmt w:val="decimal"/>
      <w:lvlText w:val="%1."/>
      <w:lvlJc w:val="left"/>
      <w:pPr>
        <w:ind w:left="1212"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49C1088"/>
    <w:multiLevelType w:val="hybridMultilevel"/>
    <w:tmpl w:val="AA0060D4"/>
    <w:lvl w:ilvl="0" w:tplc="0809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15:restartNumberingAfterBreak="0">
    <w:nsid w:val="71B467FD"/>
    <w:multiLevelType w:val="hybridMultilevel"/>
    <w:tmpl w:val="21DC5D3A"/>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3"/>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QBic2NLI1MTc0MTEyUdpeDU4uLM/DyQApNaAKYQdsYsAAAA"/>
  </w:docVars>
  <w:rsids>
    <w:rsidRoot w:val="00920A90"/>
    <w:rsid w:val="0000218C"/>
    <w:rsid w:val="00037891"/>
    <w:rsid w:val="0004525E"/>
    <w:rsid w:val="00046FE8"/>
    <w:rsid w:val="00072934"/>
    <w:rsid w:val="0007294F"/>
    <w:rsid w:val="000A0A01"/>
    <w:rsid w:val="000B6764"/>
    <w:rsid w:val="000B70DE"/>
    <w:rsid w:val="000C4F18"/>
    <w:rsid w:val="000D31E0"/>
    <w:rsid w:val="000D5AD0"/>
    <w:rsid w:val="000D5BDC"/>
    <w:rsid w:val="000E2A04"/>
    <w:rsid w:val="0014036C"/>
    <w:rsid w:val="00143ACB"/>
    <w:rsid w:val="001660A5"/>
    <w:rsid w:val="00190653"/>
    <w:rsid w:val="001A521C"/>
    <w:rsid w:val="001A6A08"/>
    <w:rsid w:val="001C4013"/>
    <w:rsid w:val="001C51EC"/>
    <w:rsid w:val="001C5D67"/>
    <w:rsid w:val="001F1CDB"/>
    <w:rsid w:val="002015DC"/>
    <w:rsid w:val="002146D1"/>
    <w:rsid w:val="00221724"/>
    <w:rsid w:val="0022466D"/>
    <w:rsid w:val="0023573D"/>
    <w:rsid w:val="002523B7"/>
    <w:rsid w:val="002567DC"/>
    <w:rsid w:val="00265CF0"/>
    <w:rsid w:val="00286C6B"/>
    <w:rsid w:val="002957A0"/>
    <w:rsid w:val="002A520C"/>
    <w:rsid w:val="002D6CBF"/>
    <w:rsid w:val="002E660A"/>
    <w:rsid w:val="002F5969"/>
    <w:rsid w:val="00317E41"/>
    <w:rsid w:val="0032660F"/>
    <w:rsid w:val="00340BC2"/>
    <w:rsid w:val="00354903"/>
    <w:rsid w:val="003A4904"/>
    <w:rsid w:val="003B0F23"/>
    <w:rsid w:val="003F2A4F"/>
    <w:rsid w:val="00411CB2"/>
    <w:rsid w:val="004141F1"/>
    <w:rsid w:val="00445CEA"/>
    <w:rsid w:val="00457CCB"/>
    <w:rsid w:val="00495998"/>
    <w:rsid w:val="004A5DCE"/>
    <w:rsid w:val="004C66FC"/>
    <w:rsid w:val="004C6E6C"/>
    <w:rsid w:val="004D101B"/>
    <w:rsid w:val="004F1F6C"/>
    <w:rsid w:val="004F22D9"/>
    <w:rsid w:val="004F3680"/>
    <w:rsid w:val="005053EB"/>
    <w:rsid w:val="00512E56"/>
    <w:rsid w:val="005142C0"/>
    <w:rsid w:val="00524429"/>
    <w:rsid w:val="00541716"/>
    <w:rsid w:val="00543F72"/>
    <w:rsid w:val="00547BE6"/>
    <w:rsid w:val="00547FFD"/>
    <w:rsid w:val="005621B0"/>
    <w:rsid w:val="00562BEF"/>
    <w:rsid w:val="00575406"/>
    <w:rsid w:val="005952D4"/>
    <w:rsid w:val="005A2404"/>
    <w:rsid w:val="005A779A"/>
    <w:rsid w:val="005C45BC"/>
    <w:rsid w:val="005D5860"/>
    <w:rsid w:val="005F5916"/>
    <w:rsid w:val="005F65CB"/>
    <w:rsid w:val="00610F80"/>
    <w:rsid w:val="0061615E"/>
    <w:rsid w:val="00625E5C"/>
    <w:rsid w:val="00634BE7"/>
    <w:rsid w:val="00640FBD"/>
    <w:rsid w:val="0064489D"/>
    <w:rsid w:val="00647538"/>
    <w:rsid w:val="006513D3"/>
    <w:rsid w:val="006600F6"/>
    <w:rsid w:val="006639F2"/>
    <w:rsid w:val="00673096"/>
    <w:rsid w:val="0068099C"/>
    <w:rsid w:val="0068406C"/>
    <w:rsid w:val="006A2754"/>
    <w:rsid w:val="006D3791"/>
    <w:rsid w:val="006D40DB"/>
    <w:rsid w:val="006E7AF0"/>
    <w:rsid w:val="007004A7"/>
    <w:rsid w:val="00715E35"/>
    <w:rsid w:val="00715EF0"/>
    <w:rsid w:val="00716C91"/>
    <w:rsid w:val="007273A7"/>
    <w:rsid w:val="007527B9"/>
    <w:rsid w:val="0076626C"/>
    <w:rsid w:val="00772F77"/>
    <w:rsid w:val="00773B99"/>
    <w:rsid w:val="00775E64"/>
    <w:rsid w:val="00793756"/>
    <w:rsid w:val="007B60F0"/>
    <w:rsid w:val="007D16AD"/>
    <w:rsid w:val="00801FC3"/>
    <w:rsid w:val="008115D9"/>
    <w:rsid w:val="008120A9"/>
    <w:rsid w:val="00816926"/>
    <w:rsid w:val="00820555"/>
    <w:rsid w:val="00836859"/>
    <w:rsid w:val="00860B41"/>
    <w:rsid w:val="00880503"/>
    <w:rsid w:val="008844B9"/>
    <w:rsid w:val="00890B0B"/>
    <w:rsid w:val="008A24EA"/>
    <w:rsid w:val="008B0F82"/>
    <w:rsid w:val="008E75B8"/>
    <w:rsid w:val="0091439B"/>
    <w:rsid w:val="00916058"/>
    <w:rsid w:val="00920A90"/>
    <w:rsid w:val="009216DC"/>
    <w:rsid w:val="00941FE4"/>
    <w:rsid w:val="0094663D"/>
    <w:rsid w:val="00947FAF"/>
    <w:rsid w:val="00957A49"/>
    <w:rsid w:val="009609F7"/>
    <w:rsid w:val="00961A66"/>
    <w:rsid w:val="00961D5C"/>
    <w:rsid w:val="00971A92"/>
    <w:rsid w:val="00975A56"/>
    <w:rsid w:val="00977E85"/>
    <w:rsid w:val="009C4B7E"/>
    <w:rsid w:val="009D54DB"/>
    <w:rsid w:val="009D6A2A"/>
    <w:rsid w:val="009E5159"/>
    <w:rsid w:val="009F3DC8"/>
    <w:rsid w:val="00A117D0"/>
    <w:rsid w:val="00A1335E"/>
    <w:rsid w:val="00A177F4"/>
    <w:rsid w:val="00A36452"/>
    <w:rsid w:val="00A55E6B"/>
    <w:rsid w:val="00A622C4"/>
    <w:rsid w:val="00A636C0"/>
    <w:rsid w:val="00AA6338"/>
    <w:rsid w:val="00AC06FC"/>
    <w:rsid w:val="00AD6436"/>
    <w:rsid w:val="00AF14A3"/>
    <w:rsid w:val="00B00864"/>
    <w:rsid w:val="00B02061"/>
    <w:rsid w:val="00B0322E"/>
    <w:rsid w:val="00B163A6"/>
    <w:rsid w:val="00B24924"/>
    <w:rsid w:val="00B26307"/>
    <w:rsid w:val="00B366E7"/>
    <w:rsid w:val="00B6185A"/>
    <w:rsid w:val="00B6501F"/>
    <w:rsid w:val="00B71077"/>
    <w:rsid w:val="00B84F72"/>
    <w:rsid w:val="00BC2622"/>
    <w:rsid w:val="00BC5D64"/>
    <w:rsid w:val="00BE243F"/>
    <w:rsid w:val="00BE72AE"/>
    <w:rsid w:val="00C221BB"/>
    <w:rsid w:val="00C31D90"/>
    <w:rsid w:val="00C33D0C"/>
    <w:rsid w:val="00C35D9D"/>
    <w:rsid w:val="00C53593"/>
    <w:rsid w:val="00CA0DD9"/>
    <w:rsid w:val="00CF2BDA"/>
    <w:rsid w:val="00CF781B"/>
    <w:rsid w:val="00D17948"/>
    <w:rsid w:val="00D301D4"/>
    <w:rsid w:val="00D32BE1"/>
    <w:rsid w:val="00D33042"/>
    <w:rsid w:val="00D33390"/>
    <w:rsid w:val="00D424A9"/>
    <w:rsid w:val="00D56666"/>
    <w:rsid w:val="00D66D65"/>
    <w:rsid w:val="00D71CAE"/>
    <w:rsid w:val="00D72D55"/>
    <w:rsid w:val="00D83BB6"/>
    <w:rsid w:val="00DA13EB"/>
    <w:rsid w:val="00DA1483"/>
    <w:rsid w:val="00DB3B88"/>
    <w:rsid w:val="00DB3EEC"/>
    <w:rsid w:val="00DC339B"/>
    <w:rsid w:val="00DC3FBF"/>
    <w:rsid w:val="00DD1E43"/>
    <w:rsid w:val="00DD231B"/>
    <w:rsid w:val="00E029FF"/>
    <w:rsid w:val="00E14D8C"/>
    <w:rsid w:val="00E204B1"/>
    <w:rsid w:val="00E64EB5"/>
    <w:rsid w:val="00E70F79"/>
    <w:rsid w:val="00E71709"/>
    <w:rsid w:val="00E85BA3"/>
    <w:rsid w:val="00E86360"/>
    <w:rsid w:val="00E951A0"/>
    <w:rsid w:val="00EA36C2"/>
    <w:rsid w:val="00EC4850"/>
    <w:rsid w:val="00ED55BA"/>
    <w:rsid w:val="00EE146A"/>
    <w:rsid w:val="00EE57BC"/>
    <w:rsid w:val="00EE5E06"/>
    <w:rsid w:val="00EE6AAB"/>
    <w:rsid w:val="00F0166C"/>
    <w:rsid w:val="00F04194"/>
    <w:rsid w:val="00F051EE"/>
    <w:rsid w:val="00F06912"/>
    <w:rsid w:val="00F17DD6"/>
    <w:rsid w:val="00F24799"/>
    <w:rsid w:val="00F323EF"/>
    <w:rsid w:val="00F33450"/>
    <w:rsid w:val="00F34C5B"/>
    <w:rsid w:val="00F363A5"/>
    <w:rsid w:val="00F37502"/>
    <w:rsid w:val="00F50659"/>
    <w:rsid w:val="00F83B6C"/>
    <w:rsid w:val="00FB4E81"/>
    <w:rsid w:val="00FC7D74"/>
    <w:rsid w:val="00FD081B"/>
    <w:rsid w:val="00FF444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4295FB"/>
  <w15:chartTrackingRefBased/>
  <w15:docId w15:val="{851A7D7E-CB1E-4311-A6CA-95FBF153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A90"/>
    <w:pPr>
      <w:spacing w:after="0" w:line="276" w:lineRule="auto"/>
    </w:pPr>
    <w:rPr>
      <w:rFonts w:ascii="Arial" w:eastAsia="Arial" w:hAnsi="Arial" w:cs="Arial"/>
      <w:kern w:val="0"/>
      <w:szCs w:val="22"/>
      <w:lang w:val="en" w:eastAsia="en-GB" w:bidi="ar-SA"/>
      <w14:ligatures w14:val="none"/>
    </w:rPr>
  </w:style>
  <w:style w:type="paragraph" w:styleId="Heading1">
    <w:name w:val="heading 1"/>
    <w:basedOn w:val="Normal"/>
    <w:next w:val="Normal"/>
    <w:link w:val="Heading1Char"/>
    <w:uiPriority w:val="9"/>
    <w:qFormat/>
    <w:rsid w:val="00947FA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A90"/>
    <w:rPr>
      <w:sz w:val="16"/>
      <w:szCs w:val="16"/>
    </w:rPr>
  </w:style>
  <w:style w:type="paragraph" w:styleId="CommentText">
    <w:name w:val="annotation text"/>
    <w:basedOn w:val="Normal"/>
    <w:link w:val="CommentTextChar"/>
    <w:uiPriority w:val="99"/>
    <w:semiHidden/>
    <w:unhideWhenUsed/>
    <w:rsid w:val="00920A90"/>
    <w:pPr>
      <w:spacing w:line="240" w:lineRule="auto"/>
    </w:pPr>
    <w:rPr>
      <w:sz w:val="20"/>
      <w:szCs w:val="20"/>
    </w:rPr>
  </w:style>
  <w:style w:type="character" w:customStyle="1" w:styleId="CommentTextChar">
    <w:name w:val="Comment Text Char"/>
    <w:basedOn w:val="DefaultParagraphFont"/>
    <w:link w:val="CommentText"/>
    <w:uiPriority w:val="99"/>
    <w:semiHidden/>
    <w:rsid w:val="00920A90"/>
    <w:rPr>
      <w:rFonts w:ascii="Arial" w:eastAsia="Arial" w:hAnsi="Arial" w:cs="Arial"/>
      <w:kern w:val="0"/>
      <w:sz w:val="20"/>
      <w:szCs w:val="20"/>
      <w:lang w:val="en" w:eastAsia="en-GB" w:bidi="ar-SA"/>
      <w14:ligatures w14:val="none"/>
    </w:rPr>
  </w:style>
  <w:style w:type="paragraph" w:styleId="ListParagraph">
    <w:name w:val="List Paragraph"/>
    <w:basedOn w:val="Normal"/>
    <w:uiPriority w:val="34"/>
    <w:qFormat/>
    <w:rsid w:val="00920A90"/>
    <w:pPr>
      <w:ind w:left="720"/>
      <w:contextualSpacing/>
    </w:pPr>
  </w:style>
  <w:style w:type="table" w:styleId="TableGrid">
    <w:name w:val="Table Grid"/>
    <w:basedOn w:val="TableNormal"/>
    <w:uiPriority w:val="39"/>
    <w:rsid w:val="00920A90"/>
    <w:pPr>
      <w:spacing w:after="0" w:line="240" w:lineRule="auto"/>
    </w:pPr>
    <w:rPr>
      <w:kern w:val="0"/>
      <w:szCs w:val="22"/>
      <w:lang w:val="en-GB"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0A90"/>
    <w:rPr>
      <w:color w:val="666666"/>
    </w:rPr>
  </w:style>
  <w:style w:type="paragraph" w:styleId="Header">
    <w:name w:val="header"/>
    <w:basedOn w:val="Normal"/>
    <w:link w:val="HeaderChar"/>
    <w:uiPriority w:val="99"/>
    <w:unhideWhenUsed/>
    <w:rsid w:val="00610F80"/>
    <w:pPr>
      <w:tabs>
        <w:tab w:val="center" w:pos="4680"/>
        <w:tab w:val="right" w:pos="9360"/>
      </w:tabs>
      <w:spacing w:line="240" w:lineRule="auto"/>
    </w:pPr>
  </w:style>
  <w:style w:type="character" w:customStyle="1" w:styleId="HeaderChar">
    <w:name w:val="Header Char"/>
    <w:basedOn w:val="DefaultParagraphFont"/>
    <w:link w:val="Header"/>
    <w:uiPriority w:val="99"/>
    <w:rsid w:val="00610F80"/>
    <w:rPr>
      <w:rFonts w:ascii="Arial" w:eastAsia="Arial" w:hAnsi="Arial" w:cs="Arial"/>
      <w:kern w:val="0"/>
      <w:szCs w:val="22"/>
      <w:lang w:val="en" w:eastAsia="en-GB" w:bidi="ar-SA"/>
      <w14:ligatures w14:val="none"/>
    </w:rPr>
  </w:style>
  <w:style w:type="paragraph" w:styleId="Footer">
    <w:name w:val="footer"/>
    <w:basedOn w:val="Normal"/>
    <w:link w:val="FooterChar"/>
    <w:uiPriority w:val="99"/>
    <w:unhideWhenUsed/>
    <w:rsid w:val="00610F80"/>
    <w:pPr>
      <w:tabs>
        <w:tab w:val="center" w:pos="4680"/>
        <w:tab w:val="right" w:pos="9360"/>
      </w:tabs>
      <w:spacing w:line="240" w:lineRule="auto"/>
    </w:pPr>
  </w:style>
  <w:style w:type="character" w:customStyle="1" w:styleId="FooterChar">
    <w:name w:val="Footer Char"/>
    <w:basedOn w:val="DefaultParagraphFont"/>
    <w:link w:val="Footer"/>
    <w:uiPriority w:val="99"/>
    <w:rsid w:val="00610F80"/>
    <w:rPr>
      <w:rFonts w:ascii="Arial" w:eastAsia="Arial" w:hAnsi="Arial" w:cs="Arial"/>
      <w:kern w:val="0"/>
      <w:szCs w:val="22"/>
      <w:lang w:val="en" w:eastAsia="en-GB" w:bidi="ar-SA"/>
      <w14:ligatures w14:val="none"/>
    </w:rPr>
  </w:style>
  <w:style w:type="paragraph" w:styleId="CommentSubject">
    <w:name w:val="annotation subject"/>
    <w:basedOn w:val="CommentText"/>
    <w:next w:val="CommentText"/>
    <w:link w:val="CommentSubjectChar"/>
    <w:uiPriority w:val="99"/>
    <w:semiHidden/>
    <w:unhideWhenUsed/>
    <w:rsid w:val="00836859"/>
    <w:rPr>
      <w:b/>
      <w:bCs/>
    </w:rPr>
  </w:style>
  <w:style w:type="character" w:customStyle="1" w:styleId="CommentSubjectChar">
    <w:name w:val="Comment Subject Char"/>
    <w:basedOn w:val="CommentTextChar"/>
    <w:link w:val="CommentSubject"/>
    <w:uiPriority w:val="99"/>
    <w:semiHidden/>
    <w:rsid w:val="00836859"/>
    <w:rPr>
      <w:rFonts w:ascii="Arial" w:eastAsia="Arial" w:hAnsi="Arial" w:cs="Arial"/>
      <w:b/>
      <w:bCs/>
      <w:kern w:val="0"/>
      <w:sz w:val="20"/>
      <w:szCs w:val="20"/>
      <w:lang w:val="en" w:eastAsia="en-GB" w:bidi="ar-SA"/>
      <w14:ligatures w14:val="none"/>
    </w:rPr>
  </w:style>
  <w:style w:type="paragraph" w:styleId="BalloonText">
    <w:name w:val="Balloon Text"/>
    <w:basedOn w:val="Normal"/>
    <w:link w:val="BalloonTextChar"/>
    <w:uiPriority w:val="99"/>
    <w:semiHidden/>
    <w:unhideWhenUsed/>
    <w:rsid w:val="008368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859"/>
    <w:rPr>
      <w:rFonts w:ascii="Segoe UI" w:eastAsia="Arial" w:hAnsi="Segoe UI" w:cs="Segoe UI"/>
      <w:kern w:val="0"/>
      <w:sz w:val="18"/>
      <w:szCs w:val="18"/>
      <w:lang w:val="en" w:eastAsia="en-GB" w:bidi="ar-SA"/>
      <w14:ligatures w14:val="none"/>
    </w:rPr>
  </w:style>
  <w:style w:type="paragraph" w:styleId="Revision">
    <w:name w:val="Revision"/>
    <w:hidden/>
    <w:uiPriority w:val="99"/>
    <w:semiHidden/>
    <w:rsid w:val="0022466D"/>
    <w:pPr>
      <w:spacing w:after="0" w:line="240" w:lineRule="auto"/>
    </w:pPr>
    <w:rPr>
      <w:rFonts w:ascii="Arial" w:eastAsia="Arial" w:hAnsi="Arial" w:cs="Arial"/>
      <w:kern w:val="0"/>
      <w:szCs w:val="22"/>
      <w:lang w:val="en" w:eastAsia="en-GB" w:bidi="ar-SA"/>
      <w14:ligatures w14:val="none"/>
    </w:rPr>
  </w:style>
  <w:style w:type="paragraph" w:styleId="FootnoteText">
    <w:name w:val="footnote text"/>
    <w:basedOn w:val="Normal"/>
    <w:link w:val="FootnoteTextChar"/>
    <w:uiPriority w:val="99"/>
    <w:semiHidden/>
    <w:unhideWhenUsed/>
    <w:rsid w:val="00A117D0"/>
    <w:pPr>
      <w:spacing w:line="240" w:lineRule="auto"/>
    </w:pPr>
    <w:rPr>
      <w:sz w:val="20"/>
      <w:szCs w:val="20"/>
    </w:rPr>
  </w:style>
  <w:style w:type="character" w:customStyle="1" w:styleId="FootnoteTextChar">
    <w:name w:val="Footnote Text Char"/>
    <w:basedOn w:val="DefaultParagraphFont"/>
    <w:link w:val="FootnoteText"/>
    <w:uiPriority w:val="99"/>
    <w:semiHidden/>
    <w:rsid w:val="00A117D0"/>
    <w:rPr>
      <w:rFonts w:ascii="Arial" w:eastAsia="Arial" w:hAnsi="Arial" w:cs="Arial"/>
      <w:kern w:val="0"/>
      <w:sz w:val="20"/>
      <w:szCs w:val="20"/>
      <w:lang w:val="en" w:eastAsia="en-GB" w:bidi="ar-SA"/>
      <w14:ligatures w14:val="none"/>
    </w:rPr>
  </w:style>
  <w:style w:type="character" w:styleId="FootnoteReference">
    <w:name w:val="footnote reference"/>
    <w:basedOn w:val="DefaultParagraphFont"/>
    <w:uiPriority w:val="99"/>
    <w:semiHidden/>
    <w:unhideWhenUsed/>
    <w:rsid w:val="00A117D0"/>
    <w:rPr>
      <w:vertAlign w:val="superscript"/>
    </w:rPr>
  </w:style>
  <w:style w:type="paragraph" w:styleId="EndnoteText">
    <w:name w:val="endnote text"/>
    <w:basedOn w:val="Normal"/>
    <w:link w:val="EndnoteTextChar"/>
    <w:uiPriority w:val="99"/>
    <w:semiHidden/>
    <w:unhideWhenUsed/>
    <w:rsid w:val="00D424A9"/>
    <w:pPr>
      <w:spacing w:line="240" w:lineRule="auto"/>
    </w:pPr>
    <w:rPr>
      <w:sz w:val="20"/>
      <w:szCs w:val="20"/>
    </w:rPr>
  </w:style>
  <w:style w:type="character" w:customStyle="1" w:styleId="EndnoteTextChar">
    <w:name w:val="Endnote Text Char"/>
    <w:basedOn w:val="DefaultParagraphFont"/>
    <w:link w:val="EndnoteText"/>
    <w:uiPriority w:val="99"/>
    <w:semiHidden/>
    <w:rsid w:val="00D424A9"/>
    <w:rPr>
      <w:rFonts w:ascii="Arial" w:eastAsia="Arial" w:hAnsi="Arial" w:cs="Arial"/>
      <w:kern w:val="0"/>
      <w:sz w:val="20"/>
      <w:szCs w:val="20"/>
      <w:lang w:val="en" w:eastAsia="en-GB" w:bidi="ar-SA"/>
      <w14:ligatures w14:val="none"/>
    </w:rPr>
  </w:style>
  <w:style w:type="character" w:styleId="EndnoteReference">
    <w:name w:val="endnote reference"/>
    <w:basedOn w:val="DefaultParagraphFont"/>
    <w:uiPriority w:val="99"/>
    <w:semiHidden/>
    <w:unhideWhenUsed/>
    <w:rsid w:val="00D424A9"/>
    <w:rPr>
      <w:vertAlign w:val="superscript"/>
    </w:rPr>
  </w:style>
  <w:style w:type="paragraph" w:styleId="Bibliography">
    <w:name w:val="Bibliography"/>
    <w:basedOn w:val="Normal"/>
    <w:next w:val="Normal"/>
    <w:uiPriority w:val="37"/>
    <w:unhideWhenUsed/>
    <w:rsid w:val="00B366E7"/>
    <w:pPr>
      <w:spacing w:line="240" w:lineRule="auto"/>
      <w:ind w:left="720" w:hanging="720"/>
    </w:pPr>
  </w:style>
  <w:style w:type="paragraph" w:styleId="NormalWeb">
    <w:name w:val="Normal (Web)"/>
    <w:basedOn w:val="Normal"/>
    <w:uiPriority w:val="99"/>
    <w:semiHidden/>
    <w:unhideWhenUsed/>
    <w:rsid w:val="00E71709"/>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Title">
    <w:name w:val="Title"/>
    <w:basedOn w:val="Normal"/>
    <w:next w:val="Normal"/>
    <w:link w:val="TitleChar"/>
    <w:uiPriority w:val="10"/>
    <w:qFormat/>
    <w:rsid w:val="00947FA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FAF"/>
    <w:rPr>
      <w:rFonts w:asciiTheme="majorHAnsi" w:eastAsiaTheme="majorEastAsia" w:hAnsiTheme="majorHAnsi" w:cstheme="majorBidi"/>
      <w:spacing w:val="-10"/>
      <w:kern w:val="28"/>
      <w:sz w:val="56"/>
      <w:szCs w:val="56"/>
      <w:lang w:val="en" w:eastAsia="en-GB" w:bidi="ar-SA"/>
      <w14:ligatures w14:val="none"/>
    </w:rPr>
  </w:style>
  <w:style w:type="character" w:customStyle="1" w:styleId="Heading1Char">
    <w:name w:val="Heading 1 Char"/>
    <w:basedOn w:val="DefaultParagraphFont"/>
    <w:link w:val="Heading1"/>
    <w:uiPriority w:val="9"/>
    <w:rsid w:val="00947FAF"/>
    <w:rPr>
      <w:rFonts w:asciiTheme="majorHAnsi" w:eastAsiaTheme="majorEastAsia" w:hAnsiTheme="majorHAnsi" w:cstheme="majorBidi"/>
      <w:color w:val="2F5496" w:themeColor="accent1" w:themeShade="BF"/>
      <w:kern w:val="0"/>
      <w:sz w:val="32"/>
      <w:szCs w:val="32"/>
      <w:lang w:val="en" w:eastAsia="en-GB" w:bidi="ar-SA"/>
      <w14:ligatures w14:val="none"/>
    </w:rPr>
  </w:style>
  <w:style w:type="paragraph" w:styleId="TOCHeading">
    <w:name w:val="TOC Heading"/>
    <w:basedOn w:val="Heading1"/>
    <w:next w:val="Normal"/>
    <w:uiPriority w:val="39"/>
    <w:unhideWhenUsed/>
    <w:qFormat/>
    <w:rsid w:val="00512E56"/>
    <w:pPr>
      <w:spacing w:line="259" w:lineRule="auto"/>
      <w:outlineLvl w:val="9"/>
    </w:pPr>
    <w:rPr>
      <w:lang w:val="en-US" w:eastAsia="en-US"/>
    </w:rPr>
  </w:style>
  <w:style w:type="paragraph" w:styleId="TOC1">
    <w:name w:val="toc 1"/>
    <w:basedOn w:val="Normal"/>
    <w:next w:val="Normal"/>
    <w:autoRedefine/>
    <w:uiPriority w:val="39"/>
    <w:unhideWhenUsed/>
    <w:rsid w:val="00512E56"/>
    <w:pPr>
      <w:spacing w:after="100"/>
    </w:pPr>
  </w:style>
  <w:style w:type="character" w:styleId="Hyperlink">
    <w:name w:val="Hyperlink"/>
    <w:basedOn w:val="DefaultParagraphFont"/>
    <w:uiPriority w:val="99"/>
    <w:unhideWhenUsed/>
    <w:rsid w:val="00512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778347">
      <w:bodyDiv w:val="1"/>
      <w:marLeft w:val="0"/>
      <w:marRight w:val="0"/>
      <w:marTop w:val="0"/>
      <w:marBottom w:val="0"/>
      <w:divBdr>
        <w:top w:val="none" w:sz="0" w:space="0" w:color="auto"/>
        <w:left w:val="none" w:sz="0" w:space="0" w:color="auto"/>
        <w:bottom w:val="none" w:sz="0" w:space="0" w:color="auto"/>
        <w:right w:val="none" w:sz="0" w:space="0" w:color="auto"/>
      </w:divBdr>
      <w:divsChild>
        <w:div w:id="847136893">
          <w:marLeft w:val="0"/>
          <w:marRight w:val="0"/>
          <w:marTop w:val="0"/>
          <w:marBottom w:val="0"/>
          <w:divBdr>
            <w:top w:val="none" w:sz="0" w:space="0" w:color="auto"/>
            <w:left w:val="none" w:sz="0" w:space="0" w:color="auto"/>
            <w:bottom w:val="none" w:sz="0" w:space="0" w:color="auto"/>
            <w:right w:val="none" w:sz="0" w:space="0" w:color="auto"/>
          </w:divBdr>
          <w:divsChild>
            <w:div w:id="1646466738">
              <w:marLeft w:val="0"/>
              <w:marRight w:val="0"/>
              <w:marTop w:val="0"/>
              <w:marBottom w:val="0"/>
              <w:divBdr>
                <w:top w:val="none" w:sz="0" w:space="0" w:color="auto"/>
                <w:left w:val="none" w:sz="0" w:space="0" w:color="auto"/>
                <w:bottom w:val="none" w:sz="0" w:space="0" w:color="auto"/>
                <w:right w:val="none" w:sz="0" w:space="0" w:color="auto"/>
              </w:divBdr>
              <w:divsChild>
                <w:div w:id="5472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8635-52EF-4D0E-B616-7BFC93F6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6523</Words>
  <Characters>37186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ROY</dc:creator>
  <cp:keywords/>
  <dc:description/>
  <cp:lastModifiedBy>Yaghoob Jafari</cp:lastModifiedBy>
  <cp:revision>33</cp:revision>
  <dcterms:created xsi:type="dcterms:W3CDTF">2024-01-06T11:34:00Z</dcterms:created>
  <dcterms:modified xsi:type="dcterms:W3CDTF">2024-01-26T14:50:00Z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id="NifYN9Y9"/&gt;&lt;style id="http://www.zotero.org/styles/food-and-agriculture-organization-of-the-united-nations" locale="en-US" hasBibliography="1" bibliographyStyleHasBeenSet="1"/&gt;&lt;prefs&gt;&lt;pref name="</vt:lpwstr>
  </property>
  <property fmtid="{D5CDD505-2E9C-101B-9397-08002B2CF9AE}" pid="3" name="ZOTERO_PREF_2">
    <vt:lpwstr>fieldType" value="Field"/&gt;&lt;pref name="automaticJournalAbbreviations" value="true"/&gt;&lt;/prefs&gt;&lt;/data&gt;</vt:lpwstr>
  </property>
</Properties>
</file>