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34155C" w14:textId="00F773DF" w:rsidR="0070024B" w:rsidRDefault="00174E09" w:rsidP="005F1FBD">
      <w:pPr>
        <w:pStyle w:val="Title"/>
      </w:pPr>
      <w:r>
        <w:t xml:space="preserve">The </w:t>
      </w:r>
      <w:r w:rsidR="00756863">
        <w:t xml:space="preserve">multiple dimensions of </w:t>
      </w:r>
      <w:r>
        <w:t xml:space="preserve">resilience </w:t>
      </w:r>
      <w:r w:rsidR="00FA546A">
        <w:t>in</w:t>
      </w:r>
      <w:r>
        <w:t xml:space="preserve"> a</w:t>
      </w:r>
      <w:r w:rsidR="00695538">
        <w:t>gricultural trade networks</w:t>
      </w:r>
    </w:p>
    <w:p w14:paraId="310994D3" w14:textId="579F2124" w:rsidR="00695538" w:rsidRDefault="00695538" w:rsidP="00695538"/>
    <w:p w14:paraId="13ABA3DD" w14:textId="207E1A0A" w:rsidR="0077639B" w:rsidRPr="00AF427F" w:rsidRDefault="0077639B" w:rsidP="009F019E">
      <w:pPr>
        <w:rPr>
          <w:b/>
          <w:bCs/>
        </w:rPr>
      </w:pPr>
      <w:r w:rsidRPr="00AF427F">
        <w:rPr>
          <w:b/>
          <w:bCs/>
        </w:rPr>
        <w:t>Abstract</w:t>
      </w:r>
    </w:p>
    <w:p w14:paraId="7EB58B09" w14:textId="7C27887A" w:rsidR="009F019E" w:rsidRDefault="009F019E" w:rsidP="009F019E">
      <w:r w:rsidRPr="00AF427F">
        <w:rPr>
          <w:highlight w:val="yellow"/>
        </w:rPr>
        <w:t>The resilience of the global food and agricultural trade network has been put to the test historically and also more recently by the COVID-19 pandemic in 2020 and the ongoing war in Ukraine that started in February 2022. Such shocks have the potential to propagate throughout the entire network and affect the food availability and variety of countries in the network. This paper employs network analysis to examine the evolution of multiple dimensions of resilience within the food and agricultural trade network since the World Trade Organization (WTO) Agreement on Agriculture (AoA) in 1995. It explores the evolution of connectivity and structure of the connectivity of the trade network and their implications for resilience in the face of trade shocks. Between 1995 and 2007, there was rapid development and increased connectivity in food and agricultural trade, resulting in countries worldwide becoming more interconnected with global markets. However, progress has been constrained in subsequent years. Analysis of the structure of the trade network reveals that the enhanced connectivity among countries has bolstered their resilience to trade shocks to some extent mainly until 2007, but vulnerabilities persist, and there are indications of slight tendencies towards disintegration and lower resilience in recent years.</w:t>
      </w:r>
    </w:p>
    <w:p w14:paraId="129179AA" w14:textId="63337179" w:rsidR="00E072DC" w:rsidRDefault="009F019E" w:rsidP="00695538">
      <w:r w:rsidRPr="00AF427F">
        <w:rPr>
          <w:b/>
          <w:bCs/>
        </w:rPr>
        <w:t>Keywords:</w:t>
      </w:r>
      <w:r>
        <w:t xml:space="preserve"> Global food trade, network analysis, network integration, structure of integration, resilience</w:t>
      </w:r>
    </w:p>
    <w:p w14:paraId="2DCCF4D5" w14:textId="77777777" w:rsidR="00A245B7" w:rsidRDefault="00A245B7" w:rsidP="00695538"/>
    <w:sdt>
      <w:sdtPr>
        <w:rPr>
          <w:rFonts w:ascii="Cambria" w:eastAsiaTheme="minorHAnsi" w:hAnsi="Cambria" w:cstheme="minorBidi"/>
          <w:color w:val="auto"/>
          <w:sz w:val="22"/>
          <w:szCs w:val="22"/>
        </w:rPr>
        <w:id w:val="1458766915"/>
        <w:docPartObj>
          <w:docPartGallery w:val="Table of Contents"/>
          <w:docPartUnique/>
        </w:docPartObj>
      </w:sdtPr>
      <w:sdtEndPr>
        <w:rPr>
          <w:b/>
          <w:bCs/>
          <w:noProof/>
        </w:rPr>
      </w:sdtEndPr>
      <w:sdtContent>
        <w:p w14:paraId="5A874B06" w14:textId="7FB05A02" w:rsidR="00A245B7" w:rsidRDefault="00A245B7">
          <w:pPr>
            <w:pStyle w:val="TOCHeading"/>
          </w:pPr>
          <w:r>
            <w:t>Contents</w:t>
          </w:r>
        </w:p>
        <w:p w14:paraId="726A0F8B" w14:textId="2D0BF51C" w:rsidR="00B65317" w:rsidRDefault="00A245B7">
          <w:pPr>
            <w:pStyle w:val="TOC1"/>
            <w:tabs>
              <w:tab w:val="left" w:pos="440"/>
              <w:tab w:val="right" w:leader="dot" w:pos="9350"/>
            </w:tabs>
            <w:rPr>
              <w:rFonts w:asciiTheme="minorHAnsi" w:eastAsiaTheme="minorEastAsia" w:hAnsiTheme="minorHAnsi"/>
              <w:noProof/>
              <w:kern w:val="2"/>
              <w14:ligatures w14:val="standardContextual"/>
            </w:rPr>
          </w:pPr>
          <w:r>
            <w:fldChar w:fldCharType="begin"/>
          </w:r>
          <w:r>
            <w:instrText xml:space="preserve"> TOC \o "1-3" \h \z \u </w:instrText>
          </w:r>
          <w:r>
            <w:fldChar w:fldCharType="separate"/>
          </w:r>
          <w:hyperlink w:anchor="_Toc145761443" w:history="1">
            <w:r w:rsidR="00B65317" w:rsidRPr="004B6ADB">
              <w:rPr>
                <w:rStyle w:val="Hyperlink"/>
                <w:noProof/>
              </w:rPr>
              <w:t>1</w:t>
            </w:r>
            <w:r w:rsidR="00B65317">
              <w:rPr>
                <w:rFonts w:asciiTheme="minorHAnsi" w:eastAsiaTheme="minorEastAsia" w:hAnsiTheme="minorHAnsi"/>
                <w:noProof/>
                <w:kern w:val="2"/>
                <w14:ligatures w14:val="standardContextual"/>
              </w:rPr>
              <w:tab/>
            </w:r>
            <w:r w:rsidR="00B65317" w:rsidRPr="004B6ADB">
              <w:rPr>
                <w:rStyle w:val="Hyperlink"/>
                <w:noProof/>
              </w:rPr>
              <w:t>Introduction</w:t>
            </w:r>
            <w:r w:rsidR="00B65317">
              <w:rPr>
                <w:noProof/>
                <w:webHidden/>
              </w:rPr>
              <w:tab/>
            </w:r>
            <w:r w:rsidR="00B65317">
              <w:rPr>
                <w:noProof/>
                <w:webHidden/>
              </w:rPr>
              <w:fldChar w:fldCharType="begin"/>
            </w:r>
            <w:r w:rsidR="00B65317">
              <w:rPr>
                <w:noProof/>
                <w:webHidden/>
              </w:rPr>
              <w:instrText xml:space="preserve"> PAGEREF _Toc145761443 \h </w:instrText>
            </w:r>
            <w:r w:rsidR="00B65317">
              <w:rPr>
                <w:noProof/>
                <w:webHidden/>
              </w:rPr>
            </w:r>
            <w:r w:rsidR="00B65317">
              <w:rPr>
                <w:noProof/>
                <w:webHidden/>
              </w:rPr>
              <w:fldChar w:fldCharType="separate"/>
            </w:r>
            <w:r w:rsidR="00B65317">
              <w:rPr>
                <w:noProof/>
                <w:webHidden/>
              </w:rPr>
              <w:t>2</w:t>
            </w:r>
            <w:r w:rsidR="00B65317">
              <w:rPr>
                <w:noProof/>
                <w:webHidden/>
              </w:rPr>
              <w:fldChar w:fldCharType="end"/>
            </w:r>
          </w:hyperlink>
        </w:p>
        <w:p w14:paraId="69E34A78" w14:textId="475B823A" w:rsidR="00B65317" w:rsidRDefault="00497A00">
          <w:pPr>
            <w:pStyle w:val="TOC1"/>
            <w:tabs>
              <w:tab w:val="left" w:pos="440"/>
              <w:tab w:val="right" w:leader="dot" w:pos="9350"/>
            </w:tabs>
            <w:rPr>
              <w:rFonts w:asciiTheme="minorHAnsi" w:eastAsiaTheme="minorEastAsia" w:hAnsiTheme="minorHAnsi"/>
              <w:noProof/>
              <w:kern w:val="2"/>
              <w14:ligatures w14:val="standardContextual"/>
            </w:rPr>
          </w:pPr>
          <w:hyperlink w:anchor="_Toc145761444" w:history="1">
            <w:r w:rsidR="00B65317" w:rsidRPr="004B6ADB">
              <w:rPr>
                <w:rStyle w:val="Hyperlink"/>
                <w:noProof/>
              </w:rPr>
              <w:t>2</w:t>
            </w:r>
            <w:r w:rsidR="00B65317">
              <w:rPr>
                <w:rFonts w:asciiTheme="minorHAnsi" w:eastAsiaTheme="minorEastAsia" w:hAnsiTheme="minorHAnsi"/>
                <w:noProof/>
                <w:kern w:val="2"/>
                <w14:ligatures w14:val="standardContextual"/>
              </w:rPr>
              <w:tab/>
            </w:r>
            <w:r w:rsidR="00B65317" w:rsidRPr="004B6ADB">
              <w:rPr>
                <w:rStyle w:val="Hyperlink"/>
                <w:noProof/>
              </w:rPr>
              <w:t>Evolution of food and agricultural trade</w:t>
            </w:r>
            <w:r w:rsidR="00B65317">
              <w:rPr>
                <w:noProof/>
                <w:webHidden/>
              </w:rPr>
              <w:tab/>
            </w:r>
            <w:r w:rsidR="00B65317">
              <w:rPr>
                <w:noProof/>
                <w:webHidden/>
              </w:rPr>
              <w:fldChar w:fldCharType="begin"/>
            </w:r>
            <w:r w:rsidR="00B65317">
              <w:rPr>
                <w:noProof/>
                <w:webHidden/>
              </w:rPr>
              <w:instrText xml:space="preserve"> PAGEREF _Toc145761444 \h </w:instrText>
            </w:r>
            <w:r w:rsidR="00B65317">
              <w:rPr>
                <w:noProof/>
                <w:webHidden/>
              </w:rPr>
            </w:r>
            <w:r w:rsidR="00B65317">
              <w:rPr>
                <w:noProof/>
                <w:webHidden/>
              </w:rPr>
              <w:fldChar w:fldCharType="separate"/>
            </w:r>
            <w:r w:rsidR="00B65317">
              <w:rPr>
                <w:noProof/>
                <w:webHidden/>
              </w:rPr>
              <w:t>6</w:t>
            </w:r>
            <w:r w:rsidR="00B65317">
              <w:rPr>
                <w:noProof/>
                <w:webHidden/>
              </w:rPr>
              <w:fldChar w:fldCharType="end"/>
            </w:r>
          </w:hyperlink>
        </w:p>
        <w:p w14:paraId="4FACCAEA" w14:textId="18F0E4AA" w:rsidR="00B65317" w:rsidRDefault="00497A00">
          <w:pPr>
            <w:pStyle w:val="TOC1"/>
            <w:tabs>
              <w:tab w:val="left" w:pos="440"/>
              <w:tab w:val="right" w:leader="dot" w:pos="9350"/>
            </w:tabs>
            <w:rPr>
              <w:rFonts w:asciiTheme="minorHAnsi" w:eastAsiaTheme="minorEastAsia" w:hAnsiTheme="minorHAnsi"/>
              <w:noProof/>
              <w:kern w:val="2"/>
              <w14:ligatures w14:val="standardContextual"/>
            </w:rPr>
          </w:pPr>
          <w:hyperlink w:anchor="_Toc145761445" w:history="1">
            <w:r w:rsidR="00B65317" w:rsidRPr="004B6ADB">
              <w:rPr>
                <w:rStyle w:val="Hyperlink"/>
                <w:noProof/>
              </w:rPr>
              <w:t>3</w:t>
            </w:r>
            <w:r w:rsidR="00B65317">
              <w:rPr>
                <w:rFonts w:asciiTheme="minorHAnsi" w:eastAsiaTheme="minorEastAsia" w:hAnsiTheme="minorHAnsi"/>
                <w:noProof/>
                <w:kern w:val="2"/>
                <w14:ligatures w14:val="standardContextual"/>
              </w:rPr>
              <w:tab/>
            </w:r>
            <w:r w:rsidR="00B65317" w:rsidRPr="004B6ADB">
              <w:rPr>
                <w:rStyle w:val="Hyperlink"/>
                <w:noProof/>
              </w:rPr>
              <w:t>Framing the multidimensionality of resilience</w:t>
            </w:r>
            <w:r w:rsidR="00B65317">
              <w:rPr>
                <w:noProof/>
                <w:webHidden/>
              </w:rPr>
              <w:tab/>
            </w:r>
            <w:r w:rsidR="00B65317">
              <w:rPr>
                <w:noProof/>
                <w:webHidden/>
              </w:rPr>
              <w:fldChar w:fldCharType="begin"/>
            </w:r>
            <w:r w:rsidR="00B65317">
              <w:rPr>
                <w:noProof/>
                <w:webHidden/>
              </w:rPr>
              <w:instrText xml:space="preserve"> PAGEREF _Toc145761445 \h </w:instrText>
            </w:r>
            <w:r w:rsidR="00B65317">
              <w:rPr>
                <w:noProof/>
                <w:webHidden/>
              </w:rPr>
            </w:r>
            <w:r w:rsidR="00B65317">
              <w:rPr>
                <w:noProof/>
                <w:webHidden/>
              </w:rPr>
              <w:fldChar w:fldCharType="separate"/>
            </w:r>
            <w:r w:rsidR="00B65317">
              <w:rPr>
                <w:noProof/>
                <w:webHidden/>
              </w:rPr>
              <w:t>7</w:t>
            </w:r>
            <w:r w:rsidR="00B65317">
              <w:rPr>
                <w:noProof/>
                <w:webHidden/>
              </w:rPr>
              <w:fldChar w:fldCharType="end"/>
            </w:r>
          </w:hyperlink>
        </w:p>
        <w:p w14:paraId="32F14D5F" w14:textId="706C4B3B" w:rsidR="00B65317" w:rsidRDefault="00497A00">
          <w:pPr>
            <w:pStyle w:val="TOC2"/>
            <w:tabs>
              <w:tab w:val="left" w:pos="880"/>
              <w:tab w:val="right" w:leader="dot" w:pos="9350"/>
            </w:tabs>
            <w:rPr>
              <w:rFonts w:asciiTheme="minorHAnsi" w:eastAsiaTheme="minorEastAsia" w:hAnsiTheme="minorHAnsi"/>
              <w:noProof/>
              <w:kern w:val="2"/>
              <w14:ligatures w14:val="standardContextual"/>
            </w:rPr>
          </w:pPr>
          <w:hyperlink w:anchor="_Toc145761446" w:history="1">
            <w:r w:rsidR="00B65317" w:rsidRPr="004B6ADB">
              <w:rPr>
                <w:rStyle w:val="Hyperlink"/>
                <w:noProof/>
              </w:rPr>
              <w:t>3.1</w:t>
            </w:r>
            <w:r w:rsidR="00B65317">
              <w:rPr>
                <w:rFonts w:asciiTheme="minorHAnsi" w:eastAsiaTheme="minorEastAsia" w:hAnsiTheme="minorHAnsi"/>
                <w:noProof/>
                <w:kern w:val="2"/>
                <w14:ligatures w14:val="standardContextual"/>
              </w:rPr>
              <w:tab/>
            </w:r>
            <w:r w:rsidR="00B65317" w:rsidRPr="004B6ADB">
              <w:rPr>
                <w:rStyle w:val="Hyperlink"/>
                <w:noProof/>
              </w:rPr>
              <w:t>Country-level resilience vs global (network)-level resilience</w:t>
            </w:r>
            <w:r w:rsidR="00B65317">
              <w:rPr>
                <w:noProof/>
                <w:webHidden/>
              </w:rPr>
              <w:tab/>
            </w:r>
            <w:r w:rsidR="00B65317">
              <w:rPr>
                <w:noProof/>
                <w:webHidden/>
              </w:rPr>
              <w:fldChar w:fldCharType="begin"/>
            </w:r>
            <w:r w:rsidR="00B65317">
              <w:rPr>
                <w:noProof/>
                <w:webHidden/>
              </w:rPr>
              <w:instrText xml:space="preserve"> PAGEREF _Toc145761446 \h </w:instrText>
            </w:r>
            <w:r w:rsidR="00B65317">
              <w:rPr>
                <w:noProof/>
                <w:webHidden/>
              </w:rPr>
            </w:r>
            <w:r w:rsidR="00B65317">
              <w:rPr>
                <w:noProof/>
                <w:webHidden/>
              </w:rPr>
              <w:fldChar w:fldCharType="separate"/>
            </w:r>
            <w:r w:rsidR="00B65317">
              <w:rPr>
                <w:noProof/>
                <w:webHidden/>
              </w:rPr>
              <w:t>7</w:t>
            </w:r>
            <w:r w:rsidR="00B65317">
              <w:rPr>
                <w:noProof/>
                <w:webHidden/>
              </w:rPr>
              <w:fldChar w:fldCharType="end"/>
            </w:r>
          </w:hyperlink>
        </w:p>
        <w:p w14:paraId="6E321199" w14:textId="09C19F7C" w:rsidR="00B65317" w:rsidRDefault="00497A00">
          <w:pPr>
            <w:pStyle w:val="TOC2"/>
            <w:tabs>
              <w:tab w:val="left" w:pos="880"/>
              <w:tab w:val="right" w:leader="dot" w:pos="9350"/>
            </w:tabs>
            <w:rPr>
              <w:rFonts w:asciiTheme="minorHAnsi" w:eastAsiaTheme="minorEastAsia" w:hAnsiTheme="minorHAnsi"/>
              <w:noProof/>
              <w:kern w:val="2"/>
              <w14:ligatures w14:val="standardContextual"/>
            </w:rPr>
          </w:pPr>
          <w:hyperlink w:anchor="_Toc145761450" w:history="1">
            <w:r w:rsidR="00B65317" w:rsidRPr="004B6ADB">
              <w:rPr>
                <w:rStyle w:val="Hyperlink"/>
                <w:noProof/>
              </w:rPr>
              <w:t>3.2</w:t>
            </w:r>
            <w:r w:rsidR="00B65317">
              <w:rPr>
                <w:rFonts w:asciiTheme="minorHAnsi" w:eastAsiaTheme="minorEastAsia" w:hAnsiTheme="minorHAnsi"/>
                <w:noProof/>
                <w:kern w:val="2"/>
                <w14:ligatures w14:val="standardContextual"/>
              </w:rPr>
              <w:tab/>
            </w:r>
            <w:r w:rsidR="00B65317" w:rsidRPr="004B6ADB">
              <w:rPr>
                <w:rStyle w:val="Hyperlink"/>
                <w:noProof/>
              </w:rPr>
              <w:t>Transmission/propagation of shocks</w:t>
            </w:r>
            <w:r w:rsidR="00B65317">
              <w:rPr>
                <w:noProof/>
                <w:webHidden/>
              </w:rPr>
              <w:tab/>
            </w:r>
            <w:r w:rsidR="00B65317">
              <w:rPr>
                <w:noProof/>
                <w:webHidden/>
              </w:rPr>
              <w:fldChar w:fldCharType="begin"/>
            </w:r>
            <w:r w:rsidR="00B65317">
              <w:rPr>
                <w:noProof/>
                <w:webHidden/>
              </w:rPr>
              <w:instrText xml:space="preserve"> PAGEREF _Toc145761450 \h </w:instrText>
            </w:r>
            <w:r w:rsidR="00B65317">
              <w:rPr>
                <w:noProof/>
                <w:webHidden/>
              </w:rPr>
            </w:r>
            <w:r w:rsidR="00B65317">
              <w:rPr>
                <w:noProof/>
                <w:webHidden/>
              </w:rPr>
              <w:fldChar w:fldCharType="separate"/>
            </w:r>
            <w:r w:rsidR="00B65317">
              <w:rPr>
                <w:noProof/>
                <w:webHidden/>
              </w:rPr>
              <w:t>8</w:t>
            </w:r>
            <w:r w:rsidR="00B65317">
              <w:rPr>
                <w:noProof/>
                <w:webHidden/>
              </w:rPr>
              <w:fldChar w:fldCharType="end"/>
            </w:r>
          </w:hyperlink>
        </w:p>
        <w:p w14:paraId="11D9FD7E" w14:textId="05DB563E" w:rsidR="00B65317" w:rsidRDefault="00497A00">
          <w:pPr>
            <w:pStyle w:val="TOC3"/>
            <w:tabs>
              <w:tab w:val="left" w:pos="1320"/>
              <w:tab w:val="right" w:leader="dot" w:pos="9350"/>
            </w:tabs>
            <w:rPr>
              <w:rFonts w:asciiTheme="minorHAnsi" w:eastAsiaTheme="minorEastAsia" w:hAnsiTheme="minorHAnsi"/>
              <w:noProof/>
              <w:kern w:val="2"/>
              <w14:ligatures w14:val="standardContextual"/>
            </w:rPr>
          </w:pPr>
          <w:hyperlink w:anchor="_Toc145761451" w:history="1">
            <w:r w:rsidR="00B65317" w:rsidRPr="004B6ADB">
              <w:rPr>
                <w:rStyle w:val="Hyperlink"/>
                <w:noProof/>
              </w:rPr>
              <w:t>3.2.1</w:t>
            </w:r>
            <w:r w:rsidR="00B65317">
              <w:rPr>
                <w:rFonts w:asciiTheme="minorHAnsi" w:eastAsiaTheme="minorEastAsia" w:hAnsiTheme="minorHAnsi"/>
                <w:noProof/>
                <w:kern w:val="2"/>
                <w14:ligatures w14:val="standardContextual"/>
              </w:rPr>
              <w:tab/>
            </w:r>
            <w:r w:rsidR="00B65317" w:rsidRPr="004B6ADB">
              <w:rPr>
                <w:rStyle w:val="Hyperlink"/>
                <w:noProof/>
              </w:rPr>
              <w:t>Short-run versus long-run transmission of shocks</w:t>
            </w:r>
            <w:r w:rsidR="00B65317">
              <w:rPr>
                <w:noProof/>
                <w:webHidden/>
              </w:rPr>
              <w:tab/>
            </w:r>
            <w:r w:rsidR="00B65317">
              <w:rPr>
                <w:noProof/>
                <w:webHidden/>
              </w:rPr>
              <w:fldChar w:fldCharType="begin"/>
            </w:r>
            <w:r w:rsidR="00B65317">
              <w:rPr>
                <w:noProof/>
                <w:webHidden/>
              </w:rPr>
              <w:instrText xml:space="preserve"> PAGEREF _Toc145761451 \h </w:instrText>
            </w:r>
            <w:r w:rsidR="00B65317">
              <w:rPr>
                <w:noProof/>
                <w:webHidden/>
              </w:rPr>
            </w:r>
            <w:r w:rsidR="00B65317">
              <w:rPr>
                <w:noProof/>
                <w:webHidden/>
              </w:rPr>
              <w:fldChar w:fldCharType="separate"/>
            </w:r>
            <w:r w:rsidR="00B65317">
              <w:rPr>
                <w:noProof/>
                <w:webHidden/>
              </w:rPr>
              <w:t>8</w:t>
            </w:r>
            <w:r w:rsidR="00B65317">
              <w:rPr>
                <w:noProof/>
                <w:webHidden/>
              </w:rPr>
              <w:fldChar w:fldCharType="end"/>
            </w:r>
          </w:hyperlink>
        </w:p>
        <w:p w14:paraId="72DE7541" w14:textId="4B025F9A" w:rsidR="00B65317" w:rsidRDefault="00497A00">
          <w:pPr>
            <w:pStyle w:val="TOC3"/>
            <w:tabs>
              <w:tab w:val="left" w:pos="1320"/>
              <w:tab w:val="right" w:leader="dot" w:pos="9350"/>
            </w:tabs>
            <w:rPr>
              <w:rFonts w:asciiTheme="minorHAnsi" w:eastAsiaTheme="minorEastAsia" w:hAnsiTheme="minorHAnsi"/>
              <w:noProof/>
              <w:kern w:val="2"/>
              <w14:ligatures w14:val="standardContextual"/>
            </w:rPr>
          </w:pPr>
          <w:hyperlink w:anchor="_Toc145761452" w:history="1">
            <w:r w:rsidR="00B65317" w:rsidRPr="004B6ADB">
              <w:rPr>
                <w:rStyle w:val="Hyperlink"/>
                <w:noProof/>
                <w:lang w:val="en-GB"/>
              </w:rPr>
              <w:t>3.2.2</w:t>
            </w:r>
            <w:r w:rsidR="00B65317">
              <w:rPr>
                <w:rFonts w:asciiTheme="minorHAnsi" w:eastAsiaTheme="minorEastAsia" w:hAnsiTheme="minorHAnsi"/>
                <w:noProof/>
                <w:kern w:val="2"/>
                <w14:ligatures w14:val="standardContextual"/>
              </w:rPr>
              <w:tab/>
            </w:r>
            <w:r w:rsidR="00B65317" w:rsidRPr="004B6ADB">
              <w:rPr>
                <w:rStyle w:val="Hyperlink"/>
                <w:noProof/>
                <w:highlight w:val="yellow"/>
                <w:lang w:val="en-GB"/>
              </w:rPr>
              <w:t>Regional scope</w:t>
            </w:r>
            <w:r w:rsidR="00B65317" w:rsidRPr="004B6ADB">
              <w:rPr>
                <w:rStyle w:val="Hyperlink"/>
                <w:noProof/>
                <w:lang w:val="en-GB"/>
              </w:rPr>
              <w:t xml:space="preserve"> of shocks propagation</w:t>
            </w:r>
            <w:r w:rsidR="00B65317">
              <w:rPr>
                <w:noProof/>
                <w:webHidden/>
              </w:rPr>
              <w:tab/>
            </w:r>
            <w:r w:rsidR="00B65317">
              <w:rPr>
                <w:noProof/>
                <w:webHidden/>
              </w:rPr>
              <w:fldChar w:fldCharType="begin"/>
            </w:r>
            <w:r w:rsidR="00B65317">
              <w:rPr>
                <w:noProof/>
                <w:webHidden/>
              </w:rPr>
              <w:instrText xml:space="preserve"> PAGEREF _Toc145761452 \h </w:instrText>
            </w:r>
            <w:r w:rsidR="00B65317">
              <w:rPr>
                <w:noProof/>
                <w:webHidden/>
              </w:rPr>
            </w:r>
            <w:r w:rsidR="00B65317">
              <w:rPr>
                <w:noProof/>
                <w:webHidden/>
              </w:rPr>
              <w:fldChar w:fldCharType="separate"/>
            </w:r>
            <w:r w:rsidR="00B65317">
              <w:rPr>
                <w:noProof/>
                <w:webHidden/>
              </w:rPr>
              <w:t>8</w:t>
            </w:r>
            <w:r w:rsidR="00B65317">
              <w:rPr>
                <w:noProof/>
                <w:webHidden/>
              </w:rPr>
              <w:fldChar w:fldCharType="end"/>
            </w:r>
          </w:hyperlink>
        </w:p>
        <w:p w14:paraId="5B453E71" w14:textId="6C6D8451" w:rsidR="00B65317" w:rsidRDefault="00497A00">
          <w:pPr>
            <w:pStyle w:val="TOC2"/>
            <w:tabs>
              <w:tab w:val="left" w:pos="880"/>
              <w:tab w:val="right" w:leader="dot" w:pos="9350"/>
            </w:tabs>
            <w:rPr>
              <w:rFonts w:asciiTheme="minorHAnsi" w:eastAsiaTheme="minorEastAsia" w:hAnsiTheme="minorHAnsi"/>
              <w:noProof/>
              <w:kern w:val="2"/>
              <w14:ligatures w14:val="standardContextual"/>
            </w:rPr>
          </w:pPr>
          <w:hyperlink w:anchor="_Toc145761453" w:history="1">
            <w:r w:rsidR="00B65317" w:rsidRPr="004B6ADB">
              <w:rPr>
                <w:rStyle w:val="Hyperlink"/>
                <w:noProof/>
              </w:rPr>
              <w:t>3.3</w:t>
            </w:r>
            <w:r w:rsidR="00B65317">
              <w:rPr>
                <w:rFonts w:asciiTheme="minorHAnsi" w:eastAsiaTheme="minorEastAsia" w:hAnsiTheme="minorHAnsi"/>
                <w:noProof/>
                <w:kern w:val="2"/>
                <w14:ligatures w14:val="standardContextual"/>
              </w:rPr>
              <w:tab/>
            </w:r>
            <w:r w:rsidR="00B65317" w:rsidRPr="004B6ADB">
              <w:rPr>
                <w:rStyle w:val="Hyperlink"/>
                <w:noProof/>
              </w:rPr>
              <w:t>Diversity and intensity of trade (extensive versus intensive margin)</w:t>
            </w:r>
            <w:r w:rsidR="00B65317">
              <w:rPr>
                <w:noProof/>
                <w:webHidden/>
              </w:rPr>
              <w:tab/>
            </w:r>
            <w:r w:rsidR="00B65317">
              <w:rPr>
                <w:noProof/>
                <w:webHidden/>
              </w:rPr>
              <w:fldChar w:fldCharType="begin"/>
            </w:r>
            <w:r w:rsidR="00B65317">
              <w:rPr>
                <w:noProof/>
                <w:webHidden/>
              </w:rPr>
              <w:instrText xml:space="preserve"> PAGEREF _Toc145761453 \h </w:instrText>
            </w:r>
            <w:r w:rsidR="00B65317">
              <w:rPr>
                <w:noProof/>
                <w:webHidden/>
              </w:rPr>
            </w:r>
            <w:r w:rsidR="00B65317">
              <w:rPr>
                <w:noProof/>
                <w:webHidden/>
              </w:rPr>
              <w:fldChar w:fldCharType="separate"/>
            </w:r>
            <w:r w:rsidR="00B65317">
              <w:rPr>
                <w:noProof/>
                <w:webHidden/>
              </w:rPr>
              <w:t>9</w:t>
            </w:r>
            <w:r w:rsidR="00B65317">
              <w:rPr>
                <w:noProof/>
                <w:webHidden/>
              </w:rPr>
              <w:fldChar w:fldCharType="end"/>
            </w:r>
          </w:hyperlink>
        </w:p>
        <w:p w14:paraId="0A794A66" w14:textId="0CD3295C" w:rsidR="00B65317" w:rsidRDefault="00497A00">
          <w:pPr>
            <w:pStyle w:val="TOC1"/>
            <w:tabs>
              <w:tab w:val="left" w:pos="440"/>
              <w:tab w:val="right" w:leader="dot" w:pos="9350"/>
            </w:tabs>
            <w:rPr>
              <w:rFonts w:asciiTheme="minorHAnsi" w:eastAsiaTheme="minorEastAsia" w:hAnsiTheme="minorHAnsi"/>
              <w:noProof/>
              <w:kern w:val="2"/>
              <w14:ligatures w14:val="standardContextual"/>
            </w:rPr>
          </w:pPr>
          <w:hyperlink w:anchor="_Toc145761454" w:history="1">
            <w:r w:rsidR="00B65317" w:rsidRPr="004B6ADB">
              <w:rPr>
                <w:rStyle w:val="Hyperlink"/>
                <w:noProof/>
              </w:rPr>
              <w:t>4</w:t>
            </w:r>
            <w:r w:rsidR="00B65317">
              <w:rPr>
                <w:rFonts w:asciiTheme="minorHAnsi" w:eastAsiaTheme="minorEastAsia" w:hAnsiTheme="minorHAnsi"/>
                <w:noProof/>
                <w:kern w:val="2"/>
                <w14:ligatures w14:val="standardContextual"/>
              </w:rPr>
              <w:tab/>
            </w:r>
            <w:r w:rsidR="00B65317" w:rsidRPr="004B6ADB">
              <w:rPr>
                <w:rStyle w:val="Hyperlink"/>
                <w:noProof/>
              </w:rPr>
              <w:t>Materials and methods</w:t>
            </w:r>
            <w:r w:rsidR="00B65317">
              <w:rPr>
                <w:noProof/>
                <w:webHidden/>
              </w:rPr>
              <w:tab/>
            </w:r>
            <w:r w:rsidR="00B65317">
              <w:rPr>
                <w:noProof/>
                <w:webHidden/>
              </w:rPr>
              <w:fldChar w:fldCharType="begin"/>
            </w:r>
            <w:r w:rsidR="00B65317">
              <w:rPr>
                <w:noProof/>
                <w:webHidden/>
              </w:rPr>
              <w:instrText xml:space="preserve"> PAGEREF _Toc145761454 \h </w:instrText>
            </w:r>
            <w:r w:rsidR="00B65317">
              <w:rPr>
                <w:noProof/>
                <w:webHidden/>
              </w:rPr>
            </w:r>
            <w:r w:rsidR="00B65317">
              <w:rPr>
                <w:noProof/>
                <w:webHidden/>
              </w:rPr>
              <w:fldChar w:fldCharType="separate"/>
            </w:r>
            <w:r w:rsidR="00B65317">
              <w:rPr>
                <w:noProof/>
                <w:webHidden/>
              </w:rPr>
              <w:t>9</w:t>
            </w:r>
            <w:r w:rsidR="00B65317">
              <w:rPr>
                <w:noProof/>
                <w:webHidden/>
              </w:rPr>
              <w:fldChar w:fldCharType="end"/>
            </w:r>
          </w:hyperlink>
        </w:p>
        <w:p w14:paraId="6A27DA42" w14:textId="1573A5D0" w:rsidR="00B65317" w:rsidRDefault="00497A00">
          <w:pPr>
            <w:pStyle w:val="TOC1"/>
            <w:tabs>
              <w:tab w:val="left" w:pos="440"/>
              <w:tab w:val="right" w:leader="dot" w:pos="9350"/>
            </w:tabs>
            <w:rPr>
              <w:rFonts w:asciiTheme="minorHAnsi" w:eastAsiaTheme="minorEastAsia" w:hAnsiTheme="minorHAnsi"/>
              <w:noProof/>
              <w:kern w:val="2"/>
              <w14:ligatures w14:val="standardContextual"/>
            </w:rPr>
          </w:pPr>
          <w:hyperlink w:anchor="_Toc145761455" w:history="1">
            <w:r w:rsidR="00B65317" w:rsidRPr="004B6ADB">
              <w:rPr>
                <w:rStyle w:val="Hyperlink"/>
                <w:noProof/>
              </w:rPr>
              <w:t>5</w:t>
            </w:r>
            <w:r w:rsidR="00B65317">
              <w:rPr>
                <w:rFonts w:asciiTheme="minorHAnsi" w:eastAsiaTheme="minorEastAsia" w:hAnsiTheme="minorHAnsi"/>
                <w:noProof/>
                <w:kern w:val="2"/>
                <w14:ligatures w14:val="standardContextual"/>
              </w:rPr>
              <w:tab/>
            </w:r>
            <w:r w:rsidR="00B65317" w:rsidRPr="004B6ADB">
              <w:rPr>
                <w:rStyle w:val="Hyperlink"/>
                <w:noProof/>
              </w:rPr>
              <w:t>Results and discussion</w:t>
            </w:r>
            <w:r w:rsidR="00B65317">
              <w:rPr>
                <w:noProof/>
                <w:webHidden/>
              </w:rPr>
              <w:tab/>
            </w:r>
            <w:r w:rsidR="00B65317">
              <w:rPr>
                <w:noProof/>
                <w:webHidden/>
              </w:rPr>
              <w:fldChar w:fldCharType="begin"/>
            </w:r>
            <w:r w:rsidR="00B65317">
              <w:rPr>
                <w:noProof/>
                <w:webHidden/>
              </w:rPr>
              <w:instrText xml:space="preserve"> PAGEREF _Toc145761455 \h </w:instrText>
            </w:r>
            <w:r w:rsidR="00B65317">
              <w:rPr>
                <w:noProof/>
                <w:webHidden/>
              </w:rPr>
            </w:r>
            <w:r w:rsidR="00B65317">
              <w:rPr>
                <w:noProof/>
                <w:webHidden/>
              </w:rPr>
              <w:fldChar w:fldCharType="separate"/>
            </w:r>
            <w:r w:rsidR="00B65317">
              <w:rPr>
                <w:noProof/>
                <w:webHidden/>
              </w:rPr>
              <w:t>12</w:t>
            </w:r>
            <w:r w:rsidR="00B65317">
              <w:rPr>
                <w:noProof/>
                <w:webHidden/>
              </w:rPr>
              <w:fldChar w:fldCharType="end"/>
            </w:r>
          </w:hyperlink>
        </w:p>
        <w:p w14:paraId="15ED0074" w14:textId="25AAEE4A" w:rsidR="00B65317" w:rsidRDefault="00497A00">
          <w:pPr>
            <w:pStyle w:val="TOC2"/>
            <w:tabs>
              <w:tab w:val="left" w:pos="880"/>
              <w:tab w:val="right" w:leader="dot" w:pos="9350"/>
            </w:tabs>
            <w:rPr>
              <w:rFonts w:asciiTheme="minorHAnsi" w:eastAsiaTheme="minorEastAsia" w:hAnsiTheme="minorHAnsi"/>
              <w:noProof/>
              <w:kern w:val="2"/>
              <w14:ligatures w14:val="standardContextual"/>
            </w:rPr>
          </w:pPr>
          <w:hyperlink w:anchor="_Toc145761456" w:history="1">
            <w:r w:rsidR="00B65317" w:rsidRPr="004B6ADB">
              <w:rPr>
                <w:rStyle w:val="Hyperlink"/>
                <w:noProof/>
              </w:rPr>
              <w:t>5.1</w:t>
            </w:r>
            <w:r w:rsidR="00B65317">
              <w:rPr>
                <w:rFonts w:asciiTheme="minorHAnsi" w:eastAsiaTheme="minorEastAsia" w:hAnsiTheme="minorHAnsi"/>
                <w:noProof/>
                <w:kern w:val="2"/>
                <w14:ligatures w14:val="standardContextual"/>
              </w:rPr>
              <w:tab/>
            </w:r>
            <w:r w:rsidR="00B65317" w:rsidRPr="004B6ADB">
              <w:rPr>
                <w:rStyle w:val="Hyperlink"/>
                <w:noProof/>
              </w:rPr>
              <w:t>Perspective (country-level vs global level)</w:t>
            </w:r>
            <w:r w:rsidR="00B65317">
              <w:rPr>
                <w:noProof/>
                <w:webHidden/>
              </w:rPr>
              <w:tab/>
            </w:r>
            <w:r w:rsidR="00B65317">
              <w:rPr>
                <w:noProof/>
                <w:webHidden/>
              </w:rPr>
              <w:fldChar w:fldCharType="begin"/>
            </w:r>
            <w:r w:rsidR="00B65317">
              <w:rPr>
                <w:noProof/>
                <w:webHidden/>
              </w:rPr>
              <w:instrText xml:space="preserve"> PAGEREF _Toc145761456 \h </w:instrText>
            </w:r>
            <w:r w:rsidR="00B65317">
              <w:rPr>
                <w:noProof/>
                <w:webHidden/>
              </w:rPr>
            </w:r>
            <w:r w:rsidR="00B65317">
              <w:rPr>
                <w:noProof/>
                <w:webHidden/>
              </w:rPr>
              <w:fldChar w:fldCharType="separate"/>
            </w:r>
            <w:r w:rsidR="00B65317">
              <w:rPr>
                <w:noProof/>
                <w:webHidden/>
              </w:rPr>
              <w:t>12</w:t>
            </w:r>
            <w:r w:rsidR="00B65317">
              <w:rPr>
                <w:noProof/>
                <w:webHidden/>
              </w:rPr>
              <w:fldChar w:fldCharType="end"/>
            </w:r>
          </w:hyperlink>
        </w:p>
        <w:p w14:paraId="403719E3" w14:textId="4884F1E3" w:rsidR="00B65317" w:rsidRDefault="00497A00">
          <w:pPr>
            <w:pStyle w:val="TOC3"/>
            <w:tabs>
              <w:tab w:val="left" w:pos="1320"/>
              <w:tab w:val="right" w:leader="dot" w:pos="9350"/>
            </w:tabs>
            <w:rPr>
              <w:rFonts w:asciiTheme="minorHAnsi" w:eastAsiaTheme="minorEastAsia" w:hAnsiTheme="minorHAnsi"/>
              <w:noProof/>
              <w:kern w:val="2"/>
              <w14:ligatures w14:val="standardContextual"/>
            </w:rPr>
          </w:pPr>
          <w:hyperlink w:anchor="_Toc145761457" w:history="1">
            <w:r w:rsidR="00B65317" w:rsidRPr="004B6ADB">
              <w:rPr>
                <w:rStyle w:val="Hyperlink"/>
                <w:noProof/>
              </w:rPr>
              <w:t>5.1.1</w:t>
            </w:r>
            <w:r w:rsidR="00B65317">
              <w:rPr>
                <w:rFonts w:asciiTheme="minorHAnsi" w:eastAsiaTheme="minorEastAsia" w:hAnsiTheme="minorHAnsi"/>
                <w:noProof/>
                <w:kern w:val="2"/>
                <w14:ligatures w14:val="standardContextual"/>
              </w:rPr>
              <w:tab/>
            </w:r>
            <w:r w:rsidR="00B65317" w:rsidRPr="004B6ADB">
              <w:rPr>
                <w:rStyle w:val="Hyperlink"/>
                <w:noProof/>
              </w:rPr>
              <w:t>Level of connectivity</w:t>
            </w:r>
            <w:r w:rsidR="00B65317">
              <w:rPr>
                <w:noProof/>
                <w:webHidden/>
              </w:rPr>
              <w:tab/>
            </w:r>
            <w:r w:rsidR="00B65317">
              <w:rPr>
                <w:noProof/>
                <w:webHidden/>
              </w:rPr>
              <w:fldChar w:fldCharType="begin"/>
            </w:r>
            <w:r w:rsidR="00B65317">
              <w:rPr>
                <w:noProof/>
                <w:webHidden/>
              </w:rPr>
              <w:instrText xml:space="preserve"> PAGEREF _Toc145761457 \h </w:instrText>
            </w:r>
            <w:r w:rsidR="00B65317">
              <w:rPr>
                <w:noProof/>
                <w:webHidden/>
              </w:rPr>
            </w:r>
            <w:r w:rsidR="00B65317">
              <w:rPr>
                <w:noProof/>
                <w:webHidden/>
              </w:rPr>
              <w:fldChar w:fldCharType="separate"/>
            </w:r>
            <w:r w:rsidR="00B65317">
              <w:rPr>
                <w:noProof/>
                <w:webHidden/>
              </w:rPr>
              <w:t>12</w:t>
            </w:r>
            <w:r w:rsidR="00B65317">
              <w:rPr>
                <w:noProof/>
                <w:webHidden/>
              </w:rPr>
              <w:fldChar w:fldCharType="end"/>
            </w:r>
          </w:hyperlink>
        </w:p>
        <w:p w14:paraId="1CE8F8B3" w14:textId="252FA1E8" w:rsidR="00B65317" w:rsidRDefault="00497A00">
          <w:pPr>
            <w:pStyle w:val="TOC3"/>
            <w:tabs>
              <w:tab w:val="left" w:pos="1320"/>
              <w:tab w:val="right" w:leader="dot" w:pos="9350"/>
            </w:tabs>
            <w:rPr>
              <w:rFonts w:asciiTheme="minorHAnsi" w:eastAsiaTheme="minorEastAsia" w:hAnsiTheme="minorHAnsi"/>
              <w:noProof/>
              <w:kern w:val="2"/>
              <w14:ligatures w14:val="standardContextual"/>
            </w:rPr>
          </w:pPr>
          <w:hyperlink w:anchor="_Toc145761462" w:history="1">
            <w:r w:rsidR="00B65317" w:rsidRPr="004B6ADB">
              <w:rPr>
                <w:rStyle w:val="Hyperlink"/>
                <w:noProof/>
              </w:rPr>
              <w:t>5.1.2</w:t>
            </w:r>
            <w:r w:rsidR="00B65317">
              <w:rPr>
                <w:rFonts w:asciiTheme="minorHAnsi" w:eastAsiaTheme="minorEastAsia" w:hAnsiTheme="minorHAnsi"/>
                <w:noProof/>
                <w:kern w:val="2"/>
                <w14:ligatures w14:val="standardContextual"/>
              </w:rPr>
              <w:tab/>
            </w:r>
            <w:r w:rsidR="00B65317" w:rsidRPr="004B6ADB">
              <w:rPr>
                <w:rStyle w:val="Hyperlink"/>
                <w:noProof/>
              </w:rPr>
              <w:t>Distribution of connectivity</w:t>
            </w:r>
            <w:r w:rsidR="00B65317">
              <w:rPr>
                <w:noProof/>
                <w:webHidden/>
              </w:rPr>
              <w:tab/>
            </w:r>
            <w:r w:rsidR="00B65317">
              <w:rPr>
                <w:noProof/>
                <w:webHidden/>
              </w:rPr>
              <w:fldChar w:fldCharType="begin"/>
            </w:r>
            <w:r w:rsidR="00B65317">
              <w:rPr>
                <w:noProof/>
                <w:webHidden/>
              </w:rPr>
              <w:instrText xml:space="preserve"> PAGEREF _Toc145761462 \h </w:instrText>
            </w:r>
            <w:r w:rsidR="00B65317">
              <w:rPr>
                <w:noProof/>
                <w:webHidden/>
              </w:rPr>
            </w:r>
            <w:r w:rsidR="00B65317">
              <w:rPr>
                <w:noProof/>
                <w:webHidden/>
              </w:rPr>
              <w:fldChar w:fldCharType="separate"/>
            </w:r>
            <w:r w:rsidR="00B65317">
              <w:rPr>
                <w:noProof/>
                <w:webHidden/>
              </w:rPr>
              <w:t>13</w:t>
            </w:r>
            <w:r w:rsidR="00B65317">
              <w:rPr>
                <w:noProof/>
                <w:webHidden/>
              </w:rPr>
              <w:fldChar w:fldCharType="end"/>
            </w:r>
          </w:hyperlink>
        </w:p>
        <w:p w14:paraId="3099BFB3" w14:textId="054F4812" w:rsidR="00B65317" w:rsidRDefault="00497A00">
          <w:pPr>
            <w:pStyle w:val="TOC2"/>
            <w:tabs>
              <w:tab w:val="left" w:pos="880"/>
              <w:tab w:val="right" w:leader="dot" w:pos="9350"/>
            </w:tabs>
            <w:rPr>
              <w:rFonts w:asciiTheme="minorHAnsi" w:eastAsiaTheme="minorEastAsia" w:hAnsiTheme="minorHAnsi"/>
              <w:noProof/>
              <w:kern w:val="2"/>
              <w14:ligatures w14:val="standardContextual"/>
            </w:rPr>
          </w:pPr>
          <w:hyperlink w:anchor="_Toc145761466" w:history="1">
            <w:r w:rsidR="00B65317" w:rsidRPr="004B6ADB">
              <w:rPr>
                <w:rStyle w:val="Hyperlink"/>
                <w:noProof/>
              </w:rPr>
              <w:t>5.2</w:t>
            </w:r>
            <w:r w:rsidR="00B65317">
              <w:rPr>
                <w:rFonts w:asciiTheme="minorHAnsi" w:eastAsiaTheme="minorEastAsia" w:hAnsiTheme="minorHAnsi"/>
                <w:noProof/>
                <w:kern w:val="2"/>
                <w14:ligatures w14:val="standardContextual"/>
              </w:rPr>
              <w:tab/>
            </w:r>
            <w:r w:rsidR="00B65317" w:rsidRPr="004B6ADB">
              <w:rPr>
                <w:rStyle w:val="Hyperlink"/>
                <w:noProof/>
              </w:rPr>
              <w:t>Shocks transmission/propagation</w:t>
            </w:r>
            <w:r w:rsidR="00B65317">
              <w:rPr>
                <w:noProof/>
                <w:webHidden/>
              </w:rPr>
              <w:tab/>
            </w:r>
            <w:r w:rsidR="00B65317">
              <w:rPr>
                <w:noProof/>
                <w:webHidden/>
              </w:rPr>
              <w:fldChar w:fldCharType="begin"/>
            </w:r>
            <w:r w:rsidR="00B65317">
              <w:rPr>
                <w:noProof/>
                <w:webHidden/>
              </w:rPr>
              <w:instrText xml:space="preserve"> PAGEREF _Toc145761466 \h </w:instrText>
            </w:r>
            <w:r w:rsidR="00B65317">
              <w:rPr>
                <w:noProof/>
                <w:webHidden/>
              </w:rPr>
            </w:r>
            <w:r w:rsidR="00B65317">
              <w:rPr>
                <w:noProof/>
                <w:webHidden/>
              </w:rPr>
              <w:fldChar w:fldCharType="separate"/>
            </w:r>
            <w:r w:rsidR="00B65317">
              <w:rPr>
                <w:noProof/>
                <w:webHidden/>
              </w:rPr>
              <w:t>16</w:t>
            </w:r>
            <w:r w:rsidR="00B65317">
              <w:rPr>
                <w:noProof/>
                <w:webHidden/>
              </w:rPr>
              <w:fldChar w:fldCharType="end"/>
            </w:r>
          </w:hyperlink>
        </w:p>
        <w:p w14:paraId="155BF33F" w14:textId="369C3542" w:rsidR="00B65317" w:rsidRDefault="00497A00">
          <w:pPr>
            <w:pStyle w:val="TOC3"/>
            <w:tabs>
              <w:tab w:val="left" w:pos="1320"/>
              <w:tab w:val="right" w:leader="dot" w:pos="9350"/>
            </w:tabs>
            <w:rPr>
              <w:rFonts w:asciiTheme="minorHAnsi" w:eastAsiaTheme="minorEastAsia" w:hAnsiTheme="minorHAnsi"/>
              <w:noProof/>
              <w:kern w:val="2"/>
              <w14:ligatures w14:val="standardContextual"/>
            </w:rPr>
          </w:pPr>
          <w:hyperlink w:anchor="_Toc145761467" w:history="1">
            <w:r w:rsidR="00B65317" w:rsidRPr="004B6ADB">
              <w:rPr>
                <w:rStyle w:val="Hyperlink"/>
                <w:noProof/>
              </w:rPr>
              <w:t>5.2.1</w:t>
            </w:r>
            <w:r w:rsidR="00B65317">
              <w:rPr>
                <w:rFonts w:asciiTheme="minorHAnsi" w:eastAsiaTheme="minorEastAsia" w:hAnsiTheme="minorHAnsi"/>
                <w:noProof/>
                <w:kern w:val="2"/>
                <w14:ligatures w14:val="standardContextual"/>
              </w:rPr>
              <w:tab/>
            </w:r>
            <w:r w:rsidR="00B65317" w:rsidRPr="004B6ADB">
              <w:rPr>
                <w:rStyle w:val="Hyperlink"/>
                <w:noProof/>
              </w:rPr>
              <w:t>Transmission of shocks in short- and long-run</w:t>
            </w:r>
            <w:r w:rsidR="00B65317">
              <w:rPr>
                <w:noProof/>
                <w:webHidden/>
              </w:rPr>
              <w:tab/>
            </w:r>
            <w:r w:rsidR="00B65317">
              <w:rPr>
                <w:noProof/>
                <w:webHidden/>
              </w:rPr>
              <w:fldChar w:fldCharType="begin"/>
            </w:r>
            <w:r w:rsidR="00B65317">
              <w:rPr>
                <w:noProof/>
                <w:webHidden/>
              </w:rPr>
              <w:instrText xml:space="preserve"> PAGEREF _Toc145761467 \h </w:instrText>
            </w:r>
            <w:r w:rsidR="00B65317">
              <w:rPr>
                <w:noProof/>
                <w:webHidden/>
              </w:rPr>
            </w:r>
            <w:r w:rsidR="00B65317">
              <w:rPr>
                <w:noProof/>
                <w:webHidden/>
              </w:rPr>
              <w:fldChar w:fldCharType="separate"/>
            </w:r>
            <w:r w:rsidR="00B65317">
              <w:rPr>
                <w:noProof/>
                <w:webHidden/>
              </w:rPr>
              <w:t>16</w:t>
            </w:r>
            <w:r w:rsidR="00B65317">
              <w:rPr>
                <w:noProof/>
                <w:webHidden/>
              </w:rPr>
              <w:fldChar w:fldCharType="end"/>
            </w:r>
          </w:hyperlink>
        </w:p>
        <w:p w14:paraId="038F7ABA" w14:textId="25305F2D" w:rsidR="00B65317" w:rsidRDefault="00497A00">
          <w:pPr>
            <w:pStyle w:val="TOC3"/>
            <w:tabs>
              <w:tab w:val="left" w:pos="1320"/>
              <w:tab w:val="right" w:leader="dot" w:pos="9350"/>
            </w:tabs>
            <w:rPr>
              <w:rFonts w:asciiTheme="minorHAnsi" w:eastAsiaTheme="minorEastAsia" w:hAnsiTheme="minorHAnsi"/>
              <w:noProof/>
              <w:kern w:val="2"/>
              <w14:ligatures w14:val="standardContextual"/>
            </w:rPr>
          </w:pPr>
          <w:hyperlink w:anchor="_Toc145761468" w:history="1">
            <w:r w:rsidR="00B65317" w:rsidRPr="004B6ADB">
              <w:rPr>
                <w:rStyle w:val="Hyperlink"/>
                <w:noProof/>
              </w:rPr>
              <w:t>5.2.2</w:t>
            </w:r>
            <w:r w:rsidR="00B65317">
              <w:rPr>
                <w:rFonts w:asciiTheme="minorHAnsi" w:eastAsiaTheme="minorEastAsia" w:hAnsiTheme="minorHAnsi"/>
                <w:noProof/>
                <w:kern w:val="2"/>
                <w14:ligatures w14:val="standardContextual"/>
              </w:rPr>
              <w:tab/>
            </w:r>
            <w:r w:rsidR="00B65317" w:rsidRPr="004B6ADB">
              <w:rPr>
                <w:rStyle w:val="Hyperlink"/>
                <w:noProof/>
              </w:rPr>
              <w:t>Magnitude of shocks propagation</w:t>
            </w:r>
            <w:r w:rsidR="00B65317">
              <w:rPr>
                <w:noProof/>
                <w:webHidden/>
              </w:rPr>
              <w:tab/>
            </w:r>
            <w:r w:rsidR="00B65317">
              <w:rPr>
                <w:noProof/>
                <w:webHidden/>
              </w:rPr>
              <w:fldChar w:fldCharType="begin"/>
            </w:r>
            <w:r w:rsidR="00B65317">
              <w:rPr>
                <w:noProof/>
                <w:webHidden/>
              </w:rPr>
              <w:instrText xml:space="preserve"> PAGEREF _Toc145761468 \h </w:instrText>
            </w:r>
            <w:r w:rsidR="00B65317">
              <w:rPr>
                <w:noProof/>
                <w:webHidden/>
              </w:rPr>
            </w:r>
            <w:r w:rsidR="00B65317">
              <w:rPr>
                <w:noProof/>
                <w:webHidden/>
              </w:rPr>
              <w:fldChar w:fldCharType="separate"/>
            </w:r>
            <w:r w:rsidR="00B65317">
              <w:rPr>
                <w:noProof/>
                <w:webHidden/>
              </w:rPr>
              <w:t>19</w:t>
            </w:r>
            <w:r w:rsidR="00B65317">
              <w:rPr>
                <w:noProof/>
                <w:webHidden/>
              </w:rPr>
              <w:fldChar w:fldCharType="end"/>
            </w:r>
          </w:hyperlink>
        </w:p>
        <w:p w14:paraId="3263E5F2" w14:textId="66C97885" w:rsidR="00B65317" w:rsidRDefault="00497A00">
          <w:pPr>
            <w:pStyle w:val="TOC3"/>
            <w:tabs>
              <w:tab w:val="left" w:pos="1320"/>
              <w:tab w:val="right" w:leader="dot" w:pos="9350"/>
            </w:tabs>
            <w:rPr>
              <w:rFonts w:asciiTheme="minorHAnsi" w:eastAsiaTheme="minorEastAsia" w:hAnsiTheme="minorHAnsi"/>
              <w:noProof/>
              <w:kern w:val="2"/>
              <w14:ligatures w14:val="standardContextual"/>
            </w:rPr>
          </w:pPr>
          <w:hyperlink w:anchor="_Toc145761469" w:history="1">
            <w:r w:rsidR="00B65317" w:rsidRPr="004B6ADB">
              <w:rPr>
                <w:rStyle w:val="Hyperlink"/>
                <w:noProof/>
              </w:rPr>
              <w:t>5.2.3</w:t>
            </w:r>
            <w:r w:rsidR="00B65317">
              <w:rPr>
                <w:rFonts w:asciiTheme="minorHAnsi" w:eastAsiaTheme="minorEastAsia" w:hAnsiTheme="minorHAnsi"/>
                <w:noProof/>
                <w:kern w:val="2"/>
                <w14:ligatures w14:val="standardContextual"/>
              </w:rPr>
              <w:tab/>
            </w:r>
            <w:r w:rsidR="00B65317" w:rsidRPr="004B6ADB">
              <w:rPr>
                <w:rStyle w:val="Hyperlink"/>
                <w:noProof/>
              </w:rPr>
              <w:t>Extent of shocks propagation</w:t>
            </w:r>
            <w:r w:rsidR="00B65317">
              <w:rPr>
                <w:noProof/>
                <w:webHidden/>
              </w:rPr>
              <w:tab/>
            </w:r>
            <w:r w:rsidR="00B65317">
              <w:rPr>
                <w:noProof/>
                <w:webHidden/>
              </w:rPr>
              <w:fldChar w:fldCharType="begin"/>
            </w:r>
            <w:r w:rsidR="00B65317">
              <w:rPr>
                <w:noProof/>
                <w:webHidden/>
              </w:rPr>
              <w:instrText xml:space="preserve"> PAGEREF _Toc145761469 \h </w:instrText>
            </w:r>
            <w:r w:rsidR="00B65317">
              <w:rPr>
                <w:noProof/>
                <w:webHidden/>
              </w:rPr>
            </w:r>
            <w:r w:rsidR="00B65317">
              <w:rPr>
                <w:noProof/>
                <w:webHidden/>
              </w:rPr>
              <w:fldChar w:fldCharType="separate"/>
            </w:r>
            <w:r w:rsidR="00B65317">
              <w:rPr>
                <w:noProof/>
                <w:webHidden/>
              </w:rPr>
              <w:t>20</w:t>
            </w:r>
            <w:r w:rsidR="00B65317">
              <w:rPr>
                <w:noProof/>
                <w:webHidden/>
              </w:rPr>
              <w:fldChar w:fldCharType="end"/>
            </w:r>
          </w:hyperlink>
        </w:p>
        <w:p w14:paraId="3D794D7B" w14:textId="58E97E17" w:rsidR="00B65317" w:rsidRDefault="00497A00">
          <w:pPr>
            <w:pStyle w:val="TOC1"/>
            <w:tabs>
              <w:tab w:val="left" w:pos="440"/>
              <w:tab w:val="right" w:leader="dot" w:pos="9350"/>
            </w:tabs>
            <w:rPr>
              <w:rFonts w:asciiTheme="minorHAnsi" w:eastAsiaTheme="minorEastAsia" w:hAnsiTheme="minorHAnsi"/>
              <w:noProof/>
              <w:kern w:val="2"/>
              <w14:ligatures w14:val="standardContextual"/>
            </w:rPr>
          </w:pPr>
          <w:hyperlink w:anchor="_Toc145761474" w:history="1">
            <w:r w:rsidR="00B65317" w:rsidRPr="004B6ADB">
              <w:rPr>
                <w:rStyle w:val="Hyperlink"/>
                <w:noProof/>
              </w:rPr>
              <w:t>6</w:t>
            </w:r>
            <w:r w:rsidR="00B65317">
              <w:rPr>
                <w:rFonts w:asciiTheme="minorHAnsi" w:eastAsiaTheme="minorEastAsia" w:hAnsiTheme="minorHAnsi"/>
                <w:noProof/>
                <w:kern w:val="2"/>
                <w14:ligatures w14:val="standardContextual"/>
              </w:rPr>
              <w:tab/>
            </w:r>
            <w:r w:rsidR="00B65317" w:rsidRPr="004B6ADB">
              <w:rPr>
                <w:rStyle w:val="Hyperlink"/>
                <w:noProof/>
              </w:rPr>
              <w:t>Discussion</w:t>
            </w:r>
            <w:r w:rsidR="00B65317">
              <w:rPr>
                <w:noProof/>
                <w:webHidden/>
              </w:rPr>
              <w:tab/>
            </w:r>
            <w:r w:rsidR="00B65317">
              <w:rPr>
                <w:noProof/>
                <w:webHidden/>
              </w:rPr>
              <w:fldChar w:fldCharType="begin"/>
            </w:r>
            <w:r w:rsidR="00B65317">
              <w:rPr>
                <w:noProof/>
                <w:webHidden/>
              </w:rPr>
              <w:instrText xml:space="preserve"> PAGEREF _Toc145761474 \h </w:instrText>
            </w:r>
            <w:r w:rsidR="00B65317">
              <w:rPr>
                <w:noProof/>
                <w:webHidden/>
              </w:rPr>
            </w:r>
            <w:r w:rsidR="00B65317">
              <w:rPr>
                <w:noProof/>
                <w:webHidden/>
              </w:rPr>
              <w:fldChar w:fldCharType="separate"/>
            </w:r>
            <w:r w:rsidR="00B65317">
              <w:rPr>
                <w:noProof/>
                <w:webHidden/>
              </w:rPr>
              <w:t>23</w:t>
            </w:r>
            <w:r w:rsidR="00B65317">
              <w:rPr>
                <w:noProof/>
                <w:webHidden/>
              </w:rPr>
              <w:fldChar w:fldCharType="end"/>
            </w:r>
          </w:hyperlink>
        </w:p>
        <w:p w14:paraId="719E35FB" w14:textId="7047DC11" w:rsidR="00B65317" w:rsidRDefault="00497A00">
          <w:pPr>
            <w:pStyle w:val="TOC1"/>
            <w:tabs>
              <w:tab w:val="left" w:pos="440"/>
              <w:tab w:val="right" w:leader="dot" w:pos="9350"/>
            </w:tabs>
            <w:rPr>
              <w:rFonts w:asciiTheme="minorHAnsi" w:eastAsiaTheme="minorEastAsia" w:hAnsiTheme="minorHAnsi"/>
              <w:noProof/>
              <w:kern w:val="2"/>
              <w14:ligatures w14:val="standardContextual"/>
            </w:rPr>
          </w:pPr>
          <w:hyperlink w:anchor="_Toc145761475" w:history="1">
            <w:r w:rsidR="00B65317" w:rsidRPr="004B6ADB">
              <w:rPr>
                <w:rStyle w:val="Hyperlink"/>
                <w:noProof/>
              </w:rPr>
              <w:t>7</w:t>
            </w:r>
            <w:r w:rsidR="00B65317">
              <w:rPr>
                <w:rFonts w:asciiTheme="minorHAnsi" w:eastAsiaTheme="minorEastAsia" w:hAnsiTheme="minorHAnsi"/>
                <w:noProof/>
                <w:kern w:val="2"/>
                <w14:ligatures w14:val="standardContextual"/>
              </w:rPr>
              <w:tab/>
            </w:r>
            <w:r w:rsidR="00B65317" w:rsidRPr="004B6ADB">
              <w:rPr>
                <w:rStyle w:val="Hyperlink"/>
                <w:noProof/>
              </w:rPr>
              <w:t>Concluding remarks</w:t>
            </w:r>
            <w:r w:rsidR="00B65317">
              <w:rPr>
                <w:noProof/>
                <w:webHidden/>
              </w:rPr>
              <w:tab/>
            </w:r>
            <w:r w:rsidR="00B65317">
              <w:rPr>
                <w:noProof/>
                <w:webHidden/>
              </w:rPr>
              <w:fldChar w:fldCharType="begin"/>
            </w:r>
            <w:r w:rsidR="00B65317">
              <w:rPr>
                <w:noProof/>
                <w:webHidden/>
              </w:rPr>
              <w:instrText xml:space="preserve"> PAGEREF _Toc145761475 \h </w:instrText>
            </w:r>
            <w:r w:rsidR="00B65317">
              <w:rPr>
                <w:noProof/>
                <w:webHidden/>
              </w:rPr>
            </w:r>
            <w:r w:rsidR="00B65317">
              <w:rPr>
                <w:noProof/>
                <w:webHidden/>
              </w:rPr>
              <w:fldChar w:fldCharType="separate"/>
            </w:r>
            <w:r w:rsidR="00B65317">
              <w:rPr>
                <w:noProof/>
                <w:webHidden/>
              </w:rPr>
              <w:t>23</w:t>
            </w:r>
            <w:r w:rsidR="00B65317">
              <w:rPr>
                <w:noProof/>
                <w:webHidden/>
              </w:rPr>
              <w:fldChar w:fldCharType="end"/>
            </w:r>
          </w:hyperlink>
        </w:p>
        <w:p w14:paraId="5D89D744" w14:textId="0C2F1CAA" w:rsidR="00B65317" w:rsidRDefault="00497A00">
          <w:pPr>
            <w:pStyle w:val="TOC1"/>
            <w:tabs>
              <w:tab w:val="right" w:leader="dot" w:pos="9350"/>
            </w:tabs>
            <w:rPr>
              <w:rFonts w:asciiTheme="minorHAnsi" w:eastAsiaTheme="minorEastAsia" w:hAnsiTheme="minorHAnsi"/>
              <w:noProof/>
              <w:kern w:val="2"/>
              <w14:ligatures w14:val="standardContextual"/>
            </w:rPr>
          </w:pPr>
          <w:hyperlink w:anchor="_Toc145761476" w:history="1">
            <w:r w:rsidR="00B65317" w:rsidRPr="004B6ADB">
              <w:rPr>
                <w:rStyle w:val="Hyperlink"/>
                <w:noProof/>
              </w:rPr>
              <w:t>Appendix</w:t>
            </w:r>
            <w:r w:rsidR="00B65317">
              <w:rPr>
                <w:noProof/>
                <w:webHidden/>
              </w:rPr>
              <w:tab/>
            </w:r>
            <w:r w:rsidR="00B65317">
              <w:rPr>
                <w:noProof/>
                <w:webHidden/>
              </w:rPr>
              <w:fldChar w:fldCharType="begin"/>
            </w:r>
            <w:r w:rsidR="00B65317">
              <w:rPr>
                <w:noProof/>
                <w:webHidden/>
              </w:rPr>
              <w:instrText xml:space="preserve"> PAGEREF _Toc145761476 \h </w:instrText>
            </w:r>
            <w:r w:rsidR="00B65317">
              <w:rPr>
                <w:noProof/>
                <w:webHidden/>
              </w:rPr>
            </w:r>
            <w:r w:rsidR="00B65317">
              <w:rPr>
                <w:noProof/>
                <w:webHidden/>
              </w:rPr>
              <w:fldChar w:fldCharType="separate"/>
            </w:r>
            <w:r w:rsidR="00B65317">
              <w:rPr>
                <w:noProof/>
                <w:webHidden/>
              </w:rPr>
              <w:t>23</w:t>
            </w:r>
            <w:r w:rsidR="00B65317">
              <w:rPr>
                <w:noProof/>
                <w:webHidden/>
              </w:rPr>
              <w:fldChar w:fldCharType="end"/>
            </w:r>
          </w:hyperlink>
        </w:p>
        <w:p w14:paraId="13561A39" w14:textId="5AC02246" w:rsidR="00A245B7" w:rsidRDefault="00A245B7">
          <w:r>
            <w:rPr>
              <w:b/>
              <w:bCs/>
              <w:noProof/>
            </w:rPr>
            <w:fldChar w:fldCharType="end"/>
          </w:r>
        </w:p>
      </w:sdtContent>
    </w:sdt>
    <w:p w14:paraId="0657CC05" w14:textId="713A7D28" w:rsidR="00E072DC" w:rsidRDefault="00E072DC" w:rsidP="00695538"/>
    <w:p w14:paraId="6BE06136" w14:textId="6E88B10D" w:rsidR="00E072DC" w:rsidRDefault="00E072DC" w:rsidP="005F1FBD">
      <w:pPr>
        <w:pStyle w:val="Heading1"/>
      </w:pPr>
      <w:bookmarkStart w:id="0" w:name="_Toc145761443"/>
      <w:r>
        <w:t>Introduction</w:t>
      </w:r>
      <w:bookmarkEnd w:id="0"/>
    </w:p>
    <w:p w14:paraId="28D85CB5" w14:textId="77777777" w:rsidR="008956CD" w:rsidRPr="008956CD" w:rsidRDefault="008956CD" w:rsidP="008956CD"/>
    <w:p w14:paraId="21F2042C" w14:textId="50A0D628" w:rsidR="004963BD" w:rsidRDefault="004963BD" w:rsidP="004963BD">
      <w:r>
        <w:t xml:space="preserve">The resilience of the global food and agricultural trade network, which refers to its ability to withstand and recover from disturbances </w:t>
      </w:r>
      <w:r w:rsidR="00EC50BF">
        <w:t>and adapt to</w:t>
      </w:r>
      <w:r w:rsidR="00CF0F25">
        <w:t xml:space="preserve"> risks and long-term</w:t>
      </w:r>
      <w:r w:rsidR="00A40BCD">
        <w:t xml:space="preserve"> structural changes</w:t>
      </w:r>
      <w:r w:rsidR="00EC50BF">
        <w:t xml:space="preserve"> </w:t>
      </w:r>
      <w:r>
        <w:t>while maintaining stable food variety and quantity</w:t>
      </w:r>
      <w:r w:rsidR="001A63AE">
        <w:t xml:space="preserve"> </w:t>
      </w:r>
      <w:r w:rsidR="00B73E5B">
        <w:fldChar w:fldCharType="begin"/>
      </w:r>
      <w:r w:rsidR="00B73E5B">
        <w:instrText xml:space="preserve"> ADDIN ZOTERO_ITEM CSL_CITATION {"citationID":"9n8zQ8Zh","properties":{"formattedCitation":"(Mena, Karatzas and Hansen, 2022)","plainCitation":"(Mena, Karatzas and Hansen, 2022)","noteIndex":0},"citationItems":[{"id":1469,"uris":["http://zotero.org/users/12902950/items/VRD6XCA8"],"itemData":{"id":1469,"type":"article-journal","container-title":"Journal of Business Research","DOI":"10.1016/j.jbusres.2021.08.064","ISSN":"01482963","journalAbbreviation":"Journal of Business Research","language":"en","page":"77-91","source":"DOI.org (Crossref)","title":"International trade resilience and the Covid-19 pandemic","volume":"138","author":[{"family":"Mena","given":"Carlos"},{"family":"Karatzas","given":"Antonios"},{"family":"Hansen","given":"Carsten"}],"issued":{"date-parts":[["2022",1]]}}}],"schema":"https://github.com/citation-style-language/schema/raw/master/csl-citation.json"} </w:instrText>
      </w:r>
      <w:r w:rsidR="00B73E5B">
        <w:fldChar w:fldCharType="separate"/>
      </w:r>
      <w:r w:rsidR="00B73E5B" w:rsidRPr="00B73E5B">
        <w:t>(Mena, Karatzas and Hansen, 2022)</w:t>
      </w:r>
      <w:r w:rsidR="00B73E5B">
        <w:fldChar w:fldCharType="end"/>
      </w:r>
      <w:r>
        <w:t xml:space="preserve">, has been tested in various circumstances. </w:t>
      </w:r>
      <w:r w:rsidR="007D4E9D">
        <w:t>T</w:t>
      </w:r>
      <w:r>
        <w:t>he COVID-19 pandemic resulted in widespread restrictions on movement and trade across the globe</w:t>
      </w:r>
      <w:r w:rsidR="009924DC">
        <w:t xml:space="preserve"> in 2020 and 2021</w:t>
      </w:r>
      <w:r>
        <w:t xml:space="preserve">. </w:t>
      </w:r>
      <w:r w:rsidR="00947F7F">
        <w:t>Since February 2022, t</w:t>
      </w:r>
      <w:r>
        <w:t>he war in Ukraine has introduced localized shocks to the network, impacting agricultural production and export capabilities of key players</w:t>
      </w:r>
      <w:r w:rsidR="00932691">
        <w:t xml:space="preserve"> in the market</w:t>
      </w:r>
      <w:r>
        <w:t xml:space="preserve">. Such shocks have the potential to propagate throughout the entire network through transmission effects and potentially self-propagating trade disruptions. The </w:t>
      </w:r>
      <w:r w:rsidR="00790FFA">
        <w:t xml:space="preserve">resilience of the trade network </w:t>
      </w:r>
      <w:r w:rsidR="003813F3">
        <w:t xml:space="preserve">depends </w:t>
      </w:r>
      <w:r>
        <w:t xml:space="preserve">on the connectivity </w:t>
      </w:r>
      <w:r w:rsidR="003813F3">
        <w:t>of countries within the</w:t>
      </w:r>
      <w:r>
        <w:t xml:space="preserve"> network</w:t>
      </w:r>
      <w:r w:rsidR="003813F3">
        <w:t xml:space="preserve">, </w:t>
      </w:r>
      <w:r w:rsidR="00AB0B13">
        <w:t>as well as</w:t>
      </w:r>
      <w:r w:rsidR="00AB582F">
        <w:t xml:space="preserve"> structure and </w:t>
      </w:r>
      <w:r w:rsidR="00D02497">
        <w:t>distribution</w:t>
      </w:r>
      <w:r>
        <w:t xml:space="preserve"> of </w:t>
      </w:r>
      <w:r w:rsidR="00AB0B13">
        <w:t xml:space="preserve">that </w:t>
      </w:r>
      <w:r>
        <w:t>connectivity</w:t>
      </w:r>
      <w:r w:rsidR="001C703B">
        <w:t xml:space="preserve"> </w:t>
      </w:r>
      <w:r w:rsidR="00132112">
        <w:fldChar w:fldCharType="begin"/>
      </w:r>
      <w:r w:rsidR="00132112">
        <w:instrText xml:space="preserve"> ADDIN ZOTERO_ITEM CSL_CITATION {"citationID":"AFeo7Fmp","properties":{"formattedCitation":"(Acemoglu, Ozdaglar and Tahbaz-Salehi, 2015)","plainCitation":"(Acemoglu, Ozdaglar and Tahbaz-Salehi, 2015)","noteIndex":0},"citationItems":[{"id":81,"uris":["http://zotero.org/users/12902950/items/VBKFI8AL"],"itemData":{"id":81,"type":"report","abstract":"This chapter develops a unified framework for the study of how network interactions can function as a mechanism for propagation and amplification of microeconomic shocks. The framework nests various classes of games over networks, models of macroeconomic risk originating from microeconomic shocks, and models of financial interactions. Under the assumption that shocks are small, we provide a fairly complete characterization of the structure of equilibrium, clarifying the role of network interactions in translating microeconomic shocks into macroeconomic outcomes. This characterization enables us to rank different networks in terms of their aggregate performance. It also sheds light on several seemingly contradictory results in the prior literature on the role of network linkages in fostering systemic risk.","genre":"Working Paper","note":"issue: 20931\ncollection-title: Working Paper Series\nDOI: 10.3386/w20931","number":"20931","publisher":"National Bureau of Economic Research","source":"National Bureau of Economic Research","title":"Networks, Shocks, and Systemic Risk","URL":"https://www.nber.org/papers/w20931","author":[{"family":"Acemoglu","given":"Daron"},{"family":"Ozdaglar","given":"Asuman"},{"family":"Tahbaz-Salehi","given":"Alireza"}],"accessed":{"date-parts":[["2022",2,12]]},"issued":{"date-parts":[["2015",2]]}}}],"schema":"https://github.com/citation-style-language/schema/raw/master/csl-citation.json"} </w:instrText>
      </w:r>
      <w:r w:rsidR="00132112">
        <w:fldChar w:fldCharType="separate"/>
      </w:r>
      <w:r w:rsidR="00132112" w:rsidRPr="00132112">
        <w:t>(Acemoglu, Ozdaglar and Tahbaz-Salehi, 2015)</w:t>
      </w:r>
      <w:r w:rsidR="00132112">
        <w:fldChar w:fldCharType="end"/>
      </w:r>
      <w:r>
        <w:t xml:space="preserve">. Increased connectivity strengthens the buffer capacity </w:t>
      </w:r>
      <w:r w:rsidR="001C703B">
        <w:t xml:space="preserve">of the network </w:t>
      </w:r>
      <w:r>
        <w:t>but can also transmit negative shock</w:t>
      </w:r>
      <w:r w:rsidR="0005502C">
        <w:t xml:space="preserve">s </w:t>
      </w:r>
      <w:r w:rsidR="00132112">
        <w:fldChar w:fldCharType="begin"/>
      </w:r>
      <w:r w:rsidR="0060464F">
        <w:instrText xml:space="preserve"> ADDIN ZOTERO_ITEM CSL_CITATION {"citationID":"tWhzkOIn","properties":{"formattedCitation":"(Dellink, Dervisholli and Nenci, 2020)","plainCitation":"(Dellink, Dervisholli and Nenci, 2020)","noteIndex":0},"citationItems":[{"id":293,"uris":["http://zotero.org/users/local/GkSBakHr/items/M52WVTRG","http://zotero.org/users/12902950/items/M52WVTRG"],"itemData":{"id":293,"type":"article-journal","note":"publisher: FAO: Food and Agriculture Organization of the United Nations","title":"A quantitative analysis of trends in agricultural and food global value chains (GVCs)","author":[{"family":"Dellink","given":"R"},{"family":"Dervisholli","given":"E"},{"family":"Nenci","given":"S"}],"issued":{"date-parts":[["2020"]]}}}],"schema":"https://github.com/citation-style-language/schema/raw/master/csl-citation.json"} </w:instrText>
      </w:r>
      <w:r w:rsidR="00132112">
        <w:fldChar w:fldCharType="separate"/>
      </w:r>
      <w:r w:rsidR="0060464F" w:rsidRPr="0060464F">
        <w:t>(Dellink, Dervisholli and Nenci, 2020)</w:t>
      </w:r>
      <w:r w:rsidR="00132112">
        <w:fldChar w:fldCharType="end"/>
      </w:r>
    </w:p>
    <w:p w14:paraId="4FF0C037" w14:textId="12B1CC7F" w:rsidR="009554AF" w:rsidRDefault="004963BD" w:rsidP="004963BD">
      <w:r>
        <w:t xml:space="preserve">The main objective of this paper is to analyze the changes in the resilience of food and agricultural trade since the inception of the World Trade Organization (WTO) and the Agreement on Agriculture (AoA) in 1995. </w:t>
      </w:r>
      <w:r w:rsidR="007113F1">
        <w:t>W</w:t>
      </w:r>
      <w:r>
        <w:t xml:space="preserve">e analyze changes in connectivity </w:t>
      </w:r>
      <w:r w:rsidR="004F1A3D">
        <w:t xml:space="preserve">and structure of connectivity </w:t>
      </w:r>
      <w:r>
        <w:t xml:space="preserve">of the </w:t>
      </w:r>
      <w:r w:rsidR="004F1A3D">
        <w:t xml:space="preserve">global </w:t>
      </w:r>
      <w:r>
        <w:t>trade network. We assess the network's resilience from the importing countries' perspective and in terms of its ability to withstand disruptions in both product variety and quantity, in the short and relatively longer term. To achieve this, we employ a variety of network measures using a balanced panel of 190 countries for the years 1995, 2007, 2013, and 2019.</w:t>
      </w:r>
      <w:r w:rsidR="00BB6836">
        <w:t xml:space="preserve"> </w:t>
      </w:r>
    </w:p>
    <w:p w14:paraId="41EA5FF1" w14:textId="0F47CAE7" w:rsidR="00BB6836" w:rsidRDefault="00835A2D" w:rsidP="004963BD">
      <w:r>
        <w:t xml:space="preserve">Fostered by the </w:t>
      </w:r>
      <w:r w:rsidR="007533DF">
        <w:t xml:space="preserve">AoA, the emergence of preferential and regional trade agreements (RTAs) </w:t>
      </w:r>
      <w:r w:rsidR="0073582B">
        <w:t xml:space="preserve">and progress in transportation and communication technology, </w:t>
      </w:r>
      <w:r w:rsidR="00D226C6">
        <w:t xml:space="preserve">global </w:t>
      </w:r>
      <w:r w:rsidR="00BB6836" w:rsidRPr="00BB6836">
        <w:t>food and agricultural trade</w:t>
      </w:r>
      <w:r w:rsidR="00D226C6">
        <w:t xml:space="preserve"> expanded rapidly</w:t>
      </w:r>
      <w:r w:rsidR="00B6550D">
        <w:t xml:space="preserve"> during the early 2000s</w:t>
      </w:r>
      <w:r w:rsidR="00BB6836" w:rsidRPr="00BB6836">
        <w:t>, accompanied by an increasin</w:t>
      </w:r>
      <w:r w:rsidR="00B6550D">
        <w:t>g</w:t>
      </w:r>
      <w:r w:rsidR="00BB6836" w:rsidRPr="00BB6836">
        <w:t xml:space="preserve"> share of low- and middle-income countries </w:t>
      </w:r>
      <w:r w:rsidR="00CC7643">
        <w:t xml:space="preserve">being active </w:t>
      </w:r>
      <w:r w:rsidR="00BB6836" w:rsidRPr="00BB6836">
        <w:t xml:space="preserve">in global trade and the </w:t>
      </w:r>
      <w:r w:rsidR="003A3F70">
        <w:t>evolution</w:t>
      </w:r>
      <w:r w:rsidR="003A3F70" w:rsidRPr="00BB6836">
        <w:t xml:space="preserve"> </w:t>
      </w:r>
      <w:r w:rsidR="00BB6836" w:rsidRPr="00BB6836">
        <w:t>of global value chains in the food and agriculture sector</w:t>
      </w:r>
      <w:r w:rsidR="00132112">
        <w:t xml:space="preserve"> </w:t>
      </w:r>
      <w:r w:rsidR="00BB6836" w:rsidRPr="00BB6836">
        <w:t xml:space="preserve"> </w:t>
      </w:r>
      <w:r w:rsidR="00132112">
        <w:fldChar w:fldCharType="begin"/>
      </w:r>
      <w:r w:rsidR="0060464F">
        <w:instrText xml:space="preserve"> ADDIN ZOTERO_ITEM CSL_CITATION {"citationID":"CVZBHhcW","properties":{"formattedCitation":"(Dellink, Dervisholli and Nenci, 2020; FAO. 2020., undated)","plainCitation":"(Dellink, Dervisholli and Nenci, 2020; FAO. 2020., undated)","dontUpdate":true,"noteIndex":0},"citationItems":[{"id":293,"uris":["http://zotero.org/users/local/GkSBakHr/items/M52WVTRG","http://zotero.org/users/12902950/items/M52WVTRG"],"itemData":{"id":293,"type":"article-journal","note":"publisher: FAO: Food and Agriculture Organization of the United Nations","title":"A quantitative analysis of trends in agricultural and food global value chains (GVCs)","author":[{"family":"Dellink","given":"R"},{"family":"Dervisholli","given":"E"},{"family":"Nenci","given":"S"}],"issued":{"date-parts":[["2020"]]}}},{"id":1492,"uris":["http://zotero.org/users/12902950/items/DHP67KLU"],"itemData":{"id":1492,"type":"article-journal","title":"The State of Agricultural Commodity Markets 2020. Agricultural markets and sustainable development: Global value chains, smallholder farmers and digital innovations. Rome,FAO.","author":[{"family":"FAO. 2020.","given":"2020"}]}}],"schema":"https://github.com/citation-style-language/schema/raw/master/csl-citation.json"} </w:instrText>
      </w:r>
      <w:r w:rsidR="00132112">
        <w:fldChar w:fldCharType="separate"/>
      </w:r>
      <w:r w:rsidR="002342A0" w:rsidRPr="002342A0">
        <w:t>(Dellink, Dervisholli and Nenci, 2020; FAO. 2020.)</w:t>
      </w:r>
      <w:r w:rsidR="00132112">
        <w:fldChar w:fldCharType="end"/>
      </w:r>
      <w:r w:rsidR="00132112">
        <w:t xml:space="preserve">. </w:t>
      </w:r>
      <w:r w:rsidR="00C839B4">
        <w:t>This trend was interrupted by the 2008 financial crisis</w:t>
      </w:r>
      <w:r w:rsidR="000B4312">
        <w:t xml:space="preserve">, followed by a </w:t>
      </w:r>
      <w:r w:rsidR="00BB6836" w:rsidRPr="00BB6836">
        <w:t xml:space="preserve">slowdown </w:t>
      </w:r>
      <w:r w:rsidR="00013EA4">
        <w:t>of</w:t>
      </w:r>
      <w:r w:rsidR="000B4312">
        <w:t xml:space="preserve"> the expansion of global trade</w:t>
      </w:r>
      <w:r w:rsidR="00BB6836" w:rsidRPr="00BB6836">
        <w:t xml:space="preserve">. </w:t>
      </w:r>
    </w:p>
    <w:p w14:paraId="2246D9E9" w14:textId="7990AAED" w:rsidR="0002189C" w:rsidRDefault="0002189C" w:rsidP="0002189C">
      <w:r>
        <w:t xml:space="preserve">The </w:t>
      </w:r>
      <w:r w:rsidR="009D5FC7">
        <w:t>greater</w:t>
      </w:r>
      <w:r>
        <w:t xml:space="preserve"> integration of countries into the trade network brings trade-offs for country- and global-level resilience </w:t>
      </w:r>
      <w:r w:rsidR="005416F1">
        <w:t>to trade shocks</w:t>
      </w:r>
      <w:r>
        <w:t xml:space="preserve"> </w:t>
      </w:r>
      <w:r w:rsidR="001C6E26">
        <w:fldChar w:fldCharType="begin"/>
      </w:r>
      <w:r w:rsidR="0060464F">
        <w:instrText xml:space="preserve"> ADDIN ZOTERO_ITEM CSL_CITATION {"citationID":"arfMDUWj","properties":{"formattedCitation":"(Karakoc and Konar, 2021)","plainCitation":"(Karakoc and Konar, 2021)","noteIndex":0},"citationItems":[{"id":"1qXGYDro/l8XrE3p6","uris":["http://zotero.org/users/203136/items/B6MUJTAI"],"itemData":{"id":"AMrn2D5k/NHWLrzB2","type":"article-journal","abstract":"Global food trade is crucial for food security and availability. Trade is typically optimized to promote efficiency, whereas resilience is increasingly being recognized as another important objective. However, it is not clear if prioritizing resilience comes at the expense of efficiency or if the two objectives can be promoted simultaneously. We develop a complex network framework to assess the relationship between efficiency and resilience of food trade for the last half century. There is a competitive relationship between efficiency and resilience when only network topology is considered. However, a cooperative relationship between efficiency and resilience exists when the intensity of trade connections is accounted for. Policy makers can use this framework to evaluate the relationship between efficiency and resilience in critical supply chains.","container-title":"Environmental Research Letters","DOI":"10.1088/1748-9326/ac1a9b","ISSN":"1748-9326","issue":"10","journalAbbreviation":"Environ. Res. Lett.","language":"en","note":"publisher: IOP Publishing","page":"105003","source":"Institute of Physics","title":"A complex network framework for the efficiency and resilience trade-off in global food trade","volume":"16","author":[{"family":"Karakoc","given":"Deniz Berfin"},{"family":"Konar","given":"Megan"}],"issued":{"date-parts":[["2021",9]]}}}],"schema":"https://github.com/citation-style-language/schema/raw/master/csl-citation.json"} </w:instrText>
      </w:r>
      <w:r w:rsidR="001C6E26">
        <w:fldChar w:fldCharType="separate"/>
      </w:r>
      <w:r w:rsidR="009B7B21" w:rsidRPr="009B7B21">
        <w:t>(Karakoc and Konar, 2021)</w:t>
      </w:r>
      <w:r w:rsidR="001C6E26">
        <w:fldChar w:fldCharType="end"/>
      </w:r>
      <w:r w:rsidR="009B7B21">
        <w:t>.</w:t>
      </w:r>
      <w:r>
        <w:t xml:space="preserve">At the country level, individual countries can mitigate domestic food production shocks, such as those caused by extreme weather </w:t>
      </w:r>
      <w:r>
        <w:lastRenderedPageBreak/>
        <w:t xml:space="preserve">events, </w:t>
      </w:r>
      <w:r w:rsidR="00927E7B">
        <w:t>by</w:t>
      </w:r>
      <w:r>
        <w:t xml:space="preserve"> adjust</w:t>
      </w:r>
      <w:r w:rsidR="00927E7B">
        <w:t>ing</w:t>
      </w:r>
      <w:r>
        <w:t xml:space="preserve"> trade quantities, thereby ensuring food security. </w:t>
      </w:r>
      <w:r w:rsidR="00135ACB">
        <w:t xml:space="preserve">At global level, the exchange of foods </w:t>
      </w:r>
      <w:r w:rsidR="00513D40">
        <w:t xml:space="preserve">among countries </w:t>
      </w:r>
      <w:r w:rsidR="001C5D9D">
        <w:t>can</w:t>
      </w:r>
      <w:r>
        <w:t xml:space="preserve"> help offset specific shocks </w:t>
      </w:r>
      <w:r w:rsidR="00C25112">
        <w:t>in the network</w:t>
      </w:r>
      <w:r>
        <w:t>, evening out supply fluctuations worldwide and reducing price volatility. However, there are concerns that increased import dependency and greater connectivity through trade may also increase vulnerability to shocks, rather than contribut</w:t>
      </w:r>
      <w:r w:rsidR="00392EE6">
        <w:t>ing</w:t>
      </w:r>
      <w:r>
        <w:t xml:space="preserve"> to resilience. The transmission of shocks and vulnerability can be exacerbated if countries in the network respond to disruptions by imposing </w:t>
      </w:r>
      <w:r w:rsidR="007D61D5">
        <w:t>trade</w:t>
      </w:r>
      <w:r>
        <w:t xml:space="preserve"> restrictions, leading to self-propagating trade disruptions and price spikes. </w:t>
      </w:r>
    </w:p>
    <w:p w14:paraId="13228A5A" w14:textId="203285DD" w:rsidR="0002189C" w:rsidRDefault="00FA3E43" w:rsidP="0002189C">
      <w:r w:rsidRPr="00324358">
        <w:t>T</w:t>
      </w:r>
      <w:r w:rsidR="0002189C" w:rsidRPr="00324358">
        <w:t xml:space="preserve">he vulnerability of countries to external trade shocks depends on various factors, including the structure of the trade network. If a small number of dominant players control the network and many other countries are connected to these hubs without direct connections among </w:t>
      </w:r>
      <w:r w:rsidR="00123BEA" w:rsidRPr="00324358">
        <w:t>each other</w:t>
      </w:r>
      <w:r w:rsidR="0002189C" w:rsidRPr="00324358">
        <w:t xml:space="preserve">, shocks affecting the dominant players can easily propagate throughout the network, potentially amplified by global value chains. Conversely, a shock to the system is more likely to dissipate when many countries in the network are connected to multiple trade partners, providing a greater degree of resilience </w:t>
      </w:r>
      <w:r w:rsidR="002342A0">
        <w:fldChar w:fldCharType="begin"/>
      </w:r>
      <w:r w:rsidR="0060464F">
        <w:instrText xml:space="preserve"> ADDIN ZOTERO_ITEM CSL_CITATION {"citationID":"xI2OImDv","properties":{"formattedCitation":"(Acemoglu {\\i{}et al.}, 2012a; Acemoglu, Ozdaglar and Tahbaz-Salehi, 2015; Lucas, 1977; UNCTAD. 2019, undated)","plainCitation":"(Acemoglu et al., 2012a; Acemoglu, Ozdaglar and Tahbaz-Salehi, 2015; Lucas, 1977; UNCTAD. 2019, undated)","dontUpdate":true,"noteIndex":0},"citationItems":[{"id":74,"uris":["http://zotero.org/users/12902950/items/EIBU2FHE"],"itemData":{"id":74,"type":"article-journal","abstract":"This paper argues that, in the presence of intersectoral input–output linkages, microeconomic idiosyncratic shocks may lead to aggregate fluctuations. We show that, as the economy becomes more disaggregated, the rate at which aggregate volatility decays is determined by the structure of the network capturing such linkages. Our main results provide a characterization of this relationship in terms of the importance of different sectors as suppliers to their immediate customers, as well as their role as indirect suppliers to chains of downstream sectors. Such higher-order interconnections capture the possibility of “cascade effects” whereby productivity shocks to a sector propagate not only to its immediate downstream customers, but also to the rest of the economy. Our results highlight that sizable aggregate volatility is obtained from sectoral idiosyncratic shocks only if there exists significant asymmetry in the roles that sectors play as suppliers to others, and that the “sparseness” of the input–output matrix is unrelated to the nature of aggregate fluctuations.","container-title":"Econometrica","DOI":"10.3982/ECTA9623","ISSN":"1468-0262","issue":"5","language":"en","note":"number: 5\n_eprint: https://onlinelibrary.wiley.com/doi/pdf/10.3982/ECTA9623","page":"1977-2016","source":"Wiley Online Library","title":"The Network Origins of Aggregate Fluctuations","volume":"80","author":[{"family":"Acemoglu","given":"Daron"},{"family":"Carvalho","given":"Vasco M."},{"family":"Ozdaglar","given":"Asuman"},{"family":"Tahbaz-Salehi","given":"Alireza"}],"issued":{"date-parts":[["2012"]]}}},{"id":81,"uris":["http://zotero.org/users/12902950/items/VBKFI8AL"],"itemData":{"id":81,"type":"report","abstract":"This chapter develops a unified framework for the study of how network interactions can function as a mechanism for propagation and amplification of microeconomic shocks. The framework nests various classes of games over networks, models of macroeconomic risk originating from microeconomic shocks, and models of financial interactions. Under the assumption that shocks are small, we provide a fairly complete characterization of the structure of equilibrium, clarifying the role of network interactions in translating microeconomic shocks into macroeconomic outcomes. This characterization enables us to rank different networks in terms of their aggregate performance. It also sheds light on several seemingly contradictory results in the prior literature on the role of network linkages in fostering systemic risk.","genre":"Working Paper","note":"issue: 20931\ncollection-title: Working Paper Series\nDOI: 10.3386/w20931","number":"20931","publisher":"National Bureau of Economic Research","source":"National Bureau of Economic Research","title":"Networks, Shocks, and Systemic Risk","URL":"https://www.nber.org/papers/w20931","author":[{"family":"Acemoglu","given":"Daron"},{"family":"Ozdaglar","given":"Asuman"},{"family":"Tahbaz-Salehi","given":"Alireza"}],"accessed":{"date-parts":[["2022",2,12]]},"issued":{"date-parts":[["2015",2]]}}},{"id":1471,"uris":["http://zotero.org/users/12902950/items/J5B2YWSW"],"itemData":{"id":1471,"type":"article-journal","container-title":"Carnegie-Rochester Conference Series on Public Policy","DOI":"10.1016/0167-2231(77)90002-1","ISSN":"01672231","journalAbbreviation":"Carnegie-Rochester Conference Series on Public Policy","language":"en","page":"7-29","source":"DOI.org (Crossref)","title":"Understanding business cycles","volume":"5","author":[{"family":"Lucas","given":"Robert E"}],"issued":{"date-parts":[["1977",1]]}}},{"id":1491,"uris":["http://zotero.org/users/12902950/items/J382RMWD"],"itemData":{"id":1491,"type":"article-journal","title":"Trade and vulnerability. Note by the UNCTAD Secretariat.","author":[{"family":"UNCTAD. 2019","given":""}]}}],"schema":"https://github.com/citation-style-language/schema/raw/master/csl-citation.json"} </w:instrText>
      </w:r>
      <w:r w:rsidR="002342A0">
        <w:fldChar w:fldCharType="separate"/>
      </w:r>
      <w:r w:rsidR="002342A0" w:rsidRPr="002342A0">
        <w:rPr>
          <w:rFonts w:cs="Times New Roman"/>
          <w:szCs w:val="24"/>
        </w:rPr>
        <w:t xml:space="preserve">(Acemoglu </w:t>
      </w:r>
      <w:r w:rsidR="002342A0" w:rsidRPr="002342A0">
        <w:rPr>
          <w:rFonts w:cs="Times New Roman"/>
          <w:i/>
          <w:iCs/>
          <w:szCs w:val="24"/>
        </w:rPr>
        <w:t>et al.</w:t>
      </w:r>
      <w:r w:rsidR="002342A0" w:rsidRPr="002342A0">
        <w:rPr>
          <w:rFonts w:cs="Times New Roman"/>
          <w:szCs w:val="24"/>
        </w:rPr>
        <w:t>, 2012a; Acemoglu, Ozdaglar and Tahbaz-Salehi, 2015; Lucas, 1977; UNCTAD. 2019)</w:t>
      </w:r>
      <w:r w:rsidR="002342A0">
        <w:fldChar w:fldCharType="end"/>
      </w:r>
    </w:p>
    <w:p w14:paraId="65EB13CD" w14:textId="2C405F77" w:rsidR="00BE7EC3" w:rsidRDefault="00CD0A8D" w:rsidP="0002189C">
      <w:r w:rsidRPr="00324358">
        <w:t>Some</w:t>
      </w:r>
      <w:r w:rsidR="002D4DED" w:rsidRPr="00324358">
        <w:t xml:space="preserve"> argue that there is a trade-off between </w:t>
      </w:r>
      <w:r w:rsidR="000D4D92" w:rsidRPr="00324358">
        <w:t xml:space="preserve">economic </w:t>
      </w:r>
      <w:r w:rsidR="002D4DED" w:rsidRPr="00324358">
        <w:t>efficiency and resilience in the global network of food trade.</w:t>
      </w:r>
      <w:r w:rsidR="00AC71B3" w:rsidRPr="00324358">
        <w:t xml:space="preserve"> While high specialization </w:t>
      </w:r>
      <w:r w:rsidR="00BD1E13" w:rsidRPr="00324358">
        <w:t xml:space="preserve">in line with comparative advantages </w:t>
      </w:r>
      <w:r w:rsidR="00263CD6" w:rsidRPr="00324358">
        <w:t xml:space="preserve">increases economic efficiency, the dependence on few major exporters for </w:t>
      </w:r>
      <w:r w:rsidR="00A81238" w:rsidRPr="00324358">
        <w:t xml:space="preserve">specific goods may also induce vulnerabilities and </w:t>
      </w:r>
      <w:r w:rsidR="00F30E8E" w:rsidRPr="00324358">
        <w:t>reduce resilience of the global network</w:t>
      </w:r>
      <w:r w:rsidR="00C45D7A" w:rsidRPr="00324358">
        <w:t xml:space="preserve"> </w:t>
      </w:r>
      <w:r w:rsidR="00C45D7A" w:rsidRPr="00324358">
        <w:fldChar w:fldCharType="begin"/>
      </w:r>
      <w:r w:rsidR="0060464F">
        <w:instrText xml:space="preserve"> ADDIN ZOTERO_ITEM CSL_CITATION {"citationID":"tD6Is1HP","properties":{"formattedCitation":"(Karakoc and Konar, 2021)","plainCitation":"(Karakoc and Konar, 2021)","noteIndex":0},"citationItems":[{"id":"1qXGYDro/l8XrE3p6","uris":["http://zotero.org/users/203136/items/B6MUJTAI"],"itemData":{"id":44,"type":"article-journal","abstract":"Global food trade is crucial for food security and availability. Trade is typically optimized to promote efficiency, whereas resilience is increasingly being recognized as another important objective. However, it is not clear if prioritizing resilience comes at the expense of efficiency or if the two objectives can be promoted simultaneously. We develop a complex network framework to assess the relationship between efficiency and resilience of food trade for the last half century. There is a competitive relationship between efficiency and resilience when only network topology is considered. However, a cooperative relationship between efficiency and resilience exists when the intensity of trade connections is accounted for. Policy makers can use this framework to evaluate the relationship between efficiency and resilience in critical supply chains.","container-title":"Environmental Research Letters","DOI":"10.1088/1748-9326/ac1a9b","ISSN":"1748-9326","issue":"10","journalAbbreviation":"Environ. Res. Lett.","language":"en","note":"publisher: IOP Publishing","page":"105003","source":"Institute of Physics","title":"A complex network framework for the efficiency and resilience trade-off in global food trade","volume":"16","author":[{"family":"Karakoc","given":"Deniz Berfin"},{"family":"Konar","given":"Megan"}],"issued":{"date-parts":[["2021",9]]}}}],"schema":"https://github.com/citation-style-language/schema/raw/master/csl-citation.json"} </w:instrText>
      </w:r>
      <w:r w:rsidR="00C45D7A" w:rsidRPr="00324358">
        <w:fldChar w:fldCharType="separate"/>
      </w:r>
      <w:r w:rsidR="00B73E5B" w:rsidRPr="00B73E5B">
        <w:t>(Karakoc and Konar, 2021)</w:t>
      </w:r>
      <w:r w:rsidR="00C45D7A" w:rsidRPr="00324358">
        <w:fldChar w:fldCharType="end"/>
      </w:r>
      <w:r w:rsidR="00F30E8E" w:rsidRPr="00324358">
        <w:t xml:space="preserve">. </w:t>
      </w:r>
      <w:r w:rsidR="002D4DED" w:rsidRPr="00324358">
        <w:t xml:space="preserve"> “</w:t>
      </w:r>
      <w:r w:rsidR="00476D4B" w:rsidRPr="00324358">
        <w:t>D</w:t>
      </w:r>
      <w:r w:rsidR="002D4DED" w:rsidRPr="00324358">
        <w:t>iverse systems that have many different complementary components from multiple sources are generally more resilient than systems with few components, allowing systems to compensate for the loss or failure of some components with other functionally redundant components”</w:t>
      </w:r>
      <w:r w:rsidR="0013177A" w:rsidRPr="00324358">
        <w:t xml:space="preserve"> </w:t>
      </w:r>
      <w:r w:rsidR="0013177A" w:rsidRPr="00324358">
        <w:fldChar w:fldCharType="begin"/>
      </w:r>
      <w:r w:rsidR="0060464F">
        <w:instrText xml:space="preserve"> ADDIN ZOTERO_ITEM CSL_CITATION {"citationID":"FzLEZyUu","properties":{"formattedCitation":"(Kummu {\\i{}et al.}, 2020)","plainCitation":"(Kummu et al., 2020)","noteIndex":0},"citationItems":[{"id":"1qXGYDro/lHE8CRrQ","uris":["http://zotero.org/users/203136/items/PV98LLQX"],"itemData":{"id":49,"type":"article-journal","abstract":"Rapidly increasing international food trade has drastically altered the global food system over the past decades. Using national scale indicators, we assess two of the resilience principles that directly reflect the effects of global trade on food systems – namely, maintaining diversity and redundancy, and managing connectivity. We perform our analysis for four nutritional components: dietary energy, proteins, fat, and quantity of vegetables &amp; fruits – the key pillars of the WHO dietary recommendations. Our results indicate that, between 1987 and 2013, food supply diversity increased significantly for most of the world's population at the cost of an elevated dependency upon food imports. Food production diversity, particularly in terms of dietary energy and vegetables &amp; fruits, increased for a large proportion of the world population, with the exception being major exporting countries, where it decreased. Of particular note is our finding that, despite a growing number of people being heavily dependent upon imports, the number of import partners decreased more often than it increased, except for the case of vegetables &amp; fruits. This combination of increased dependency on imports and a reduced number of import partners indicates a potential vulnerability to disruptions in linked food systems. Additionally, it is alarming that we found many countries where the studied resilience aspects systematically declined, elevating their exposure to future shocks in the food system.","container-title":"Global Food Security","DOI":"10.1016/j.gfs.2020.100360","ISSN":"2211-9124","journalAbbreviation":"Global Food Security","language":"en","page":"100360","source":"ScienceDirect","title":"Interplay of trade and food system resilience: Gains on supply diversity over time at the cost of trade independency","title-short":"Interplay of trade and food system resilience","volume":"24","author":[{"family":"Kummu","given":"Matti"},{"family":"Kinnunen","given":"Pekka"},{"family":"Lehikoinen","given":"Elina"},{"family":"Porkka","given":"Miina"},{"family":"Queiroz","given":"Cibele"},{"family":"Röös","given":"Elin"},{"family":"Troell","given":"Max"},{"family":"Weil","given":"Charlotte"}],"issued":{"date-parts":[["2020",3,1]]}}}],"schema":"https://github.com/citation-style-language/schema/raw/master/csl-citation.json"} </w:instrText>
      </w:r>
      <w:r w:rsidR="0013177A" w:rsidRPr="00324358">
        <w:fldChar w:fldCharType="separate"/>
      </w:r>
      <w:r w:rsidR="00B73E5B" w:rsidRPr="00B73E5B">
        <w:rPr>
          <w:rFonts w:cs="Times New Roman"/>
          <w:szCs w:val="24"/>
        </w:rPr>
        <w:t xml:space="preserve">(Kummu </w:t>
      </w:r>
      <w:r w:rsidR="00B73E5B" w:rsidRPr="00B73E5B">
        <w:rPr>
          <w:rFonts w:cs="Times New Roman"/>
          <w:i/>
          <w:iCs/>
          <w:szCs w:val="24"/>
        </w:rPr>
        <w:t>et al.</w:t>
      </w:r>
      <w:r w:rsidR="00B73E5B" w:rsidRPr="00B73E5B">
        <w:rPr>
          <w:rFonts w:cs="Times New Roman"/>
          <w:szCs w:val="24"/>
        </w:rPr>
        <w:t>, 2020)</w:t>
      </w:r>
      <w:r w:rsidR="0013177A" w:rsidRPr="00324358">
        <w:fldChar w:fldCharType="end"/>
      </w:r>
      <w:r w:rsidR="002D4DED" w:rsidRPr="00324358">
        <w:t>. “Well-connected food systems can overcome and recover from disturbances faster by ‘importing’ sources of resilience</w:t>
      </w:r>
      <w:r w:rsidR="00D639B3" w:rsidRPr="00324358">
        <w:t>”, whereas</w:t>
      </w:r>
      <w:r w:rsidR="002D4DED" w:rsidRPr="00324358">
        <w:t xml:space="preserve"> </w:t>
      </w:r>
      <w:r w:rsidR="00D639B3" w:rsidRPr="00324358">
        <w:t>“</w:t>
      </w:r>
      <w:r w:rsidR="002D4DED" w:rsidRPr="00324358">
        <w:t xml:space="preserve">overly connected systems </w:t>
      </w:r>
      <w:r w:rsidR="000E7132" w:rsidRPr="00324358">
        <w:t>[…]</w:t>
      </w:r>
      <w:r w:rsidR="002D4DED" w:rsidRPr="00324358">
        <w:t xml:space="preserve"> may lead to rapid spread of disturbances and unintended impacts across the entire food system”. </w:t>
      </w:r>
      <w:r w:rsidR="002D4DED" w:rsidRPr="00324358">
        <w:fldChar w:fldCharType="begin"/>
      </w:r>
      <w:r w:rsidR="0060464F">
        <w:instrText xml:space="preserve"> ADDIN ZOTERO_ITEM CSL_CITATION {"citationID":"3ffgLshS","properties":{"formattedCitation":"(Raj, Brinkley and Ulimwengu, 2022)","plainCitation":"(Raj, Brinkley and Ulimwengu, 2022)","dontUpdate":true,"noteIndex":0},"citationItems":[{"id":"1qXGYDro/gj9Ki2NZ","uris":["http://zotero.org/users/203136/items/A9ZYZLDQ"],"itemData":{"id":6229,"type":"article-journal","abstract":"While global food trade has allowed countries to buffer against domestic food production shortfalls and gain access to larger markets, engaging in trade has also opened economies up to shocks and increased extraction of food resources. With this research, we analyze how the global grain network influences country-level nourishment, while controlling for per capita land and food production. First, we model the trade network structure of the global wheat supply chain to measure the centrality or positionality of countries. We use spatial regression analysis to assess the impact of trade networks, volume, purchasing power, production capacity and geography on undernourishment. We find that the six countries most central to the global grain trade by betweenness and eigenvector centralities account for more than half of all wheat exports globally by volume. The centrality of these countries as opposed to volume of wheat produced or traded, determines their influence in the wheat supply chain network. The parametric component of our analysis confirms that trade, and centrality have significant implications for national levels of nourishment. Our findings suggest that for countries with low purchasing power, increasing centrality allows improvements in nourishment levels but for countries with very high purchasing power, increasing centrality can increase hunger outcomes. To counteract perturbations and shortfalls such as those being experienced currently in the globalized food system, local and regional governments may consider refocusing on regional and local based food systems.","container-title":"PLOS ONE","DOI":"10.1371/journal.pone.0269891","ISSN":"1932-6203","issue":"6","journalAbbreviation":"PLOS ONE","language":"en","note":"publisher: Public Library of Science","page":"e0269891","source":"PLoS Journals","title":"Connected and extracted: Understanding how centrality in the global wheat supply chain affects global hunger using a network approach","title-short":"Connected and extracted","volume":"17","author":[{"family":"Raj","given":"Subhashni"},{"family":"Brinkley","given":"Catherine"},{"family":"Ulimwengu","given":"John"}],"issued":{"date-parts":[["2022",6,15]]}}}],"schema":"https://github.com/citation-style-language/schema/raw/master/csl-citation.json"} </w:instrText>
      </w:r>
      <w:r w:rsidR="002D4DED" w:rsidRPr="00324358">
        <w:fldChar w:fldCharType="separate"/>
      </w:r>
      <w:r w:rsidR="00B73E5B" w:rsidRPr="00B73E5B">
        <w:t xml:space="preserve">Raj, Brinkley and Ulimwengu, </w:t>
      </w:r>
      <w:r w:rsidR="002342A0">
        <w:t>(</w:t>
      </w:r>
      <w:r w:rsidR="00B73E5B" w:rsidRPr="00B73E5B">
        <w:t>2022)</w:t>
      </w:r>
      <w:r w:rsidR="002D4DED" w:rsidRPr="00324358">
        <w:fldChar w:fldCharType="end"/>
      </w:r>
      <w:r w:rsidR="002D4DED" w:rsidRPr="00324358">
        <w:t xml:space="preserve"> find that global trade in food “has allowed countries to buffer against domestic food production shortfalls and gain access to larger markets, but has also opened economies up to shocks and increased extraction of food resources”.</w:t>
      </w:r>
      <w:r w:rsidR="00BE7EC3" w:rsidRPr="00324358">
        <w:t xml:space="preserve"> </w:t>
      </w:r>
      <w:r w:rsidR="00BE7EC3" w:rsidRPr="00621C34">
        <w:fldChar w:fldCharType="begin"/>
      </w:r>
      <w:r w:rsidR="0060464F">
        <w:instrText xml:space="preserve"> ADDIN ZOTERO_ITEM CSL_CITATION {"citationID":"ZpTQlOP4","properties":{"formattedCitation":"(Burkholz and Schweitzer, 2019)","plainCitation":"(Burkholz and Schweitzer, 2019)","dontUpdate":true,"noteIndex":0},"citationItems":[{"id":"1qXGYDro/A1kFUgAA","uris":["http://zotero.org/users/203136/items/TA82ZGJA"],"itemData":{"id":6350,"type":"article-journal","abstract":"Analyzing available FAO data from 176 countries over 21 years, we observe an increase of complexity in the international trade of maize, rice, soy, and wheat. A larger number of countries play a role as producers or intermediaries, either for trade or food processing. In consequence, we find that the trade networks become more prone to failure cascades caused by exogenous shocks. In our model, countries compensate for demand deficits by imposing export restrictions. To capture these, we construct higher-order trade dependency networks for the different crops and years. These networks reveal hidden dependencies between countries and provide an estimate of necessary stock reserves to protect countries from cascading export restrictions. They differ substantially from first-order networks that do not take cascading effects into account. We find rice trade most prone to cascading export restrictions. A great number of Asian and African countries are most exposed to cascades. Noticeably, the main suppliers are similar for most of the crops: USA, Canada, Argentina, Brazil, and India. While shocks in the USA mainly affect South America and several Asian countries, the south of Africa is primarily dependent on American and Asian exporters. The north of Africa depends strongly on Europe, in particular via wheat imports.","container-title":"Environmental Research Letters","DOI":"10.1088/1748-9326/ab4864","ISSN":"1748-9326","issue":"11","journalAbbreviation":"Environ. Res. Lett.","language":"en","note":"publisher: IOP Publishing","page":"114013","source":"Institute of Physics","title":"International crop trade networks: the impact of shocks and cascades","title-short":"International crop trade networks","volume":"14","author":[{"family":"Burkholz","given":"Rebekka"},{"family":"Schweitzer","given":"Frank"}],"issued":{"date-parts":[["2019",10]]}}}],"schema":"https://github.com/citation-style-language/schema/raw/master/csl-citation.json"} </w:instrText>
      </w:r>
      <w:r w:rsidR="00BE7EC3" w:rsidRPr="00621C34">
        <w:fldChar w:fldCharType="separate"/>
      </w:r>
      <w:r w:rsidR="00B73E5B" w:rsidRPr="00B73E5B">
        <w:t xml:space="preserve">Burkholz and Schweitzer, </w:t>
      </w:r>
      <w:r w:rsidR="002342A0">
        <w:t>(</w:t>
      </w:r>
      <w:r w:rsidR="00B73E5B" w:rsidRPr="00B73E5B">
        <w:t>2019)</w:t>
      </w:r>
      <w:r w:rsidR="00BE7EC3" w:rsidRPr="00621C34">
        <w:fldChar w:fldCharType="end"/>
      </w:r>
      <w:r w:rsidR="00BE7EC3" w:rsidRPr="00621C34">
        <w:t xml:space="preserve"> emphasize the importance of considering the structure of higher-order trade networks (as opposed to direct connectivity among countries in first-order indicators) to take cascading shocks in the network into account.</w:t>
      </w:r>
    </w:p>
    <w:p w14:paraId="1A59ED5A" w14:textId="62A430F7" w:rsidR="00826E15" w:rsidRDefault="0002189C" w:rsidP="0002189C">
      <w:r>
        <w:t xml:space="preserve">The empirical literature often </w:t>
      </w:r>
      <w:r w:rsidR="00BE0E60">
        <w:t xml:space="preserve">simulates </w:t>
      </w:r>
      <w:r>
        <w:t xml:space="preserve">the resilience of trade networks by randomly or targetedly removing countries or trade links in the network, and then </w:t>
      </w:r>
      <w:r w:rsidR="00951DB7">
        <w:t>analysing</w:t>
      </w:r>
      <w:r>
        <w:t xml:space="preserve"> how certain measures of network connectivity change in response to these shocks </w:t>
      </w:r>
      <w:r w:rsidR="00B73E5B">
        <w:fldChar w:fldCharType="begin"/>
      </w:r>
      <w:r w:rsidR="0060464F">
        <w:instrText xml:space="preserve"> ADDIN ZOTERO_ITEM CSL_CITATION {"citationID":"uytBPg4t","properties":{"formattedCitation":"(Karakoc and Konar, 2021)","plainCitation":"(Karakoc and Konar, 2021)","noteIndex":0},"citationItems":[{"id":"1qXGYDro/l8XrE3p6","uris":["http://zotero.org/users/203136/items/B6MUJTAI"],"itemData":{"id":"AMrn2D5k/NHWLrzB2","type":"article-journal","abstract":"Global food trade is crucial for food security and availability. Trade is typically optimized to promote efficiency, whereas resilience is increasingly being recognized as another important objective. However, it is not clear if prioritizing resilience comes at the expense of efficiency or if the two objectives can be promoted simultaneously. We develop a complex network framework to assess the relationship between efficiency and resilience of food trade for the last half century. There is a competitive relationship between efficiency and resilience when only network topology is considered. However, a cooperative relationship between efficiency and resilience exists when the intensity of trade connections is accounted for. Policy makers can use this framework to evaluate the relationship between efficiency and resilience in critical supply chains.","container-title":"Environmental Research Letters","DOI":"10.1088/1748-9326/ac1a9b","ISSN":"1748-9326","issue":"10","journalAbbreviation":"Environ. Res. Lett.","language":"en","note":"publisher: IOP Publishing","page":"105003","source":"Institute of Physics","title":"A complex network framework for the efficiency and resilience trade-off in global food trade","volume":"16","author":[{"family":"Karakoc","given":"Deniz Berfin"},{"family":"Konar","given":"Megan"}],"issued":{"date-parts":[["2021",9]]}}}],"schema":"https://github.com/citation-style-language/schema/raw/master/csl-citation.json"} </w:instrText>
      </w:r>
      <w:r w:rsidR="00B73E5B">
        <w:fldChar w:fldCharType="separate"/>
      </w:r>
      <w:r w:rsidR="00B73E5B" w:rsidRPr="00B73E5B">
        <w:t>(Karakoc and Konar, 2021)</w:t>
      </w:r>
      <w:r w:rsidR="00B73E5B">
        <w:fldChar w:fldCharType="end"/>
      </w:r>
      <w:r>
        <w:t xml:space="preserve">. Higher changes in connectivity in response to the introduced shocks indicate lower resilience of the network. </w:t>
      </w:r>
      <w:r w:rsidR="00E51685">
        <w:t>T</w:t>
      </w:r>
      <w:r>
        <w:t xml:space="preserve">hese approaches primarily rely on pure connectivity measures to calculate resilience, and the role of the structure of connectivity is implicitly captured through the calculation of network connectivity across years. As </w:t>
      </w:r>
      <w:r w:rsidR="00B73E5B">
        <w:fldChar w:fldCharType="begin"/>
      </w:r>
      <w:r w:rsidR="0060464F">
        <w:instrText xml:space="preserve"> ADDIN ZOTERO_ITEM CSL_CITATION {"citationID":"E6ETIsGP","properties":{"formattedCitation":"(Karakoc and Konar, 2021)","plainCitation":"(Karakoc and Konar, 2021)","noteIndex":0},"citationItems":[{"id":"1qXGYDro/l8XrE3p6","uris":["http://zotero.org/users/203136/items/B6MUJTAI"],"itemData":{"id":"AMrn2D5k/NHWLrzB2","type":"article-journal","abstract":"Global food trade is crucial for food security and availability. Trade is typically optimized to promote efficiency, whereas resilience is increasingly being recognized as another important objective. However, it is not clear if prioritizing resilience comes at the expense of efficiency or if the two objectives can be promoted simultaneously. We develop a complex network framework to assess the relationship between efficiency and resilience of food trade for the last half century. There is a competitive relationship between efficiency and resilience when only network topology is considered. However, a cooperative relationship between efficiency and resilience exists when the intensity of trade connections is accounted for. Policy makers can use this framework to evaluate the relationship between efficiency and resilience in critical supply chains.","container-title":"Environmental Research Letters","DOI":"10.1088/1748-9326/ac1a9b","ISSN":"1748-9326","issue":"10","journalAbbreviation":"Environ. Res. Lett.","language":"en","note":"publisher: IOP Publishing","page":"105003","source":"Institute of Physics","title":"A complex network framework for the efficiency and resilience trade-off in global food trade","volume":"16","author":[{"family":"Karakoc","given":"Deniz Berfin"},{"family":"Konar","given":"Megan"}],"issued":{"date-parts":[["2021",9]]}}}],"schema":"https://github.com/citation-style-language/schema/raw/master/csl-citation.json"} </w:instrText>
      </w:r>
      <w:r w:rsidR="00B73E5B">
        <w:fldChar w:fldCharType="separate"/>
      </w:r>
      <w:r w:rsidR="0060464F" w:rsidRPr="0060464F">
        <w:t>(Karakoc and Konar, 2021)</w:t>
      </w:r>
      <w:r w:rsidR="00B73E5B">
        <w:fldChar w:fldCharType="end"/>
      </w:r>
      <w:r w:rsidR="00B73E5B">
        <w:t xml:space="preserve"> </w:t>
      </w:r>
      <w:r>
        <w:t>aptly describes, these approaches do not explicitly explain the economic aspects of changes in resilience</w:t>
      </w:r>
      <w:r w:rsidR="00826E15">
        <w:t>.</w:t>
      </w:r>
    </w:p>
    <w:p w14:paraId="53440D52" w14:textId="7CD8421B" w:rsidR="0002189C" w:rsidRDefault="0002189C" w:rsidP="0002189C">
      <w:r>
        <w:t xml:space="preserve">This study contributes to the literature in four main ways. Firstly, it introduces an analytical framework to analyze the resilience of the agricultural and food trade system by identifying two major dimensions of resilience: connectivity and the distribution of connectivity. While connectivity can increase resilience, the heterogeneous distribution of connectivity reduces it. Secondly, the study relies on direct and indirect connectivity measures, including different orders of these </w:t>
      </w:r>
      <w:r>
        <w:lastRenderedPageBreak/>
        <w:t xml:space="preserve">measures, and their distribution to understand the immediate and long-term impacts of shocks in the network. The direct measures of connectivity of countries and their distribution may inform the short-term probability of shock propagation, and indirect measures of connectivity and their distribution may help to understand the resilience of the trade network in a relatively longer term. </w:t>
      </w:r>
      <w:r w:rsidRPr="00C109CC">
        <w:t>Thirdly, this analysis is complemented by an examination of the probability of the exacerbation of local shocks in network localities, and the geographical extent that the shocks may move from that locality. Fourthly</w:t>
      </w:r>
      <w:r>
        <w:t xml:space="preserve">, the study analyzes the resilience of the trade network in terms of product availability, encompassing </w:t>
      </w:r>
      <w:r w:rsidR="00E07EEF">
        <w:t xml:space="preserve">both </w:t>
      </w:r>
      <w:r>
        <w:t xml:space="preserve">variety and quantity. The former relates to assessing the resilience of trade relationships along the extensive margin (trade per country, and trade per country and product), while the latter relates to examining the resilience of the network in terms of the intensive margin of trade (trade </w:t>
      </w:r>
      <w:r w:rsidR="001C676E">
        <w:t xml:space="preserve">value </w:t>
      </w:r>
      <w:r>
        <w:t xml:space="preserve">per country link). </w:t>
      </w:r>
    </w:p>
    <w:p w14:paraId="6B9578BE" w14:textId="3DD7DA2C" w:rsidR="00732BC2" w:rsidRDefault="0002189C" w:rsidP="00C109CC">
      <w:pPr>
        <w:tabs>
          <w:tab w:val="left" w:pos="2130"/>
        </w:tabs>
      </w:pPr>
      <w:r>
        <w:t>The following section presents an initial examination of significant changes in global food and agricultural trade. This is followed by a definition of the concept of resilience and an exploration of its multidimensionality. Next, we describe the network methodology and data utilized for the analysis. In the results section, we examine the evolution of the integration structure of the agricultural and food trade system, as well as the local, regional, and global structure of connectivity formation in the trade network to analyze changes in resilience over time and its current status. The concluding section summarizes the findings, provides policy implications, and suggests future directions for research.</w:t>
      </w:r>
    </w:p>
    <w:p w14:paraId="0AA30C8B" w14:textId="5E81BE43" w:rsidR="00C00015" w:rsidRDefault="00C00015" w:rsidP="00C00015"/>
    <w:p w14:paraId="2C24F8BA" w14:textId="77777777" w:rsidR="00C00015" w:rsidRDefault="00C00015" w:rsidP="00C00015">
      <w:pPr>
        <w:pStyle w:val="Heading1"/>
      </w:pPr>
      <w:bookmarkStart w:id="1" w:name="_Toc145761444"/>
      <w:r>
        <w:t>Evolution of food and agricultural trade</w:t>
      </w:r>
      <w:bookmarkEnd w:id="1"/>
    </w:p>
    <w:p w14:paraId="1583A527" w14:textId="77777777" w:rsidR="002342A0" w:rsidRPr="002342A0" w:rsidRDefault="002342A0" w:rsidP="002342A0"/>
    <w:p w14:paraId="2166D54F" w14:textId="53047575" w:rsidR="00C00015" w:rsidRDefault="00C00015" w:rsidP="00C00015">
      <w:r>
        <w:t>Agri-food trade accounted for approximately 35% of its production value in 2019 (</w:t>
      </w:r>
      <w:r w:rsidR="00B565C0">
        <w:t xml:space="preserve">based on </w:t>
      </w:r>
      <w:r>
        <w:t xml:space="preserve">FAOSTAT). Since 1995, the trade </w:t>
      </w:r>
      <w:r w:rsidR="00C02DF9">
        <w:t xml:space="preserve">value </w:t>
      </w:r>
      <w:r>
        <w:t xml:space="preserve">has fluctuated around a positive trend, while the number of commodity-specific trade links has steadily increased (Figure 1). </w:t>
      </w:r>
      <w:commentRangeStart w:id="2"/>
      <w:r>
        <w:t xml:space="preserve">These positive trends are driven by </w:t>
      </w:r>
      <w:r w:rsidR="00242E64">
        <w:t xml:space="preserve">technological progress, </w:t>
      </w:r>
      <w:r>
        <w:t xml:space="preserve">the reduction of trade barriers, transportation, and communication costs, and  </w:t>
      </w:r>
      <w:r w:rsidR="00FA4859">
        <w:t xml:space="preserve">demand shifts associated with </w:t>
      </w:r>
      <w:r>
        <w:t>global economic growth</w:t>
      </w:r>
      <w:commentRangeEnd w:id="2"/>
      <w:r w:rsidR="00E534D3">
        <w:rPr>
          <w:rStyle w:val="CommentReference"/>
        </w:rPr>
        <w:commentReference w:id="2"/>
      </w:r>
      <w:r>
        <w:t xml:space="preserve"> </w:t>
      </w:r>
      <w:r w:rsidR="00C155A4">
        <w:fldChar w:fldCharType="begin"/>
      </w:r>
      <w:r w:rsidR="0060464F">
        <w:instrText xml:space="preserve"> ADDIN ZOTERO_ITEM CSL_CITATION {"citationID":"iicPhof7","properties":{"formattedCitation":"(Beckman {\\i{}et al.}, 2018; FAO. 2020., undated; Hendrik and Lewer, 2015)","plainCitation":"(Beckman et al., 2018; FAO. 2020., undated; Hendrik and Lewer, 2015)","dontUpdate":true,"noteIndex":0},"citationItems":[{"id":1475,"uris":["http://zotero.org/users/12902950/items/RG436PAS"],"itemData":{"id":1475,"type":"report","event-place":"Cambridge, MA","language":"en","note":"DOI: 10.3386/w24894","number":"w24894","page":"w24894","publisher":"National Bureau of Economic Research","publisher-place":"Cambridge, MA","source":"DOI.org (Crossref)","title":"The Impacts of Export Taxes on Agricultural Trade","URL":"http://www.nber.org/papers/w24894.pdf","author":[{"family":"Beckman","given":"Jayson"},{"family":"Estrades","given":"Carmen"},{"family":"Flores","given":"Manuel"},{"family":"Aguiar","given":"Angel"}],"accessed":{"date-parts":[["2023",11,2]]},"issued":{"date-parts":[["2018",8]]}}},{"id":1492,"uris":["http://zotero.org/users/12902950/items/DHP67KLU"],"itemData":{"id":1492,"type":"article-journal","title":"The State of Agricultural Commodity Markets 2020. Agricultural markets and sustainable development: Global value chains, smallholder farmers and digital innovations. Rome,FAO.","author":[{"family":"FAO. 2020.","given":"2020"}]}},{"id":1473,"uris":["http://zotero.org/users/12902950/items/JPLHBJA8"],"itemData":{"id":1473,"type":"book","edition":"0","ISBN":"978-1-317-46739-7","language":"en","note":"DOI: 10.4324/9781315703282","publisher":"Routledge","source":"DOI.org (Crossref)","title":"International Trade and Economic Growth","URL":"https://www.taylorfrancis.com/books/9781317467397","author":[{"family":"Hendrik","given":"Van Den Berg"},{"family":"Lewer","given":"Joshua J"}],"accessed":{"date-parts":[["2023",11,2]]},"issued":{"date-parts":[["2015",1,30]]}}}],"schema":"https://github.com/citation-style-language/schema/raw/master/csl-citation.json"} </w:instrText>
      </w:r>
      <w:r w:rsidR="00C155A4">
        <w:fldChar w:fldCharType="separate"/>
      </w:r>
      <w:r w:rsidR="002342A0" w:rsidRPr="002342A0">
        <w:rPr>
          <w:rFonts w:cs="Times New Roman"/>
          <w:szCs w:val="24"/>
        </w:rPr>
        <w:t xml:space="preserve">(Beckman </w:t>
      </w:r>
      <w:r w:rsidR="002342A0" w:rsidRPr="002342A0">
        <w:rPr>
          <w:rFonts w:cs="Times New Roman"/>
          <w:i/>
          <w:iCs/>
          <w:szCs w:val="24"/>
        </w:rPr>
        <w:t>et al.</w:t>
      </w:r>
      <w:r w:rsidR="002342A0" w:rsidRPr="002342A0">
        <w:rPr>
          <w:rFonts w:cs="Times New Roman"/>
          <w:szCs w:val="24"/>
        </w:rPr>
        <w:t>, 2018; FAO. 2020.</w:t>
      </w:r>
      <w:r w:rsidR="002342A0">
        <w:rPr>
          <w:rFonts w:cs="Times New Roman"/>
          <w:szCs w:val="24"/>
        </w:rPr>
        <w:t>,</w:t>
      </w:r>
      <w:r w:rsidR="002342A0" w:rsidRPr="002342A0">
        <w:rPr>
          <w:rFonts w:cs="Times New Roman"/>
          <w:szCs w:val="24"/>
        </w:rPr>
        <w:t xml:space="preserve"> Hendrik and Lewer, 2015)</w:t>
      </w:r>
      <w:r w:rsidR="00C155A4">
        <w:fldChar w:fldCharType="end"/>
      </w:r>
      <w:r w:rsidR="002342A0">
        <w:t>.</w:t>
      </w:r>
    </w:p>
    <w:p w14:paraId="0111F418" w14:textId="73D219EA" w:rsidR="00C00015" w:rsidRDefault="00C00015" w:rsidP="00C00015">
      <w:r>
        <w:t>Between 1995 and 2019, the trade</w:t>
      </w:r>
      <w:r w:rsidR="000D79CF">
        <w:t xml:space="preserve"> volume</w:t>
      </w:r>
      <w:r>
        <w:t xml:space="preserve"> more than doubled and increased by a factor of around 3.5 in nominal terms</w:t>
      </w:r>
      <w:commentRangeStart w:id="3"/>
      <w:commentRangeEnd w:id="3"/>
      <w:r w:rsidR="0068095C">
        <w:rPr>
          <w:rStyle w:val="CommentReference"/>
        </w:rPr>
        <w:commentReference w:id="3"/>
      </w:r>
      <w:r>
        <w:t>. The stable growth observed since 1995 was interrupted by the global recession in 2008-2009. It recovered during 2010-2011</w:t>
      </w:r>
      <w:r w:rsidR="00274A32">
        <w:t xml:space="preserve">, mainly driven by </w:t>
      </w:r>
      <w:r w:rsidR="008F1D26">
        <w:t>continuing growth in emerging economies</w:t>
      </w:r>
      <w:r w:rsidR="003217D8">
        <w:t>, but has</w:t>
      </w:r>
      <w:r w:rsidR="003B440C">
        <w:t xml:space="preserve"> since been levelling off. </w:t>
      </w:r>
      <w:r>
        <w:t xml:space="preserve"> </w:t>
      </w:r>
      <w:r w:rsidR="00462BB9">
        <w:t>Trade tensions between China and the U</w:t>
      </w:r>
      <w:r w:rsidR="00F5459C">
        <w:t xml:space="preserve">SA </w:t>
      </w:r>
      <w:r>
        <w:t>during 2018-2019</w:t>
      </w:r>
      <w:r w:rsidR="0025346E">
        <w:t xml:space="preserve"> are reflected in a drop in terms of t</w:t>
      </w:r>
      <w:r w:rsidR="00AB4F8D">
        <w:t>rade links and value in 2019</w:t>
      </w:r>
      <w:r w:rsidR="00AE729E">
        <w:t xml:space="preserve"> (Figure 1)</w:t>
      </w:r>
      <w:r>
        <w:t>. In comparison to trade values</w:t>
      </w:r>
      <w:commentRangeStart w:id="4"/>
      <w:commentRangeEnd w:id="4"/>
      <w:r w:rsidR="001B0FDA">
        <w:rPr>
          <w:rStyle w:val="CommentReference"/>
        </w:rPr>
        <w:commentReference w:id="4"/>
      </w:r>
      <w:r>
        <w:t xml:space="preserve">, the number of established bilateral trade links at the country level has steadily increased since 1995 with fewer fluctuations. The most significant increases were observed from 1995 to 2002, followed by a slower growth until </w:t>
      </w:r>
      <w:r w:rsidR="008F2EE8">
        <w:t>2015</w:t>
      </w:r>
      <w:r>
        <w:t xml:space="preserve">, and a subsequent </w:t>
      </w:r>
      <w:r w:rsidR="008F2EE8">
        <w:t>levelling off</w:t>
      </w:r>
      <w:r>
        <w:t>.</w:t>
      </w:r>
      <w:r w:rsidR="0068095C">
        <w:t xml:space="preserve"> Both the positive trend and the fluctuations in agri-food trade may be linked to changes in the structure of the global trade system</w:t>
      </w:r>
      <w:r w:rsidR="00C155A4">
        <w:t xml:space="preserve"> </w:t>
      </w:r>
      <w:r w:rsidR="00C155A4">
        <w:fldChar w:fldCharType="begin"/>
      </w:r>
      <w:r w:rsidR="0060464F">
        <w:instrText xml:space="preserve"> ADDIN ZOTERO_ITEM CSL_CITATION {"citationID":"HmKdk0tR","properties":{"formattedCitation":"(Korniyenko, Pinat and Dew, 2017)","plainCitation":"(Korniyenko, Pinat and Dew, 2017)","noteIndex":0},"citationItems":[{"id":"1qXGYDro/z5t1NrtA","uris":["http://zotero.org/users/203136/items/9U6NJ9G5",["http://zotero.org/users/203136/items/9U6NJ9G5"]],"itemData":{"id":"AMrn2D5k/SMDH6oRg","type":"book","abstract":"Anecdotal evidence suggests the existence of specific choke points in the global trade network revealed especially after natural disasters (e.g. hard drive components and Thailand flooding, Japanese auto components post-Fukushima, etc.). Using a highly disaggregated international trade database we assess the spillover effects of supply shocks from the import of specific goods. Our goal is to identify inherent vulnerabilities arising from the composition of a country’s import basket and to propose effective mitigation policies. First, using network analysis tools we develop a methodology for evaluating and ranking the supply fragility of individual traded goods. Next, we create a country-level measure to determine each country’s supply shock vulnerability based on the composition of their individual import baskets. This measure evaluates the potential negative supply shock spillovers from the import of each good.","ISBN":"978-1-4755-7851-5","language":"en","note":"Google-Books-ID: PmAZEAAAQBAJ","number-of-pages":"38","publisher":"International Monetary Fund","source":"Google Books","title":"Assessing the Fragility of Global Trade: The Impact of Localized Supply Shocks Using Network Analysis","title-short":"Assessing the Fragility of Global Trade","author":[{"family":"Korniyenko","given":"Ms Yevgeniya"},{"family":"Pinat","given":"Magali"},{"family":"Dew","given":"Brian"}],"issued":{"date-parts":[["2017",2,13]]}}}],"schema":"https://github.com/citation-style-language/schema/raw/master/csl-citation.json"} </w:instrText>
      </w:r>
      <w:r w:rsidR="00C155A4">
        <w:fldChar w:fldCharType="separate"/>
      </w:r>
      <w:r w:rsidR="00C155A4" w:rsidRPr="00C155A4">
        <w:t>(Korniyenko, Pinat and Dew, 2017)</w:t>
      </w:r>
      <w:r w:rsidR="00C155A4">
        <w:fldChar w:fldCharType="end"/>
      </w:r>
    </w:p>
    <w:p w14:paraId="28CDFFA2" w14:textId="77777777" w:rsidR="00C00015" w:rsidRDefault="00C00015" w:rsidP="00C00015">
      <w:r>
        <w:t xml:space="preserve"> </w:t>
      </w:r>
    </w:p>
    <w:p w14:paraId="01D4A533" w14:textId="77777777" w:rsidR="00C00015" w:rsidRDefault="00C00015" w:rsidP="00C00015">
      <w:r>
        <w:t>Figure 1: Evolution of agri-food trade (1995-2019)</w:t>
      </w:r>
    </w:p>
    <w:p w14:paraId="55D24F1C" w14:textId="77777777" w:rsidR="00C00015" w:rsidRDefault="00C00015" w:rsidP="00C00015">
      <w:r w:rsidRPr="00A039BF">
        <w:rPr>
          <w:rFonts w:cs="Times New Roman"/>
          <w:noProof/>
          <w:lang w:val="de-DE" w:eastAsia="de-DE"/>
        </w:rPr>
        <w:lastRenderedPageBreak/>
        <w:drawing>
          <wp:inline distT="0" distB="0" distL="0" distR="0" wp14:anchorId="54610182" wp14:editId="2883B5F2">
            <wp:extent cx="5759450" cy="3268345"/>
            <wp:effectExtent l="0" t="0" r="12700" b="8255"/>
            <wp:docPr id="8" name="Chart 8">
              <a:extLst xmlns:a="http://schemas.openxmlformats.org/drawingml/2006/main">
                <a:ext uri="{FF2B5EF4-FFF2-40B4-BE49-F238E27FC236}">
                  <a16:creationId xmlns:a16="http://schemas.microsoft.com/office/drawing/2014/main" id="{00000000-0008-0000-0000-00000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B6466D6" w14:textId="77777777" w:rsidR="0047527D" w:rsidRDefault="0047527D" w:rsidP="008E77EB">
      <w:pPr>
        <w:tabs>
          <w:tab w:val="left" w:pos="2130"/>
        </w:tabs>
      </w:pPr>
    </w:p>
    <w:p w14:paraId="0B490D1D" w14:textId="59F5155D" w:rsidR="001870C2" w:rsidRDefault="009734A1" w:rsidP="001870C2">
      <w:pPr>
        <w:pStyle w:val="Heading1"/>
      </w:pPr>
      <w:bookmarkStart w:id="5" w:name="_Toc145761445"/>
      <w:r>
        <w:t>Framing</w:t>
      </w:r>
      <w:r w:rsidR="00822633">
        <w:t xml:space="preserve"> the </w:t>
      </w:r>
      <w:r w:rsidR="00500B23">
        <w:t>multidimensionality of resilience</w:t>
      </w:r>
      <w:bookmarkEnd w:id="5"/>
    </w:p>
    <w:p w14:paraId="57E73B59" w14:textId="77777777" w:rsidR="008956CD" w:rsidRPr="008956CD" w:rsidRDefault="008956CD" w:rsidP="008956CD"/>
    <w:p w14:paraId="2D143A11" w14:textId="0129586A" w:rsidR="004B5FBE" w:rsidRPr="00C8756B" w:rsidRDefault="001B66A5" w:rsidP="00C8756B">
      <w:r>
        <w:t xml:space="preserve">Shocks in the trade network affect both exporters and importers. </w:t>
      </w:r>
      <w:r w:rsidR="00A92739">
        <w:t xml:space="preserve">Exporters lose </w:t>
      </w:r>
      <w:r w:rsidR="00422BDB">
        <w:t xml:space="preserve">export revenue and importers </w:t>
      </w:r>
      <w:r w:rsidR="001518AE">
        <w:t xml:space="preserve">experience disruptions to </w:t>
      </w:r>
      <w:r w:rsidR="00740994">
        <w:t>the</w:t>
      </w:r>
      <w:r w:rsidR="00FB74CF">
        <w:t>ir</w:t>
      </w:r>
      <w:r w:rsidR="00740994">
        <w:t xml:space="preserve"> supply of final and intermediate products. </w:t>
      </w:r>
      <w:r w:rsidR="00070476">
        <w:t xml:space="preserve"> Risks to food security from </w:t>
      </w:r>
      <w:r w:rsidR="00360890">
        <w:t>disruptions in food trade are usually assumed to be higher for importers</w:t>
      </w:r>
      <w:r w:rsidR="00F86234">
        <w:t>, we therefore characterize the resilience of the trade network from the importer perspective</w:t>
      </w:r>
      <w:r w:rsidR="00187E9E">
        <w:t xml:space="preserve">. Effects on the exporter side </w:t>
      </w:r>
      <w:r w:rsidR="002E3E64">
        <w:t xml:space="preserve">are analogue </w:t>
      </w:r>
      <w:r w:rsidR="0004342B">
        <w:t xml:space="preserve">to those on the importer side and could be </w:t>
      </w:r>
      <w:r w:rsidR="005130ED">
        <w:t>further explored</w:t>
      </w:r>
      <w:r w:rsidR="0004342B">
        <w:t xml:space="preserve"> in follow up studies.</w:t>
      </w:r>
      <w:r w:rsidR="003D41D9">
        <w:t xml:space="preserve"> </w:t>
      </w:r>
      <w:r w:rsidR="00E63C8C" w:rsidRPr="00A039BF">
        <w:t xml:space="preserve">A shock </w:t>
      </w:r>
      <w:r w:rsidR="001940BD">
        <w:t xml:space="preserve">to trade </w:t>
      </w:r>
      <w:r w:rsidR="00E63C8C" w:rsidRPr="00A039BF">
        <w:t xml:space="preserve">can be </w:t>
      </w:r>
      <w:r w:rsidR="001940BD">
        <w:t xml:space="preserve">caused </w:t>
      </w:r>
      <w:r w:rsidR="00E63C8C" w:rsidRPr="00A039BF">
        <w:t>internal</w:t>
      </w:r>
      <w:r w:rsidR="001940BD">
        <w:t>ly</w:t>
      </w:r>
      <w:r w:rsidR="00E63C8C" w:rsidRPr="00A039BF">
        <w:t xml:space="preserve"> or external</w:t>
      </w:r>
      <w:r w:rsidR="001940BD">
        <w:t>ly</w:t>
      </w:r>
      <w:r w:rsidR="00E63C8C" w:rsidRPr="00A039BF">
        <w:t xml:space="preserve">. From an importer's perspective, an internal shock occurs when demand </w:t>
      </w:r>
      <w:r w:rsidR="002F11BE">
        <w:t>is</w:t>
      </w:r>
      <w:r w:rsidR="00E63C8C" w:rsidRPr="00A039BF">
        <w:t xml:space="preserve"> disturbed, such as a significant reduction in income in the importing countries. External shocks happen when exporting countries face disruptions, including disturbances in the exporter's production system</w:t>
      </w:r>
      <w:r w:rsidR="00C71FBB">
        <w:t>, for example, caused by</w:t>
      </w:r>
      <w:r w:rsidR="00E63C8C" w:rsidRPr="00A039BF">
        <w:t xml:space="preserve"> extreme weather conditions, </w:t>
      </w:r>
      <w:r w:rsidR="007F5DEE">
        <w:t xml:space="preserve">conflicts or </w:t>
      </w:r>
      <w:r w:rsidR="00E63C8C" w:rsidRPr="00A039BF">
        <w:t>pests. Some shocks are bilateral, affecting both exporters and importers. Sudden trade barriers are an example of bilateral shocks, disrupting both parties involved.</w:t>
      </w:r>
      <w:r w:rsidR="00454057">
        <w:t xml:space="preserve"> </w:t>
      </w:r>
      <w:r w:rsidR="00AC1319" w:rsidRPr="00A039BF">
        <w:t xml:space="preserve">The network </w:t>
      </w:r>
      <w:r w:rsidR="00AC1319">
        <w:t xml:space="preserve">of food and agricultural trade </w:t>
      </w:r>
      <w:r w:rsidR="00AC1319" w:rsidRPr="00A039BF">
        <w:t xml:space="preserve">is susceptible to various risks, and when a shock occurs in one </w:t>
      </w:r>
      <w:r w:rsidR="003B2091">
        <w:t xml:space="preserve">country or </w:t>
      </w:r>
      <w:r w:rsidR="00AC1319" w:rsidRPr="00A039BF">
        <w:t xml:space="preserve">region, it can have ripple effects </w:t>
      </w:r>
      <w:r w:rsidR="003B2091">
        <w:t>on</w:t>
      </w:r>
      <w:r w:rsidR="00AC1319" w:rsidRPr="00A039BF">
        <w:t xml:space="preserve"> </w:t>
      </w:r>
      <w:r w:rsidR="003B2091">
        <w:t>third countries/</w:t>
      </w:r>
      <w:r w:rsidR="00AC1319" w:rsidRPr="00A039BF">
        <w:t xml:space="preserve">regions. </w:t>
      </w:r>
      <w:r w:rsidR="00950E6C">
        <w:t xml:space="preserve">We speak of direct effects </w:t>
      </w:r>
      <w:r w:rsidR="00AA4C54">
        <w:t xml:space="preserve">if trade partners are affected directly, indirect effects </w:t>
      </w:r>
      <w:r w:rsidR="009211C8">
        <w:t xml:space="preserve">occur in third countries/regions and </w:t>
      </w:r>
      <w:r w:rsidR="00AA4C54">
        <w:t>are transmitted through</w:t>
      </w:r>
      <w:r w:rsidR="009211C8">
        <w:t xml:space="preserve"> </w:t>
      </w:r>
      <w:r w:rsidR="0010638D">
        <w:t xml:space="preserve">global value chains </w:t>
      </w:r>
      <w:r w:rsidR="00916A39">
        <w:t xml:space="preserve">or other mechanisms. </w:t>
      </w:r>
    </w:p>
    <w:p w14:paraId="3489E5C4" w14:textId="1FC4B326" w:rsidR="00D239DF" w:rsidRDefault="00D239DF" w:rsidP="00D239DF"/>
    <w:p w14:paraId="581975F2" w14:textId="4081DC89" w:rsidR="00D239DF" w:rsidRDefault="00D239DF" w:rsidP="00106F43">
      <w:pPr>
        <w:pStyle w:val="Heading2"/>
      </w:pPr>
      <w:bookmarkStart w:id="6" w:name="_Toc145761446"/>
      <w:r>
        <w:t xml:space="preserve">Country-level resilience vs </w:t>
      </w:r>
      <w:r w:rsidR="00A10B1C">
        <w:t>global</w:t>
      </w:r>
      <w:r w:rsidR="00AC06AC">
        <w:t xml:space="preserve"> (network)</w:t>
      </w:r>
      <w:r w:rsidR="00A10B1C">
        <w:t>-level resilience</w:t>
      </w:r>
      <w:bookmarkEnd w:id="6"/>
    </w:p>
    <w:p w14:paraId="19A4AC33" w14:textId="77777777" w:rsidR="008956CD" w:rsidRPr="008956CD" w:rsidRDefault="008956CD" w:rsidP="008956CD"/>
    <w:p w14:paraId="194E578D" w14:textId="6D1866D4" w:rsidR="003C2ECD" w:rsidRPr="00B565C0" w:rsidRDefault="003C2ECD" w:rsidP="003C2ECD">
      <w:r w:rsidRPr="007D17A8">
        <w:t xml:space="preserve">Shocks </w:t>
      </w:r>
      <w:r w:rsidR="002977A7">
        <w:t>may</w:t>
      </w:r>
      <w:r w:rsidR="002977A7" w:rsidRPr="007D17A8">
        <w:t xml:space="preserve"> </w:t>
      </w:r>
      <w:r w:rsidRPr="007D17A8">
        <w:t>affect individual countries directly or indirectly, and the ability of an individual country to withstand</w:t>
      </w:r>
      <w:r w:rsidR="006C768C">
        <w:t>, adapt to</w:t>
      </w:r>
      <w:r w:rsidRPr="007D17A8">
        <w:t xml:space="preserve"> and recover from such disruptions, known as country-level resilience, </w:t>
      </w:r>
      <w:r w:rsidRPr="007D17A8">
        <w:lastRenderedPageBreak/>
        <w:t xml:space="preserve">depends on their connectivity within the trade network. </w:t>
      </w:r>
      <w:r w:rsidR="00773D94">
        <w:t>C</w:t>
      </w:r>
      <w:r w:rsidRPr="007D17A8">
        <w:t>ountry</w:t>
      </w:r>
      <w:r w:rsidR="00773D94">
        <w:t>-level</w:t>
      </w:r>
      <w:r w:rsidRPr="007D17A8">
        <w:t xml:space="preserve"> resilience </w:t>
      </w:r>
      <w:r w:rsidR="000F11C2">
        <w:t>entails countries’</w:t>
      </w:r>
      <w:r w:rsidRPr="007D17A8">
        <w:t xml:space="preserve"> capacity to maintain </w:t>
      </w:r>
      <w:r w:rsidR="005944DE">
        <w:t xml:space="preserve">food supply </w:t>
      </w:r>
      <w:r w:rsidRPr="007D17A8">
        <w:t xml:space="preserve">stability and functionality by importing products in varying volumes and varieties from different sources. The individual capacity of countries to absorb shocks determines the global (network) level resilience, which refers to the ability of the network to collectively absorb, adapt, and recover from disturbances. The concept of global level resilience takes into account the interdependencies and interactions between countries, examining how shocks or disruptions in one country can propagate and affect others </w:t>
      </w:r>
      <w:r w:rsidRPr="00B565C0">
        <w:t>within the network.</w:t>
      </w:r>
    </w:p>
    <w:p w14:paraId="4EA701E0" w14:textId="45A63DF4" w:rsidR="00BA7C37" w:rsidRDefault="00BD27E1" w:rsidP="00493292">
      <w:r w:rsidRPr="00B565C0">
        <w:t xml:space="preserve">Resilience </w:t>
      </w:r>
      <w:r w:rsidR="009D6FA5" w:rsidRPr="00B565C0">
        <w:t xml:space="preserve">in food and agricultural trade can be </w:t>
      </w:r>
      <w:r w:rsidR="008B00DA" w:rsidRPr="00B565C0">
        <w:t xml:space="preserve">characterized </w:t>
      </w:r>
      <w:r w:rsidRPr="00B565C0">
        <w:t>based on two dimensions:</w:t>
      </w:r>
      <w:r w:rsidR="00A06015" w:rsidRPr="00B565C0">
        <w:t xml:space="preserve"> (i) c</w:t>
      </w:r>
      <w:r w:rsidR="005F5697" w:rsidRPr="00B565C0">
        <w:t xml:space="preserve">onnectivity at country-level and </w:t>
      </w:r>
      <w:r w:rsidR="00A06015" w:rsidRPr="00B565C0">
        <w:t xml:space="preserve">(ii) </w:t>
      </w:r>
      <w:r w:rsidR="005F5697" w:rsidRPr="00B565C0">
        <w:t xml:space="preserve">distribution </w:t>
      </w:r>
      <w:r w:rsidRPr="00B565C0">
        <w:t>of connectivity</w:t>
      </w:r>
      <w:r w:rsidR="003D26FF" w:rsidRPr="00B565C0">
        <w:t xml:space="preserve"> across countries.</w:t>
      </w:r>
      <w:r w:rsidR="00501883" w:rsidRPr="00B565C0">
        <w:t xml:space="preserve"> </w:t>
      </w:r>
      <w:r w:rsidR="009E359A" w:rsidRPr="00B565C0">
        <w:t xml:space="preserve">For an individual country, if </w:t>
      </w:r>
      <w:r w:rsidR="00733BFB" w:rsidRPr="00B565C0">
        <w:t>connectivity is high, the country</w:t>
      </w:r>
      <w:r w:rsidR="002818BD" w:rsidRPr="00B565C0">
        <w:t xml:space="preserve"> should be able to adapt to trade disruptions more easily than </w:t>
      </w:r>
      <w:r w:rsidR="00B63F10" w:rsidRPr="00B565C0">
        <w:t xml:space="preserve">a country with low connectivity. </w:t>
      </w:r>
      <w:r w:rsidR="00583170" w:rsidRPr="00B565C0">
        <w:t>Trade n</w:t>
      </w:r>
      <w:r w:rsidR="00EA740D" w:rsidRPr="00B565C0">
        <w:t xml:space="preserve">etwork </w:t>
      </w:r>
      <w:r w:rsidR="00BA7C37" w:rsidRPr="00B565C0">
        <w:t xml:space="preserve">resilience can be defined by considering two dimensions: the average level of connectivity </w:t>
      </w:r>
      <w:r w:rsidR="00E04319" w:rsidRPr="00B565C0">
        <w:t xml:space="preserve">across countries </w:t>
      </w:r>
      <w:r w:rsidR="00BA7C37" w:rsidRPr="00B565C0">
        <w:t>and the distribution of connectivity</w:t>
      </w:r>
      <w:r w:rsidR="00E04319" w:rsidRPr="00B565C0">
        <w:t xml:space="preserve"> across countries</w:t>
      </w:r>
      <w:r w:rsidR="00BA7C37" w:rsidRPr="00B565C0">
        <w:t xml:space="preserve">. </w:t>
      </w:r>
      <w:r w:rsidR="007839E7" w:rsidRPr="00B565C0">
        <w:t>Based on</w:t>
      </w:r>
      <w:r w:rsidR="00F727DE" w:rsidRPr="00B565C0">
        <w:t xml:space="preserve"> these two dimensions, </w:t>
      </w:r>
      <w:r w:rsidR="00BA7C37" w:rsidRPr="00B565C0">
        <w:t>four potential pathways</w:t>
      </w:r>
      <w:r w:rsidR="00F727DE" w:rsidRPr="00B565C0">
        <w:t>/states of resilience</w:t>
      </w:r>
      <w:r w:rsidR="007839E7" w:rsidRPr="00B565C0">
        <w:t xml:space="preserve"> can be distinguished</w:t>
      </w:r>
      <w:r w:rsidR="00BA7C37" w:rsidRPr="00B565C0">
        <w:t>: (I) High overall</w:t>
      </w:r>
      <w:r w:rsidR="00B82875" w:rsidRPr="00B565C0">
        <w:t xml:space="preserve"> (average)</w:t>
      </w:r>
      <w:r w:rsidR="00BA7C37" w:rsidRPr="00B565C0">
        <w:t xml:space="preserve"> connectivity and a </w:t>
      </w:r>
      <w:r w:rsidR="00C375C0" w:rsidRPr="00B565C0">
        <w:t xml:space="preserve">relatively </w:t>
      </w:r>
      <w:r w:rsidR="00493292" w:rsidRPr="00B565C0">
        <w:t>normal distribution</w:t>
      </w:r>
      <w:commentRangeStart w:id="7"/>
      <w:commentRangeEnd w:id="7"/>
      <w:r w:rsidR="00D2576A" w:rsidRPr="00B565C0">
        <w:rPr>
          <w:rStyle w:val="CommentReference"/>
        </w:rPr>
        <w:commentReference w:id="7"/>
      </w:r>
      <w:r w:rsidR="00BA7C37" w:rsidRPr="00B565C0">
        <w:t xml:space="preserve"> of connectivity across countries</w:t>
      </w:r>
      <w:r w:rsidR="00084132" w:rsidRPr="00B565C0">
        <w:t>;</w:t>
      </w:r>
      <w:r w:rsidR="00BA7C37" w:rsidRPr="00B565C0">
        <w:t xml:space="preserve"> (II) High overall </w:t>
      </w:r>
      <w:r w:rsidR="00FE69F6" w:rsidRPr="00B565C0">
        <w:t xml:space="preserve">(average) </w:t>
      </w:r>
      <w:r w:rsidR="00BA7C37" w:rsidRPr="00B565C0">
        <w:t>connectivity, but a more heterogeneous distribution of connectivity across countries</w:t>
      </w:r>
      <w:r w:rsidR="00084132" w:rsidRPr="00B565C0">
        <w:t>;</w:t>
      </w:r>
      <w:r w:rsidR="00BA7C37" w:rsidRPr="00B565C0">
        <w:t xml:space="preserve"> (III) Low overall connectivity</w:t>
      </w:r>
      <w:r w:rsidR="00E7178F" w:rsidRPr="00B565C0">
        <w:t xml:space="preserve"> and</w:t>
      </w:r>
      <w:r w:rsidR="00BA7C37" w:rsidRPr="00B565C0">
        <w:t xml:space="preserve"> a </w:t>
      </w:r>
      <w:r w:rsidR="00E7178F" w:rsidRPr="00B565C0">
        <w:t xml:space="preserve">relatively </w:t>
      </w:r>
      <w:r w:rsidR="00BA7C37" w:rsidRPr="00B565C0">
        <w:t>even distribution of connectivity across countries</w:t>
      </w:r>
      <w:r w:rsidR="001B2BD5" w:rsidRPr="00B565C0">
        <w:t>;</w:t>
      </w:r>
      <w:r w:rsidR="00BA7C37" w:rsidRPr="00B565C0">
        <w:t xml:space="preserve"> (IV) Low overall connectivity and a </w:t>
      </w:r>
      <w:r w:rsidR="001B2BD5" w:rsidRPr="00B565C0">
        <w:t xml:space="preserve">relatively </w:t>
      </w:r>
      <w:r w:rsidR="00BA7C37" w:rsidRPr="00B565C0">
        <w:t>heterogeneous distribution of connectivity across countries</w:t>
      </w:r>
      <w:r w:rsidR="00F04E36" w:rsidRPr="00B565C0">
        <w:t xml:space="preserve"> </w:t>
      </w:r>
      <w:r w:rsidR="00F04E36" w:rsidRPr="00B565C0">
        <w:rPr>
          <w:rFonts w:cs="Times New Roman"/>
          <w:szCs w:val="24"/>
        </w:rPr>
        <w:fldChar w:fldCharType="begin"/>
      </w:r>
      <w:r w:rsidR="0060464F">
        <w:rPr>
          <w:rFonts w:cs="Times New Roman"/>
          <w:szCs w:val="24"/>
        </w:rPr>
        <w:instrText xml:space="preserve"> ADDIN ZOTERO_ITEM CSL_CITATION {"citationID":"wemOMhns","properties":{"formattedCitation":"(Arriola {\\i{}et al.}, 2020; Korniyenko, Pinat and Dew, 2017)","plainCitation":"(Arriola et al., 2020; Korniyenko, Pinat and Dew, 2017)","noteIndex":0},"citationItems":[{"id":"1qXGYDro/6wQVXnLP","uris":["http://zotero.org/users/203136/items/T5TCJG6Q",["http://zotero.org/users/203136/items/T5TCJG6Q"]],"itemData":{"id":1702,"type":"report","abstract":"The COVID-19 outbreak and the resulting disruptions in supply chains of some manufacturing and medical products have renewed the debate on costs and benefits of globalisation and, particularly, on risks associated with international fragmentation of production in global value chains (GVCs). While GVCs helped addressing supply shortages in several cases already during the early stages of the COVID-19 pandemic, much of the policy debate has concentrated on whether the gains from expanding international specialisation in GVCs are worth the associated risks of transmission of shocks and even whether governments should use policy tools to ‘re-localise’ GVCs. But re-localising may also mean less diversification and thereby limit the scope for cushioning shocks. This paper builds on on-going OECD analysis and aims at providing empirical evidence to inform and guide discussion on these questions. First, it reviews briefly the key issues and lessons learnt from the past, and identifies the main features of world trade and GVC participation that influence exposures to risks in supply chains. Subsequently, it presents key results of a set of economic model simulations conducted using the OECD’s computable general equilibrium (CGE) trade model METRO to shed light on the consequences of a stylised re-localisation policy scenario. In this scenario, countries are less exposed to foreign shocks, but they are also less efficient and less able to cushion shocks through trade. Quantitatively, the latter effect tends to dominate: re-localising GVCs would make the economy in most countries both less efficient and less stable. The economic case for policy-induced reshoring of GVCs is therefore weak. There is nevertheless scope for governments to join efforts with businesses to improve risk preparedness.","event-place":"Paris","language":"en","note":"DOI: 10.1787/3e4b7ecf-en","publisher":"OECD","publisher-place":"Paris","source":"OECD iLibrary","title":"Efficiency and risks in global value chains in the context of COVID-19","URL":"https://www.oecd-ilibrary.org/economics/efficiency-and-risks-in-global-value-chains-in-the-context-of-covid-19_3e4b7ecf-en","author":[{"family":"Arriola","given":"Christine"},{"family":"Guilloux-Nefussi","given":"Sophie"},{"family":"Koh","given":"Seung-Hee"},{"family":"Kowalski","given":"Przemyslaw"},{"family":"Rusticelli","given":"Elena"},{"family":"Tongeren","given":"Frank","dropping-particle":"van"}],"accessed":{"date-parts":[["2022",8,2]]},"issued":{"date-parts":[["2020",12,16]]}}},{"id":"1qXGYDro/z5t1NrtA","uris":["http://zotero.org/users/203136/items/9U6NJ9G5",["http://zotero.org/users/203136/items/9U6NJ9G5"]],"itemData":{"id":1703,"type":"book","abstract":"Anecdotal evidence suggests the existence of specific choke points in the global trade network revealed especially after natural disasters (e.g. hard drive components and Thailand flooding, Japanese auto components post-Fukushima, etc.). Using a highly disaggregated international trade database we assess the spillover effects of supply shocks from the import of specific goods. Our goal is to identify inherent vulnerabilities arising from the composition of a country’s import basket and to propose effective mitigation policies. First, using network analysis tools we develop a methodology for evaluating and ranking the supply fragility of individual traded goods. Next, we create a country-level measure to determine each country’s supply shock vulnerability based on the composition of their individual import baskets. This measure evaluates the potential negative supply shock spillovers from the import of each good.","ISBN":"978-1-4755-7851-5","language":"en","note":"Google-Books-ID: PmAZEAAAQBAJ","number-of-pages":"38","publisher":"International Monetary Fund","source":"Google Books","title":"Assessing the Fragility of Global Trade: The Impact of Localized Supply Shocks Using Network Analysis","title-short":"Assessing the Fragility of Global Trade","author":[{"family":"Korniyenko","given":"Ms Yevgeniya"},{"family":"Pinat","given":"Magali"},{"family":"Dew","given":"Brian"}],"issued":{"date-parts":[["2017",2,13]]}}}],"schema":"https://github.com/citation-style-language/schema/raw/master/csl-citation.json"} </w:instrText>
      </w:r>
      <w:r w:rsidR="00F04E36" w:rsidRPr="00B565C0">
        <w:rPr>
          <w:rFonts w:cs="Times New Roman"/>
          <w:szCs w:val="24"/>
        </w:rPr>
        <w:fldChar w:fldCharType="separate"/>
      </w:r>
      <w:r w:rsidR="009B7B21" w:rsidRPr="009B7B21">
        <w:rPr>
          <w:rFonts w:cs="Times New Roman"/>
          <w:szCs w:val="24"/>
        </w:rPr>
        <w:t xml:space="preserve">(Arriola </w:t>
      </w:r>
      <w:r w:rsidR="009B7B21" w:rsidRPr="009B7B21">
        <w:rPr>
          <w:rFonts w:cs="Times New Roman"/>
          <w:i/>
          <w:iCs/>
          <w:szCs w:val="24"/>
        </w:rPr>
        <w:t>et al.</w:t>
      </w:r>
      <w:r w:rsidR="009B7B21" w:rsidRPr="009B7B21">
        <w:rPr>
          <w:rFonts w:cs="Times New Roman"/>
          <w:szCs w:val="24"/>
        </w:rPr>
        <w:t>, 2020; Korniyenko, Pinat and Dew, 2017)</w:t>
      </w:r>
      <w:r w:rsidR="00F04E36" w:rsidRPr="00B565C0">
        <w:rPr>
          <w:rFonts w:cs="Times New Roman"/>
          <w:szCs w:val="24"/>
        </w:rPr>
        <w:fldChar w:fldCharType="end"/>
      </w:r>
      <w:r w:rsidR="00BA7C37" w:rsidRPr="00B565C0">
        <w:t>. The first pathway</w:t>
      </w:r>
      <w:r w:rsidR="00393440" w:rsidRPr="00B565C0">
        <w:t>/state</w:t>
      </w:r>
      <w:r w:rsidR="00BA7C37" w:rsidRPr="00B565C0">
        <w:t xml:space="preserve"> is the most favorable for the resilience of the network, while the fourth pathway</w:t>
      </w:r>
      <w:r w:rsidR="007C37A5" w:rsidRPr="00B565C0">
        <w:t>/state</w:t>
      </w:r>
      <w:r w:rsidR="00BA7C37" w:rsidRPr="00B565C0">
        <w:t xml:space="preserve"> represents </w:t>
      </w:r>
      <w:r w:rsidR="007C37A5" w:rsidRPr="00B565C0">
        <w:t>a state of low network resilience</w:t>
      </w:r>
      <w:r w:rsidR="00BA7C37" w:rsidRPr="00A039BF">
        <w:t>. The two intermediate pathways</w:t>
      </w:r>
      <w:r w:rsidR="00B24E6B">
        <w:t>/states</w:t>
      </w:r>
      <w:r w:rsidR="00BA7C37" w:rsidRPr="00A039BF">
        <w:t xml:space="preserve"> involve trade-offs between the average level of connectivity and the distribution of connectivity.</w:t>
      </w:r>
    </w:p>
    <w:p w14:paraId="1E99DCBE" w14:textId="77777777" w:rsidR="009B7B21" w:rsidRPr="00A039BF" w:rsidRDefault="009B7B21" w:rsidP="00493292"/>
    <w:p w14:paraId="7FC5E621" w14:textId="519FF27A" w:rsidR="008A07D6" w:rsidRDefault="008A07D6" w:rsidP="006052A6">
      <w:pPr>
        <w:pStyle w:val="Heading2"/>
      </w:pPr>
      <w:bookmarkStart w:id="8" w:name="_Toc145259439"/>
      <w:bookmarkStart w:id="9" w:name="_Toc145761447"/>
      <w:bookmarkStart w:id="10" w:name="_Toc145259440"/>
      <w:bookmarkStart w:id="11" w:name="_Toc145761448"/>
      <w:bookmarkStart w:id="12" w:name="_Toc145259441"/>
      <w:bookmarkStart w:id="13" w:name="_Toc145761449"/>
      <w:bookmarkStart w:id="14" w:name="_Toc145761450"/>
      <w:bookmarkEnd w:id="8"/>
      <w:bookmarkEnd w:id="9"/>
      <w:bookmarkEnd w:id="10"/>
      <w:bookmarkEnd w:id="11"/>
      <w:bookmarkEnd w:id="12"/>
      <w:bookmarkEnd w:id="13"/>
      <w:r>
        <w:t>Transmission</w:t>
      </w:r>
      <w:r w:rsidR="006052A6">
        <w:t>/propagation of shocks</w:t>
      </w:r>
      <w:bookmarkEnd w:id="14"/>
    </w:p>
    <w:p w14:paraId="22D37092" w14:textId="77777777" w:rsidR="009B7B21" w:rsidRPr="009B7B21" w:rsidRDefault="009B7B21" w:rsidP="009B7B21"/>
    <w:p w14:paraId="547F4168" w14:textId="6F730609" w:rsidR="00222D01" w:rsidRDefault="00BC1986" w:rsidP="00493292">
      <w:r w:rsidRPr="00A039BF">
        <w:t xml:space="preserve">A shock to an importer, whether bilateral, external, or internal, can directly disrupt the availability and variety of </w:t>
      </w:r>
      <w:r w:rsidR="00FF0EA5">
        <w:t>food and agricultural</w:t>
      </w:r>
      <w:r w:rsidRPr="00A039BF">
        <w:t xml:space="preserve"> products in that country. The indirect impact of such a shock can be far-reaching due to two main reasons. Firstly, production processes are often fragmented and involve multiple countries</w:t>
      </w:r>
      <w:r w:rsidR="00273272">
        <w:t xml:space="preserve"> (global value chains)</w:t>
      </w:r>
      <w:r w:rsidRPr="00A039BF">
        <w:t xml:space="preserve">. The fragmented production process means that the unavailability of a specific product or variety in an importing country can have implications for the direct partners of that country. These partners may utilize the imported products as intermediate inputs for further processing and exporting to other countries. Consequently, the availability and variety of products in other countries that depend on processed goods from the initial importers are also affected. </w:t>
      </w:r>
      <w:r w:rsidRPr="00B565C0">
        <w:t xml:space="preserve">The extent </w:t>
      </w:r>
      <w:r w:rsidR="00840E6D" w:rsidRPr="00B565C0">
        <w:t xml:space="preserve">and magnitude </w:t>
      </w:r>
      <w:r w:rsidRPr="00B565C0">
        <w:t>of</w:t>
      </w:r>
      <w:r w:rsidRPr="00A039BF">
        <w:t xml:space="preserve"> this spillover effect depends on the level of fragmentation in the production process. </w:t>
      </w:r>
      <w:r w:rsidR="00B7115F">
        <w:t>Secondly</w:t>
      </w:r>
      <w:r w:rsidRPr="00A039BF">
        <w:t>,</w:t>
      </w:r>
      <w:r w:rsidR="00B7115F">
        <w:t xml:space="preserve"> </w:t>
      </w:r>
      <w:r w:rsidR="00792285">
        <w:t xml:space="preserve">due to </w:t>
      </w:r>
      <w:r w:rsidR="00665DF8">
        <w:t xml:space="preserve">substitution and price effects </w:t>
      </w:r>
      <w:r w:rsidR="00792285">
        <w:t>shocks can even be transmitted to the trade of products that are not direc</w:t>
      </w:r>
      <w:r w:rsidR="00665DF8">
        <w:t xml:space="preserve">tly traded in global value chains. </w:t>
      </w:r>
      <w:r w:rsidRPr="00A039BF">
        <w:t xml:space="preserve">Thus, </w:t>
      </w:r>
      <w:r w:rsidR="00FC45CA">
        <w:t xml:space="preserve">shocks can cascade through the trade network </w:t>
      </w:r>
      <w:r w:rsidR="00286DE3">
        <w:t xml:space="preserve">and affect </w:t>
      </w:r>
      <w:r w:rsidRPr="00A039BF">
        <w:t xml:space="preserve">multiple countries that are </w:t>
      </w:r>
      <w:r w:rsidR="006522F1">
        <w:t xml:space="preserve">only </w:t>
      </w:r>
      <w:r w:rsidRPr="00A039BF">
        <w:t>indirectly connected to the specific importer.</w:t>
      </w:r>
    </w:p>
    <w:p w14:paraId="5CA051D4" w14:textId="77777777" w:rsidR="009B7B21" w:rsidRDefault="009B7B21" w:rsidP="00493292"/>
    <w:p w14:paraId="54C91EF5" w14:textId="044F488E" w:rsidR="00222D01" w:rsidRDefault="00222D01" w:rsidP="001D5A03">
      <w:pPr>
        <w:pStyle w:val="Heading3"/>
      </w:pPr>
      <w:bookmarkStart w:id="15" w:name="_Toc145761451"/>
      <w:r>
        <w:t>Short-run versus long-run transmission of shocks</w:t>
      </w:r>
      <w:bookmarkEnd w:id="15"/>
    </w:p>
    <w:p w14:paraId="657CC458" w14:textId="77777777" w:rsidR="009B7B21" w:rsidRPr="009B7B21" w:rsidRDefault="009B7B21" w:rsidP="009B7B21"/>
    <w:p w14:paraId="702C5C78" w14:textId="30CA7F5D" w:rsidR="007650E5" w:rsidRDefault="00B25257" w:rsidP="002B1855">
      <w:pPr>
        <w:rPr>
          <w:lang w:val="en-GB"/>
        </w:rPr>
      </w:pPr>
      <w:r w:rsidRPr="00B25257">
        <w:rPr>
          <w:lang w:val="en-GB"/>
        </w:rPr>
        <w:lastRenderedPageBreak/>
        <w:t>Examining countries' direct connectivity can reveal immediate spillover effects, impacting trading partners directly. Higher-order connectivity offer</w:t>
      </w:r>
      <w:r w:rsidR="002662EF">
        <w:rPr>
          <w:lang w:val="en-GB"/>
        </w:rPr>
        <w:t>s</w:t>
      </w:r>
      <w:r w:rsidRPr="00B25257">
        <w:rPr>
          <w:lang w:val="en-GB"/>
        </w:rPr>
        <w:t xml:space="preserve"> insights into longer-term impacts on a broader range of countries. If countries are connected to others </w:t>
      </w:r>
      <w:r w:rsidR="00DB42E3">
        <w:rPr>
          <w:lang w:val="en-GB"/>
        </w:rPr>
        <w:t>through</w:t>
      </w:r>
      <w:r w:rsidR="00DB42E3" w:rsidRPr="00B25257">
        <w:rPr>
          <w:lang w:val="en-GB"/>
        </w:rPr>
        <w:t xml:space="preserve"> </w:t>
      </w:r>
      <w:r w:rsidRPr="00B25257">
        <w:rPr>
          <w:lang w:val="en-GB"/>
        </w:rPr>
        <w:t>indirect/high</w:t>
      </w:r>
      <w:r w:rsidR="00642971">
        <w:rPr>
          <w:lang w:val="en-GB"/>
        </w:rPr>
        <w:t>er</w:t>
      </w:r>
      <w:r w:rsidR="005B4D68">
        <w:rPr>
          <w:lang w:val="en-GB"/>
        </w:rPr>
        <w:t>-</w:t>
      </w:r>
      <w:r w:rsidRPr="00B25257">
        <w:rPr>
          <w:lang w:val="en-GB"/>
        </w:rPr>
        <w:t xml:space="preserve">order trade relationships, shocks from </w:t>
      </w:r>
      <w:commentRangeStart w:id="16"/>
      <w:r w:rsidRPr="00B25257">
        <w:rPr>
          <w:lang w:val="en-GB"/>
        </w:rPr>
        <w:t>network cores</w:t>
      </w:r>
      <w:commentRangeEnd w:id="16"/>
      <w:r w:rsidR="00091AF0">
        <w:rPr>
          <w:rStyle w:val="CommentReference"/>
        </w:rPr>
        <w:commentReference w:id="16"/>
      </w:r>
      <w:r w:rsidRPr="00B25257">
        <w:rPr>
          <w:lang w:val="en-GB"/>
        </w:rPr>
        <w:t xml:space="preserve"> can propagate more easily, particularly if global value chains are disrupted across multiple countries. The spread of these shocks across the network takes longer to manifest compared to the immediate effects experienced by direct trading partners. Nevertheless, higher levels of direct and indirect connectivity mean that alternative suppliers can more readily substitute for disrupted imports, especially if only specific countries are affected. Existing trade relationships can be leveraged in such circumstances.</w:t>
      </w:r>
    </w:p>
    <w:p w14:paraId="67404824" w14:textId="77777777" w:rsidR="009B7B21" w:rsidRDefault="009B7B21" w:rsidP="002B1855">
      <w:pPr>
        <w:rPr>
          <w:lang w:val="en-GB"/>
        </w:rPr>
      </w:pPr>
    </w:p>
    <w:p w14:paraId="1C23CAA9" w14:textId="02C8638A" w:rsidR="00810398" w:rsidRDefault="00B42FF4" w:rsidP="00B27C63">
      <w:pPr>
        <w:pStyle w:val="Heading3"/>
        <w:rPr>
          <w:lang w:val="en-GB"/>
        </w:rPr>
      </w:pPr>
      <w:bookmarkStart w:id="17" w:name="_Toc145761452"/>
      <w:r>
        <w:rPr>
          <w:lang w:val="en-GB"/>
        </w:rPr>
        <w:t>Mode and magnitude</w:t>
      </w:r>
      <w:r w:rsidR="00B27C63">
        <w:rPr>
          <w:lang w:val="en-GB"/>
        </w:rPr>
        <w:t xml:space="preserve"> of shocks propagation</w:t>
      </w:r>
      <w:bookmarkEnd w:id="17"/>
    </w:p>
    <w:p w14:paraId="56E74B5E" w14:textId="77777777" w:rsidR="009B7B21" w:rsidRPr="009B7B21" w:rsidRDefault="009B7B21" w:rsidP="009B7B21">
      <w:pPr>
        <w:rPr>
          <w:lang w:val="en-GB"/>
        </w:rPr>
      </w:pPr>
    </w:p>
    <w:p w14:paraId="1125DD26" w14:textId="7B5FDFD9" w:rsidR="00B768B6" w:rsidRDefault="008670FB" w:rsidP="002B1855">
      <w:pPr>
        <w:rPr>
          <w:lang w:val="en-GB"/>
        </w:rPr>
      </w:pPr>
      <w:r w:rsidRPr="008670FB">
        <w:rPr>
          <w:lang w:val="en-GB"/>
        </w:rPr>
        <w:t xml:space="preserve">Beyond the </w:t>
      </w:r>
      <w:r w:rsidR="00FA6E04">
        <w:rPr>
          <w:lang w:val="en-GB"/>
        </w:rPr>
        <w:t>large-scale</w:t>
      </w:r>
      <w:r w:rsidRPr="008670FB">
        <w:rPr>
          <w:lang w:val="en-GB"/>
        </w:rPr>
        <w:t xml:space="preserve"> distribution of </w:t>
      </w:r>
      <w:r w:rsidR="007408A9">
        <w:rPr>
          <w:lang w:val="en-GB"/>
        </w:rPr>
        <w:t xml:space="preserve">direct and indirect </w:t>
      </w:r>
      <w:r w:rsidRPr="008670FB">
        <w:rPr>
          <w:lang w:val="en-GB"/>
        </w:rPr>
        <w:t xml:space="preserve">connectivity, </w:t>
      </w:r>
      <w:r w:rsidR="00FA6E04">
        <w:rPr>
          <w:lang w:val="en-GB"/>
        </w:rPr>
        <w:t xml:space="preserve">the mode </w:t>
      </w:r>
      <w:r w:rsidR="00B94802">
        <w:rPr>
          <w:lang w:val="en-GB"/>
        </w:rPr>
        <w:t xml:space="preserve">and density </w:t>
      </w:r>
      <w:r w:rsidR="00FA6E04">
        <w:rPr>
          <w:lang w:val="en-GB"/>
        </w:rPr>
        <w:t xml:space="preserve">of </w:t>
      </w:r>
      <w:r w:rsidR="00B94802">
        <w:rPr>
          <w:lang w:val="en-GB"/>
        </w:rPr>
        <w:t xml:space="preserve">connectivity among smaller </w:t>
      </w:r>
      <w:r w:rsidR="00A90AE8">
        <w:rPr>
          <w:lang w:val="en-GB"/>
        </w:rPr>
        <w:t xml:space="preserve">agglomerations </w:t>
      </w:r>
      <w:r w:rsidR="00F072C9">
        <w:rPr>
          <w:lang w:val="en-GB"/>
        </w:rPr>
        <w:t xml:space="preserve">of countries is important as they can </w:t>
      </w:r>
      <w:r w:rsidR="00381FBA">
        <w:rPr>
          <w:lang w:val="en-GB"/>
        </w:rPr>
        <w:t>accelerate or decelerate shock transmission</w:t>
      </w:r>
      <w:r w:rsidR="001D7503">
        <w:rPr>
          <w:lang w:val="en-GB"/>
        </w:rPr>
        <w:t xml:space="preserve">. </w:t>
      </w:r>
      <w:r w:rsidR="001603B7">
        <w:rPr>
          <w:lang w:val="en-GB"/>
        </w:rPr>
        <w:t xml:space="preserve">For example, the mode of connectivity in formations of </w:t>
      </w:r>
      <w:r w:rsidR="001603B7" w:rsidRPr="008670FB">
        <w:rPr>
          <w:lang w:val="en-GB"/>
        </w:rPr>
        <w:t>bilateral and triadic</w:t>
      </w:r>
      <w:r w:rsidR="001603B7">
        <w:rPr>
          <w:lang w:val="en-GB"/>
        </w:rPr>
        <w:t xml:space="preserve"> trade relationships may </w:t>
      </w:r>
      <w:r w:rsidR="00016455">
        <w:rPr>
          <w:lang w:val="en-GB"/>
        </w:rPr>
        <w:t>affect shock</w:t>
      </w:r>
      <w:r w:rsidR="00C51572">
        <w:rPr>
          <w:lang w:val="en-GB"/>
        </w:rPr>
        <w:t xml:space="preserve"> propa</w:t>
      </w:r>
      <w:r w:rsidR="001D7503">
        <w:rPr>
          <w:lang w:val="en-GB"/>
        </w:rPr>
        <w:t>g</w:t>
      </w:r>
      <w:r w:rsidR="00C51572">
        <w:rPr>
          <w:lang w:val="en-GB"/>
        </w:rPr>
        <w:t>ation</w:t>
      </w:r>
      <w:r w:rsidR="00381FBA">
        <w:rPr>
          <w:lang w:val="en-GB"/>
        </w:rPr>
        <w:t xml:space="preserve">. </w:t>
      </w:r>
      <w:r w:rsidRPr="008670FB">
        <w:rPr>
          <w:lang w:val="en-GB"/>
        </w:rPr>
        <w:t xml:space="preserve">In a one-way direct trade relationship (asymmetric bilateral trade relationships), as opposed to a two-way direct trade relationship (mutual trade relationship), </w:t>
      </w:r>
      <w:commentRangeStart w:id="18"/>
      <w:r w:rsidRPr="00AF427F">
        <w:rPr>
          <w:highlight w:val="yellow"/>
          <w:lang w:val="en-GB"/>
        </w:rPr>
        <w:t xml:space="preserve">a local shock </w:t>
      </w:r>
      <w:r w:rsidR="00F5391D">
        <w:rPr>
          <w:highlight w:val="yellow"/>
          <w:lang w:val="en-GB"/>
        </w:rPr>
        <w:t xml:space="preserve">would </w:t>
      </w:r>
      <w:r w:rsidR="0035174C">
        <w:rPr>
          <w:highlight w:val="yellow"/>
          <w:lang w:val="en-GB"/>
        </w:rPr>
        <w:t>transmit</w:t>
      </w:r>
      <w:r w:rsidR="00F5391D">
        <w:rPr>
          <w:highlight w:val="yellow"/>
          <w:lang w:val="en-GB"/>
        </w:rPr>
        <w:t xml:space="preserve"> from the exporter to the importer</w:t>
      </w:r>
      <w:r w:rsidR="007F5131">
        <w:rPr>
          <w:highlight w:val="yellow"/>
          <w:lang w:val="en-GB"/>
        </w:rPr>
        <w:t xml:space="preserve"> but without repercussions back to the exporter as could be implied in a two-way direct trade relationship. </w:t>
      </w:r>
      <w:r w:rsidRPr="008670FB">
        <w:rPr>
          <w:lang w:val="en-GB"/>
        </w:rPr>
        <w:t>In triad</w:t>
      </w:r>
      <w:r w:rsidR="00A84644">
        <w:rPr>
          <w:lang w:val="en-GB"/>
        </w:rPr>
        <w:t>ic</w:t>
      </w:r>
      <w:r w:rsidRPr="008670FB">
        <w:rPr>
          <w:lang w:val="en-GB"/>
        </w:rPr>
        <w:t xml:space="preserve"> trade relationships, the magnitude of propagation depends on the different types of trade relationships between the three parties. </w:t>
      </w:r>
      <w:r w:rsidR="00E16997">
        <w:rPr>
          <w:lang w:val="en-GB"/>
        </w:rPr>
        <w:t>T</w:t>
      </w:r>
      <w:r w:rsidRPr="008670FB">
        <w:rPr>
          <w:lang w:val="en-GB"/>
        </w:rPr>
        <w:t xml:space="preserve">he more transitive (interconnected) the trade relationships are, the higher the </w:t>
      </w:r>
      <w:r w:rsidR="00175E68">
        <w:rPr>
          <w:lang w:val="en-GB"/>
        </w:rPr>
        <w:t>(self-)</w:t>
      </w:r>
      <w:r w:rsidRPr="008670FB">
        <w:rPr>
          <w:lang w:val="en-GB"/>
        </w:rPr>
        <w:t xml:space="preserve">propagation of the shock within that specific network locality, </w:t>
      </w:r>
      <w:r w:rsidR="00AF5B9C">
        <w:rPr>
          <w:lang w:val="en-GB"/>
        </w:rPr>
        <w:t xml:space="preserve">probably </w:t>
      </w:r>
      <w:r w:rsidRPr="008670FB">
        <w:rPr>
          <w:lang w:val="en-GB"/>
        </w:rPr>
        <w:t>resulting in a st</w:t>
      </w:r>
      <w:r w:rsidR="00617354">
        <w:rPr>
          <w:lang w:val="en-GB"/>
        </w:rPr>
        <w:t>r</w:t>
      </w:r>
      <w:r w:rsidRPr="008670FB">
        <w:rPr>
          <w:lang w:val="en-GB"/>
        </w:rPr>
        <w:t>onger impact on the rest of the network.</w:t>
      </w:r>
      <w:commentRangeEnd w:id="18"/>
      <w:r w:rsidR="00F273C6">
        <w:rPr>
          <w:rStyle w:val="CommentReference"/>
        </w:rPr>
        <w:commentReference w:id="18"/>
      </w:r>
      <w:r w:rsidRPr="008670FB">
        <w:rPr>
          <w:lang w:val="en-GB"/>
        </w:rPr>
        <w:t xml:space="preserve"> </w:t>
      </w:r>
    </w:p>
    <w:p w14:paraId="507B066B" w14:textId="3B2AC596" w:rsidR="006C760C" w:rsidRDefault="00A10A81" w:rsidP="002B1855">
      <w:pPr>
        <w:rPr>
          <w:lang w:val="en-GB"/>
        </w:rPr>
      </w:pPr>
      <w:commentRangeStart w:id="19"/>
      <w:r>
        <w:rPr>
          <w:highlight w:val="yellow"/>
          <w:lang w:val="en-GB"/>
        </w:rPr>
        <w:t>In a pronounced</w:t>
      </w:r>
      <w:r w:rsidR="003A5FEC" w:rsidRPr="00AF427F">
        <w:rPr>
          <w:highlight w:val="yellow"/>
          <w:lang w:val="en-GB"/>
        </w:rPr>
        <w:t xml:space="preserve"> core-periphery structure of the network</w:t>
      </w:r>
      <w:r w:rsidR="00E655C7">
        <w:rPr>
          <w:highlight w:val="yellow"/>
          <w:lang w:val="en-GB"/>
        </w:rPr>
        <w:t>, shocks from major hubs can transmit to the periphery</w:t>
      </w:r>
      <w:r w:rsidR="003A5FEC" w:rsidRPr="00AF427F">
        <w:rPr>
          <w:highlight w:val="yellow"/>
          <w:lang w:val="en-GB"/>
        </w:rPr>
        <w:t xml:space="preserve"> and identifying the major hubs within it, we can gain insights into the potential impact of shocks originating from specific regions or countries (This is already repeated in the result section).</w:t>
      </w:r>
      <w:commentRangeEnd w:id="19"/>
      <w:r w:rsidR="002A2BC6">
        <w:rPr>
          <w:rStyle w:val="CommentReference"/>
        </w:rPr>
        <w:commentReference w:id="19"/>
      </w:r>
    </w:p>
    <w:p w14:paraId="2DE41439" w14:textId="77777777" w:rsidR="00B94E97" w:rsidRDefault="00B94E97" w:rsidP="00222D01"/>
    <w:p w14:paraId="47A8621D" w14:textId="2465D289" w:rsidR="00222D01" w:rsidRDefault="001D5A03" w:rsidP="00B94E97">
      <w:pPr>
        <w:pStyle w:val="Heading2"/>
      </w:pPr>
      <w:bookmarkStart w:id="20" w:name="_Toc145761453"/>
      <w:r>
        <w:t>Diversity and intensity of trade (e</w:t>
      </w:r>
      <w:r w:rsidR="00B94E97">
        <w:t>xtensive versus intensive margin</w:t>
      </w:r>
      <w:r>
        <w:t>)</w:t>
      </w:r>
      <w:bookmarkEnd w:id="20"/>
    </w:p>
    <w:p w14:paraId="4CEE2EDC" w14:textId="77777777" w:rsidR="009B7B21" w:rsidRPr="009B7B21" w:rsidRDefault="009B7B21" w:rsidP="009B7B21"/>
    <w:p w14:paraId="225D0086" w14:textId="3B7AD6F5" w:rsidR="002D15A5" w:rsidRDefault="00484DB9" w:rsidP="00106F43">
      <w:r w:rsidRPr="00484DB9">
        <w:t>The concept of the extensive margin of trade refers to the diversity of trade in terms of the number of trading partners and the range of products exchanged. A higher level of diversity on the extensive margin indicates that a country has numerous trading partners and engages in</w:t>
      </w:r>
      <w:r w:rsidR="00077EF2">
        <w:t xml:space="preserve"> trade of</w:t>
      </w:r>
      <w:r w:rsidRPr="00484DB9">
        <w:t xml:space="preserve"> a wide array of products, thereby expanding its trade network. </w:t>
      </w:r>
      <w:r w:rsidR="007B583D">
        <w:t>T</w:t>
      </w:r>
      <w:r w:rsidRPr="00484DB9">
        <w:t>he intensive margin of trade focuses on the volume</w:t>
      </w:r>
      <w:r w:rsidR="00FE0CA9">
        <w:t>/value</w:t>
      </w:r>
      <w:r w:rsidRPr="00484DB9">
        <w:t xml:space="preserve"> of goods exchanged between trading partners. An increase in the intensive margin signifies a larger volume</w:t>
      </w:r>
      <w:commentRangeStart w:id="21"/>
      <w:r w:rsidR="00FE0CA9">
        <w:t>/value</w:t>
      </w:r>
      <w:commentRangeEnd w:id="21"/>
      <w:r w:rsidR="001039BE">
        <w:rPr>
          <w:rStyle w:val="CommentReference"/>
        </w:rPr>
        <w:commentReference w:id="21"/>
      </w:r>
      <w:r w:rsidRPr="00484DB9">
        <w:t xml:space="preserve"> of goods being traded between countries, reflecting a deeper level of trade integration.</w:t>
      </w:r>
      <w:r w:rsidR="000B7834">
        <w:t xml:space="preserve"> </w:t>
      </w:r>
      <w:r w:rsidR="008C3D48">
        <w:t xml:space="preserve">In general, </w:t>
      </w:r>
      <w:r w:rsidR="0047769F">
        <w:t xml:space="preserve">a greater diversity of trade partners and products traded </w:t>
      </w:r>
      <w:r w:rsidR="00BE3BA1">
        <w:t xml:space="preserve">would </w:t>
      </w:r>
      <w:r w:rsidR="00A04AB4">
        <w:t xml:space="preserve">avoid dependencies on trade with few partners </w:t>
      </w:r>
      <w:r w:rsidR="00274A5B">
        <w:t xml:space="preserve">of few products but at a high intensity. However, there </w:t>
      </w:r>
      <w:r w:rsidR="00C32825">
        <w:t xml:space="preserve">will be trade-offs between efficiency </w:t>
      </w:r>
      <w:r w:rsidR="003104B6">
        <w:t xml:space="preserve">gains based on specialization and resilience based on diversification </w:t>
      </w:r>
      <w:r w:rsidR="00E676D5" w:rsidRPr="000A7CB6">
        <w:fldChar w:fldCharType="begin"/>
      </w:r>
      <w:r w:rsidR="0060464F">
        <w:instrText xml:space="preserve"> ADDIN ZOTERO_ITEM CSL_CITATION {"citationID":"VjPv7OYP","properties":{"formattedCitation":"(Karakoc and Konar, 2021)","plainCitation":"(Karakoc and Konar, 2021)","noteIndex":0},"citationItems":[{"id":"1qXGYDro/l8XrE3p6","uris":["http://zotero.org/users/203136/items/B6MUJTAI"],"itemData":{"id":44,"type":"article-journal","abstract":"Global food trade is crucial for food security and availability. Trade is typically optimized to promote efficiency, whereas resilience is increasingly being recognized as another important objective. However, it is not clear if prioritizing resilience comes at the expense of efficiency or if the two objectives can be promoted simultaneously. We develop a complex network framework to assess the relationship between efficiency and resilience of food trade for the last half century. There is a competitive relationship between efficiency and resilience when only network topology is considered. However, a cooperative relationship between efficiency and resilience exists when the intensity of trade connections is accounted for. Policy makers can use this framework to evaluate the relationship between efficiency and resilience in critical supply chains.","container-title":"Environmental Research Letters","DOI":"10.1088/1748-9326/ac1a9b","ISSN":"1748-9326","issue":"10","journalAbbreviation":"Environ. Res. Lett.","language":"en","note":"publisher: IOP Publishing","page":"105003","source":"Institute of Physics","title":"A complex network framework for the efficiency and resilience trade-off in global food trade","volume":"16","author":[{"family":"Karakoc","given":"Deniz Berfin"},{"family":"Konar","given":"Megan"}],"issued":{"date-parts":[["2021",9]]}}}],"schema":"https://github.com/citation-style-language/schema/raw/master/csl-citation.json"} </w:instrText>
      </w:r>
      <w:r w:rsidR="00E676D5" w:rsidRPr="000A7CB6">
        <w:fldChar w:fldCharType="separate"/>
      </w:r>
      <w:r w:rsidR="00524117" w:rsidRPr="00524117">
        <w:t>(Karakoc and Konar, 2021)</w:t>
      </w:r>
      <w:r w:rsidR="00E676D5" w:rsidRPr="000A7CB6">
        <w:fldChar w:fldCharType="end"/>
      </w:r>
      <w:r w:rsidR="003104B6">
        <w:t xml:space="preserve">. </w:t>
      </w:r>
    </w:p>
    <w:p w14:paraId="642D7B52" w14:textId="761D0A12" w:rsidR="002A79C5" w:rsidRDefault="002A79C5" w:rsidP="005F1FBD"/>
    <w:p w14:paraId="33B485D8" w14:textId="77777777" w:rsidR="002A79C5" w:rsidRDefault="002A79C5" w:rsidP="005F1FBD"/>
    <w:p w14:paraId="61E8ECFD" w14:textId="51F7077A" w:rsidR="005F1FBD" w:rsidRDefault="00FB5789" w:rsidP="00451318">
      <w:pPr>
        <w:pStyle w:val="Heading1"/>
      </w:pPr>
      <w:bookmarkStart w:id="22" w:name="_Toc145761454"/>
      <w:r>
        <w:t>Materials and methods</w:t>
      </w:r>
      <w:bookmarkEnd w:id="22"/>
    </w:p>
    <w:p w14:paraId="0CE6ABBD" w14:textId="40449053" w:rsidR="00D4127E" w:rsidRDefault="00D4127E" w:rsidP="00B565C0"/>
    <w:p w14:paraId="5B31A098" w14:textId="73537D47" w:rsidR="00D4127E" w:rsidRDefault="00D4127E" w:rsidP="00B565C0"/>
    <w:p w14:paraId="64F9FA56" w14:textId="77777777" w:rsidR="00D4127E" w:rsidRPr="00683A6C" w:rsidRDefault="00D4127E" w:rsidP="00B565C0"/>
    <w:p w14:paraId="08B3E3D9" w14:textId="775A9F92" w:rsidR="00A92D4B" w:rsidRDefault="005C26FA" w:rsidP="005C26FA">
      <w:pPr>
        <w:spacing w:line="240" w:lineRule="auto"/>
        <w:jc w:val="both"/>
      </w:pPr>
      <w:r>
        <w:t>Our approach to address the multidimensional aspects of resilience primarily involves analyzing the connectivity and structural facets of trade networks. This analysis relies on various measures derived from network theory, considering both direct and indirect (2nd and higher) orders of interdependencies among countries, as well as the structure of these connections.</w:t>
      </w:r>
    </w:p>
    <w:p w14:paraId="36560EBC" w14:textId="77777777" w:rsidR="005C26FA" w:rsidRDefault="005C26FA" w:rsidP="005C26FA">
      <w:pPr>
        <w:pStyle w:val="NormalWeb"/>
        <w:rPr>
          <w:rStyle w:val="u-font-serif"/>
        </w:rPr>
      </w:pPr>
      <w:r w:rsidRPr="005C26FA">
        <w:rPr>
          <w:rFonts w:ascii="Cambria" w:eastAsiaTheme="minorHAnsi" w:hAnsi="Cambria" w:cstheme="minorBidi"/>
          <w:sz w:val="22"/>
          <w:szCs w:val="22"/>
        </w:rPr>
        <w:t>We evaluate both direct connectivity between countries and their indirect connectivity. Indirect connectivity is assessed through second-order and eigenvector measures.</w:t>
      </w:r>
      <w:r>
        <w:rPr>
          <w:rFonts w:ascii="Cambria" w:eastAsiaTheme="minorHAnsi" w:hAnsi="Cambria" w:cstheme="minorBidi"/>
          <w:sz w:val="22"/>
          <w:szCs w:val="22"/>
        </w:rPr>
        <w:t xml:space="preserve"> </w:t>
      </w:r>
      <w:r w:rsidRPr="005C26FA">
        <w:rPr>
          <w:rFonts w:ascii="Cambria" w:eastAsiaTheme="minorHAnsi" w:hAnsi="Cambria" w:cstheme="minorBidi"/>
          <w:sz w:val="22"/>
          <w:szCs w:val="22"/>
        </w:rPr>
        <w:t>Direct connectivity pertains to a country's connections with its immediate trading partners. Second-order connectivity relates to a country's connections with the trading partners of their direct partners (the connections of their partners' partners). Meanwhile, eigenvector connectivity represents a country's connections to the entire network, serving as a measure of its influence within the network. The average of country-level connectivity measures, while maintaining a constant network size, provides a global connectivity measure.</w:t>
      </w:r>
      <w:r w:rsidR="00492CC8" w:rsidRPr="0060464F">
        <w:rPr>
          <w:rStyle w:val="FootnoteReference"/>
        </w:rPr>
        <w:footnoteReference w:id="2"/>
      </w:r>
      <w:r w:rsidR="00492CC8">
        <w:rPr>
          <w:rStyle w:val="u-font-serif"/>
        </w:rPr>
        <w:t xml:space="preserve"> </w:t>
      </w:r>
    </w:p>
    <w:p w14:paraId="4C5F79EF" w14:textId="6C5C1767" w:rsidR="00766806" w:rsidRPr="005C26FA" w:rsidRDefault="005C26FA" w:rsidP="005C26FA">
      <w:pPr>
        <w:pStyle w:val="NormalWeb"/>
        <w:rPr>
          <w:rFonts w:ascii="Cambria" w:eastAsiaTheme="minorHAnsi" w:hAnsi="Cambria" w:cstheme="minorBidi"/>
          <w:sz w:val="22"/>
          <w:szCs w:val="22"/>
        </w:rPr>
      </w:pPr>
      <w:r>
        <w:t xml:space="preserve">To gather information on the distribution of connectivity across countries worldwide, we employ various measures to assess the distribution's characteristics. One frequently used measure of distribution heterogeneity, showing the thickness or heaviness of the tail of the distribution, is the percentage of out-of-interval observations </w:t>
      </w:r>
      <w:r w:rsidR="00524117">
        <w:fldChar w:fldCharType="begin"/>
      </w:r>
      <w:r w:rsidR="0060464F">
        <w:instrText xml:space="preserve"> ADDIN ZOTERO_ITEM CSL_CITATION {"citationID":"xe9Kc98S","properties":{"formattedCitation":"(Sartori and Schiavo, 2015)","plainCitation":"(Sartori and Schiavo, 2015)","noteIndex":0},"citationItems":[{"id":"1qXGYDro/yLQbwru8","uris":["http://zotero.org/users/203136/items/ZTJKRYTM"],"itemData":{"id":"AMrn2D5k/JpVtYi3g","type":"article-journal","abstract":"We analyze the link between virtual water trade, that is, the flow of water embodied in the international trade of agricultural goods, and vulnerability to external shocks from the vantage point of network analysis. While a large body of work has shown that virtual water trade can enhance water saving on a global scale, being especially beneficial to arid countries, there are increasing concerns that openness makes countries more dependent on foreign food suppliers and, in this way, more prone to external shocks. Our evidence reveals that the increased globalization witnessed in the last three decades is not associated with the increased frequency of adverse shocks (in food production). Furthermore, building on recent advances in network analysis that connect the stability of a complex system to its topological features, we find that the world is more interconnected, but not necessarily less stable.","container-title":"Food Policy","DOI":"10.1016/j.foodpol.2015.10.004","ISSN":"0306-9192","journalAbbreviation":"Food Policy","language":"en","page":"114-127","source":"ScienceDirect","title":"Connected we stand: A network perspective on trade and global food security","title-short":"Connected we stand","volume":"57","author":[{"family":"Sartori","given":"Martina"},{"family":"Schiavo","given":"Stefano"}],"issued":{"date-parts":[["2015",11,1]]}}}],"schema":"https://github.com/citation-style-language/schema/raw/master/csl-citation.json"} </w:instrText>
      </w:r>
      <w:r w:rsidR="00524117">
        <w:fldChar w:fldCharType="separate"/>
      </w:r>
      <w:r w:rsidR="00524117" w:rsidRPr="00524117">
        <w:t>(Sartori and Schiavo, 2015)</w:t>
      </w:r>
      <w:r w:rsidR="00524117">
        <w:fldChar w:fldCharType="end"/>
      </w:r>
      <w:r w:rsidR="00524117">
        <w:t xml:space="preserve"> </w:t>
      </w:r>
      <w:r>
        <w:t xml:space="preserve">calculated around the mean ± double standard deviation. Moreover, skewness and kurtosis statistics offer insights into the shape of the distribution. Skewness reflects the distribution's asymmetry concerning the symmetric bell-shaped Gaussian (normal) distribution. In a normal distribution, skewness holds a value of zero. Positive (negative) skewness indicates right (left) fat tails. A larger absolute value denotes higher skewness. Kurtosis measures how the data clusters around the tails or the peak compared to a normal distribution. A kurtosis lower than the reference level for a Gaussian distribution (which is 3) suggests the presence of a thin tail. The obesity index, proposed by </w:t>
      </w:r>
      <w:r w:rsidR="00524117">
        <w:fldChar w:fldCharType="begin"/>
      </w:r>
      <w:r w:rsidR="00524117">
        <w:instrText xml:space="preserve"> ADDIN ZOTERO_ITEM CSL_CITATION {"citationID":"W1hazIgL","properties":{"formattedCitation":"(Cooke, Nieboer and Misiewicz, 2014)","plainCitation":"(Cooke, Nieboer and Misiewicz, 2014)","noteIndex":0},"citationItems":[{"id":27,"uris":["http://zotero.org/users/12902950/items/US856U9F"],"itemData":{"id":27,"type":"book","abstract":"This title is written for the numerate nonspecialist, and hopes to serve three purposes. First it gathers mathematical material from diverse but related fields of order statistics, records, extreme value theory, majorization, regular variation and subexponentiality. All of these are relevant for understanding fat tails, but they are not, to our knowledge, brought together in a single source for the target readership. Proofs that give insight are included, but for most fussy calculations the reader is referred to the excellent sources referenced in the text. Multivariate extremes are not treated. This allows us to present material spread over hundreds of pages in specialist texts in twenty pages. Chapter 5 develops new material on heavy tail diagnostics and gives more mathematical detail. Since variances and covariances may not exist for heavy tailed joint distributions, Chapter 6 reviews dependence concepts for certain classes of heavy tailed joint distributions, with a view to regressing heavy tailed variables. Second, it presents a new measure of obesity. The most popular definitions in terms of regular variation and subexponentiality invoke putative properties that hold at infinity, and this complicates any empirical estimate. Each definition captures some but not all of the intuitions associated with tail heaviness. Chapter 5 studies two candidate indices of tail heaviness based on the tendency of the mean excess plot to collapse as data are aggregated. The probability that the largest value is more than twice the second largest has intuitive appeal but its estimator has very poor accuracy. The Obesity index is defined for a positive random variable X as: Ob(X) = P (X1 +X4 &gt; X2 +X3|X1 ≤ X2 ≤ X3 ≤ X4), Xi independent copies of X. For empirical distributions, obesity is defined by bootstrapping. This index reasonably captures intuitions of tail heaviness. Among its properties, if α &gt; 1 then Ob(X) Ob(Xα). However, it does not completely mimic the tail index of regularly varying distributions, or the extreme value index. A Weibull distribution with shape 1/4 is more obese than a Pareto distribution with tail index 1, even though this Pareto has infinite mean and the Weibull’s moments are all finite. Chapter 5 explores properties of the Obesity index.Third and most important, we hope to convince the reader that fat tail phenomena pose real problems; they are really out there and they seriously challenge our usual ways of thinking about historical averages, outliers, trends, regression coefficients and confidence bounds among many other things. Data on flood insurance claims, crop loss claims, hospital discharge bills, precipitation and damages and fatalities from natural catastrophes drive this point home. While most fat tailed distributions are ”bad”, research in fat tails is one distribution whose tail will hopefully get fatter.","ISBN":"978-1-119-05412-2","language":"en","note":"Google-Books-ID: DbpYBQAAQBAJ","number-of-pages":"138","publisher":"John Wiley &amp; Sons","source":"Google Books","title":"Fat-Tailed Distributions: Data, Diagnostics and Dependence, Volume 1","title-short":"Fat-Tailed Distributions","author":[{"family":"Cooke","given":"Roger M."},{"family":"Nieboer","given":"Daan"},{"family":"Misiewicz","given":"Jolanta"}],"issued":{"date-parts":[["2014",11,11]]}}}],"schema":"https://github.com/citation-style-language/schema/raw/master/csl-citation.json"} </w:instrText>
      </w:r>
      <w:r w:rsidR="00524117">
        <w:fldChar w:fldCharType="separate"/>
      </w:r>
      <w:r w:rsidR="00524117" w:rsidRPr="00524117">
        <w:t>(Cooke, Nieboer and Misiewicz, 2014)</w:t>
      </w:r>
      <w:r w:rsidR="00524117">
        <w:fldChar w:fldCharType="end"/>
      </w:r>
      <w:r w:rsidR="00524117">
        <w:t xml:space="preserve"> </w:t>
      </w:r>
      <w:r>
        <w:t xml:space="preserve">provides additional insights into the tail behavior of the distribution. It operates on the heuristic that in heavy-tailed distributions, larger observations are farther apart than smaller ones. Considering individual centrality measures </w:t>
      </w:r>
      <m:oMath>
        <m:d>
          <m:dPr>
            <m:begChr m:val="{"/>
            <m:endChr m:val="}"/>
            <m:ctrlPr>
              <w:rPr>
                <w:rFonts w:ascii="Cambria Math" w:hAnsi="Cambria Math"/>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3</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4</m:t>
                </m:r>
              </m:sub>
            </m:sSub>
          </m:e>
        </m:d>
      </m:oMath>
      <w:r w:rsidRPr="005F7E4D">
        <w:rPr>
          <w:rFonts w:eastAsiaTheme="minorEastAsia"/>
          <w:lang w:val="en-GB"/>
        </w:rPr>
        <w:t xml:space="preserve"> </w:t>
      </w:r>
      <w:r>
        <w:t xml:space="preserve"> as independent and identically distributed values sampled randomly from the data, the Obesity index is the probability that the sum of the largest and smallest of the four observations is greater than the sum of the other two observations.</w:t>
      </w:r>
      <w:r w:rsidRPr="0060464F">
        <w:rPr>
          <w:rStyle w:val="FootnoteReference"/>
        </w:rPr>
        <w:footnoteReference w:id="3"/>
      </w:r>
    </w:p>
    <w:tbl>
      <w:tblPr>
        <w:tblStyle w:val="TableGrid"/>
        <w:tblW w:w="5000" w:type="pct"/>
        <w:tblLook w:val="04A0" w:firstRow="1" w:lastRow="0" w:firstColumn="1" w:lastColumn="0" w:noHBand="0" w:noVBand="1"/>
      </w:tblPr>
      <w:tblGrid>
        <w:gridCol w:w="3189"/>
        <w:gridCol w:w="1720"/>
        <w:gridCol w:w="2035"/>
        <w:gridCol w:w="2632"/>
      </w:tblGrid>
      <w:tr w:rsidR="00316EDD" w14:paraId="19BB79BB" w14:textId="25F6F63D" w:rsidTr="00961BC3">
        <w:tc>
          <w:tcPr>
            <w:tcW w:w="3114" w:type="dxa"/>
          </w:tcPr>
          <w:p w14:paraId="4BD1C177" w14:textId="07695338" w:rsidR="00942FBF" w:rsidRPr="005C26FA" w:rsidRDefault="00942FBF" w:rsidP="00942FBF">
            <w:pPr>
              <w:rPr>
                <w:b/>
                <w:bCs/>
                <w:lang w:val="en-GB"/>
              </w:rPr>
            </w:pPr>
            <w:r w:rsidRPr="005C26FA">
              <w:rPr>
                <w:b/>
                <w:bCs/>
                <w:lang w:val="en-GB"/>
              </w:rPr>
              <w:lastRenderedPageBreak/>
              <w:t>Connectvity measures</w:t>
            </w:r>
          </w:p>
        </w:tc>
        <w:tc>
          <w:tcPr>
            <w:tcW w:w="1679" w:type="dxa"/>
          </w:tcPr>
          <w:p w14:paraId="48F7CE51" w14:textId="2682A634" w:rsidR="00942FBF" w:rsidRPr="005C26FA" w:rsidRDefault="00942FBF" w:rsidP="00942FBF">
            <w:pPr>
              <w:rPr>
                <w:b/>
                <w:bCs/>
                <w:lang w:val="en-GB"/>
              </w:rPr>
            </w:pPr>
            <w:r>
              <w:rPr>
                <w:b/>
                <w:bCs/>
                <w:lang w:val="en-GB"/>
              </w:rPr>
              <w:t>Level of aggregation</w:t>
            </w:r>
          </w:p>
        </w:tc>
        <w:tc>
          <w:tcPr>
            <w:tcW w:w="1987" w:type="dxa"/>
          </w:tcPr>
          <w:p w14:paraId="7871EF89" w14:textId="3E55C74A" w:rsidR="00942FBF" w:rsidRDefault="00942FBF" w:rsidP="00942FBF">
            <w:pPr>
              <w:rPr>
                <w:b/>
                <w:bCs/>
                <w:lang w:val="en-GB"/>
              </w:rPr>
            </w:pPr>
            <w:r>
              <w:rPr>
                <w:b/>
                <w:bCs/>
                <w:lang w:val="en-GB"/>
              </w:rPr>
              <w:t xml:space="preserve">Structure used to analyse </w:t>
            </w:r>
            <w:r w:rsidR="005C26FA">
              <w:rPr>
                <w:b/>
                <w:bCs/>
                <w:lang w:val="en-GB"/>
              </w:rPr>
              <w:t xml:space="preserve">global </w:t>
            </w:r>
            <w:r>
              <w:rPr>
                <w:b/>
                <w:bCs/>
                <w:lang w:val="en-GB"/>
              </w:rPr>
              <w:t>resilience</w:t>
            </w:r>
          </w:p>
        </w:tc>
        <w:tc>
          <w:tcPr>
            <w:tcW w:w="2570" w:type="dxa"/>
          </w:tcPr>
          <w:p w14:paraId="65B2DC54" w14:textId="1648E297" w:rsidR="00942FBF" w:rsidRPr="005C26FA" w:rsidRDefault="00316EDD" w:rsidP="00961BC3">
            <w:pPr>
              <w:rPr>
                <w:b/>
                <w:bCs/>
                <w:lang w:val="en-GB"/>
              </w:rPr>
            </w:pPr>
            <w:r>
              <w:rPr>
                <w:b/>
                <w:bCs/>
                <w:lang w:val="en-GB"/>
              </w:rPr>
              <w:t>Temporal dimention of resileince</w:t>
            </w:r>
          </w:p>
        </w:tc>
      </w:tr>
      <w:tr w:rsidR="00316EDD" w14:paraId="6B9D1AA2" w14:textId="61B38423" w:rsidTr="00961BC3">
        <w:tc>
          <w:tcPr>
            <w:tcW w:w="3114" w:type="dxa"/>
          </w:tcPr>
          <w:p w14:paraId="4839AE09" w14:textId="4F9ACF40" w:rsidR="00942FBF" w:rsidRDefault="00942FBF" w:rsidP="00942FBF">
            <w:pPr>
              <w:rPr>
                <w:lang w:val="en-GB"/>
              </w:rPr>
            </w:pPr>
            <w:r>
              <w:rPr>
                <w:lang w:val="en-GB"/>
              </w:rPr>
              <w:t>Direct connectivity</w:t>
            </w:r>
          </w:p>
        </w:tc>
        <w:tc>
          <w:tcPr>
            <w:tcW w:w="1679" w:type="dxa"/>
          </w:tcPr>
          <w:p w14:paraId="67D66476" w14:textId="71FEC8AE" w:rsidR="00942FBF" w:rsidRDefault="00942FBF">
            <w:pPr>
              <w:rPr>
                <w:lang w:val="en-GB"/>
              </w:rPr>
            </w:pPr>
            <w:r>
              <w:rPr>
                <w:lang w:val="en-GB"/>
              </w:rPr>
              <w:t>Country and Global level</w:t>
            </w:r>
          </w:p>
        </w:tc>
        <w:tc>
          <w:tcPr>
            <w:tcW w:w="1987" w:type="dxa"/>
          </w:tcPr>
          <w:p w14:paraId="6EC2461A" w14:textId="48024AA7" w:rsidR="00942FBF" w:rsidRDefault="00942FBF" w:rsidP="00942FBF">
            <w:pPr>
              <w:rPr>
                <w:lang w:val="en-GB"/>
              </w:rPr>
            </w:pPr>
            <w:r>
              <w:rPr>
                <w:lang w:val="en-GB"/>
              </w:rPr>
              <w:t>Distribution of country level</w:t>
            </w:r>
          </w:p>
        </w:tc>
        <w:tc>
          <w:tcPr>
            <w:tcW w:w="2570" w:type="dxa"/>
          </w:tcPr>
          <w:p w14:paraId="26D8F0DD" w14:textId="5665AA2E" w:rsidR="00942FBF" w:rsidRDefault="00961BC3" w:rsidP="00942FBF">
            <w:pPr>
              <w:rPr>
                <w:lang w:val="en-GB"/>
              </w:rPr>
            </w:pPr>
            <w:r>
              <w:rPr>
                <w:lang w:val="en-GB"/>
              </w:rPr>
              <w:t>S</w:t>
            </w:r>
            <w:r w:rsidR="00942FBF">
              <w:rPr>
                <w:lang w:val="en-GB"/>
              </w:rPr>
              <w:t>hort term</w:t>
            </w:r>
            <w:r>
              <w:rPr>
                <w:lang w:val="en-GB"/>
              </w:rPr>
              <w:t xml:space="preserve"> spillover impacts</w:t>
            </w:r>
          </w:p>
        </w:tc>
      </w:tr>
      <w:tr w:rsidR="00316EDD" w14:paraId="4B863DF4" w14:textId="77777777" w:rsidTr="00961BC3">
        <w:tc>
          <w:tcPr>
            <w:tcW w:w="3114" w:type="dxa"/>
          </w:tcPr>
          <w:p w14:paraId="5F910296" w14:textId="49C14478" w:rsidR="00942FBF" w:rsidRDefault="00942FBF" w:rsidP="00942FBF">
            <w:pPr>
              <w:rPr>
                <w:lang w:val="en-GB"/>
              </w:rPr>
            </w:pPr>
            <w:r>
              <w:rPr>
                <w:lang w:val="en-GB"/>
              </w:rPr>
              <w:t>Indirect Connectvity</w:t>
            </w:r>
          </w:p>
        </w:tc>
        <w:tc>
          <w:tcPr>
            <w:tcW w:w="1679" w:type="dxa"/>
          </w:tcPr>
          <w:p w14:paraId="591D2110" w14:textId="77777777" w:rsidR="00942FBF" w:rsidDel="00D4127E" w:rsidRDefault="00942FBF" w:rsidP="00942FBF">
            <w:pPr>
              <w:rPr>
                <w:lang w:val="en-GB"/>
              </w:rPr>
            </w:pPr>
          </w:p>
        </w:tc>
        <w:tc>
          <w:tcPr>
            <w:tcW w:w="1987" w:type="dxa"/>
          </w:tcPr>
          <w:p w14:paraId="1007FE6F" w14:textId="77777777" w:rsidR="00942FBF" w:rsidDel="00D4127E" w:rsidRDefault="00942FBF" w:rsidP="00942FBF">
            <w:pPr>
              <w:rPr>
                <w:lang w:val="en-GB"/>
              </w:rPr>
            </w:pPr>
          </w:p>
        </w:tc>
        <w:tc>
          <w:tcPr>
            <w:tcW w:w="2570" w:type="dxa"/>
          </w:tcPr>
          <w:p w14:paraId="4D8A4438" w14:textId="2E085094" w:rsidR="00942FBF" w:rsidDel="00D4127E" w:rsidRDefault="00942FBF" w:rsidP="00942FBF">
            <w:pPr>
              <w:rPr>
                <w:lang w:val="en-GB"/>
              </w:rPr>
            </w:pPr>
          </w:p>
        </w:tc>
      </w:tr>
      <w:tr w:rsidR="00316EDD" w14:paraId="04ED705D" w14:textId="77777777" w:rsidTr="00961BC3">
        <w:tc>
          <w:tcPr>
            <w:tcW w:w="3114" w:type="dxa"/>
          </w:tcPr>
          <w:p w14:paraId="3AC29900" w14:textId="6A858CF4" w:rsidR="00942FBF" w:rsidRDefault="00942FBF" w:rsidP="00524117">
            <w:pPr>
              <w:rPr>
                <w:lang w:val="en-GB"/>
              </w:rPr>
            </w:pPr>
            <w:r>
              <w:rPr>
                <w:lang w:val="en-GB"/>
              </w:rPr>
              <w:t>Second order Connectvity</w:t>
            </w:r>
          </w:p>
        </w:tc>
        <w:tc>
          <w:tcPr>
            <w:tcW w:w="1679" w:type="dxa"/>
          </w:tcPr>
          <w:p w14:paraId="56745822" w14:textId="3BE478A5" w:rsidR="00942FBF" w:rsidDel="00D4127E" w:rsidRDefault="00942FBF" w:rsidP="00942FBF">
            <w:pPr>
              <w:rPr>
                <w:lang w:val="en-GB"/>
              </w:rPr>
            </w:pPr>
            <w:r>
              <w:rPr>
                <w:lang w:val="en-GB"/>
              </w:rPr>
              <w:t>Country and global level</w:t>
            </w:r>
          </w:p>
        </w:tc>
        <w:tc>
          <w:tcPr>
            <w:tcW w:w="1987" w:type="dxa"/>
          </w:tcPr>
          <w:p w14:paraId="4CD6894F" w14:textId="517761AE" w:rsidR="00942FBF" w:rsidRDefault="00942FBF" w:rsidP="00942FBF">
            <w:pPr>
              <w:rPr>
                <w:lang w:val="en-GB"/>
              </w:rPr>
            </w:pPr>
            <w:r>
              <w:rPr>
                <w:lang w:val="en-GB"/>
              </w:rPr>
              <w:t>Distribution of country level</w:t>
            </w:r>
          </w:p>
        </w:tc>
        <w:tc>
          <w:tcPr>
            <w:tcW w:w="2570" w:type="dxa"/>
          </w:tcPr>
          <w:p w14:paraId="486606F6" w14:textId="3F40AFF9" w:rsidR="00942FBF" w:rsidDel="00D4127E" w:rsidRDefault="00961BC3" w:rsidP="00961BC3">
            <w:pPr>
              <w:rPr>
                <w:lang w:val="en-GB"/>
              </w:rPr>
            </w:pPr>
            <w:r>
              <w:rPr>
                <w:lang w:val="en-GB"/>
              </w:rPr>
              <w:t>Midterm spillover impacts</w:t>
            </w:r>
          </w:p>
        </w:tc>
      </w:tr>
      <w:tr w:rsidR="00316EDD" w14:paraId="39371063" w14:textId="77777777" w:rsidTr="00961BC3">
        <w:tc>
          <w:tcPr>
            <w:tcW w:w="3114" w:type="dxa"/>
          </w:tcPr>
          <w:p w14:paraId="45BDBC0D" w14:textId="03CD3960" w:rsidR="00942FBF" w:rsidRDefault="00942FBF" w:rsidP="00524117">
            <w:pPr>
              <w:rPr>
                <w:lang w:val="en-GB"/>
              </w:rPr>
            </w:pPr>
            <w:r>
              <w:rPr>
                <w:lang w:val="en-GB"/>
              </w:rPr>
              <w:t>Eigenvector Connectvity</w:t>
            </w:r>
          </w:p>
        </w:tc>
        <w:tc>
          <w:tcPr>
            <w:tcW w:w="1679" w:type="dxa"/>
          </w:tcPr>
          <w:p w14:paraId="1AE42813" w14:textId="1306CCB3" w:rsidR="00942FBF" w:rsidDel="00D4127E" w:rsidRDefault="00942FBF">
            <w:pPr>
              <w:rPr>
                <w:lang w:val="en-GB"/>
              </w:rPr>
            </w:pPr>
            <w:r>
              <w:rPr>
                <w:lang w:val="en-GB"/>
              </w:rPr>
              <w:t xml:space="preserve">Country and global level </w:t>
            </w:r>
          </w:p>
        </w:tc>
        <w:tc>
          <w:tcPr>
            <w:tcW w:w="1987" w:type="dxa"/>
          </w:tcPr>
          <w:p w14:paraId="0E344543" w14:textId="4EB1D752" w:rsidR="00942FBF" w:rsidRDefault="00942FBF" w:rsidP="00942FBF">
            <w:pPr>
              <w:rPr>
                <w:lang w:val="en-GB"/>
              </w:rPr>
            </w:pPr>
            <w:r>
              <w:rPr>
                <w:lang w:val="en-GB"/>
              </w:rPr>
              <w:t>Distribution of country level</w:t>
            </w:r>
          </w:p>
        </w:tc>
        <w:tc>
          <w:tcPr>
            <w:tcW w:w="2570" w:type="dxa"/>
          </w:tcPr>
          <w:p w14:paraId="3DE22337" w14:textId="74E9F508" w:rsidR="00942FBF" w:rsidDel="00D4127E" w:rsidRDefault="00961BC3" w:rsidP="00961BC3">
            <w:pPr>
              <w:rPr>
                <w:lang w:val="en-GB"/>
              </w:rPr>
            </w:pPr>
            <w:r>
              <w:rPr>
                <w:lang w:val="en-GB"/>
              </w:rPr>
              <w:t>Longer term spillover impacts</w:t>
            </w:r>
          </w:p>
        </w:tc>
      </w:tr>
      <w:tr w:rsidR="00316EDD" w14:paraId="67D85613" w14:textId="77777777" w:rsidTr="00961BC3">
        <w:tc>
          <w:tcPr>
            <w:tcW w:w="3114" w:type="dxa"/>
          </w:tcPr>
          <w:p w14:paraId="31DAC8C6" w14:textId="77777777" w:rsidR="00942FBF" w:rsidRDefault="00942FBF" w:rsidP="00942FBF">
            <w:pPr>
              <w:rPr>
                <w:lang w:val="en-GB"/>
              </w:rPr>
            </w:pPr>
          </w:p>
        </w:tc>
        <w:tc>
          <w:tcPr>
            <w:tcW w:w="1679" w:type="dxa"/>
          </w:tcPr>
          <w:p w14:paraId="31553377" w14:textId="77777777" w:rsidR="00942FBF" w:rsidDel="00D4127E" w:rsidRDefault="00942FBF" w:rsidP="00942FBF">
            <w:pPr>
              <w:rPr>
                <w:lang w:val="en-GB"/>
              </w:rPr>
            </w:pPr>
          </w:p>
        </w:tc>
        <w:tc>
          <w:tcPr>
            <w:tcW w:w="1987" w:type="dxa"/>
          </w:tcPr>
          <w:p w14:paraId="0C16127D" w14:textId="77777777" w:rsidR="00942FBF" w:rsidDel="00D4127E" w:rsidRDefault="00942FBF" w:rsidP="00942FBF">
            <w:pPr>
              <w:rPr>
                <w:lang w:val="en-GB"/>
              </w:rPr>
            </w:pPr>
          </w:p>
        </w:tc>
        <w:tc>
          <w:tcPr>
            <w:tcW w:w="2570" w:type="dxa"/>
          </w:tcPr>
          <w:p w14:paraId="2CA431EA" w14:textId="0651D2F1" w:rsidR="00942FBF" w:rsidDel="00D4127E" w:rsidRDefault="00942FBF" w:rsidP="00942FBF">
            <w:pPr>
              <w:rPr>
                <w:lang w:val="en-GB"/>
              </w:rPr>
            </w:pPr>
          </w:p>
        </w:tc>
      </w:tr>
      <w:tr w:rsidR="00316EDD" w14:paraId="6435206D" w14:textId="77777777" w:rsidTr="00961BC3">
        <w:tc>
          <w:tcPr>
            <w:tcW w:w="3114" w:type="dxa"/>
          </w:tcPr>
          <w:p w14:paraId="386FB170" w14:textId="77777777" w:rsidR="00961BC3" w:rsidRDefault="00961BC3" w:rsidP="00942FBF">
            <w:pPr>
              <w:rPr>
                <w:lang w:val="en-GB"/>
              </w:rPr>
            </w:pPr>
          </w:p>
        </w:tc>
        <w:tc>
          <w:tcPr>
            <w:tcW w:w="1679" w:type="dxa"/>
          </w:tcPr>
          <w:p w14:paraId="2FF6EF3A" w14:textId="77777777" w:rsidR="00961BC3" w:rsidDel="00D4127E" w:rsidRDefault="00961BC3" w:rsidP="00942FBF">
            <w:pPr>
              <w:rPr>
                <w:lang w:val="en-GB"/>
              </w:rPr>
            </w:pPr>
          </w:p>
        </w:tc>
        <w:tc>
          <w:tcPr>
            <w:tcW w:w="1987" w:type="dxa"/>
          </w:tcPr>
          <w:p w14:paraId="2F44603C" w14:textId="77777777" w:rsidR="00961BC3" w:rsidDel="00D4127E" w:rsidRDefault="00961BC3" w:rsidP="00942FBF">
            <w:pPr>
              <w:rPr>
                <w:lang w:val="en-GB"/>
              </w:rPr>
            </w:pPr>
          </w:p>
        </w:tc>
        <w:tc>
          <w:tcPr>
            <w:tcW w:w="2570" w:type="dxa"/>
          </w:tcPr>
          <w:p w14:paraId="6D2CA14E" w14:textId="77777777" w:rsidR="00961BC3" w:rsidDel="00D4127E" w:rsidRDefault="00961BC3" w:rsidP="00942FBF">
            <w:pPr>
              <w:rPr>
                <w:lang w:val="en-GB"/>
              </w:rPr>
            </w:pPr>
          </w:p>
        </w:tc>
      </w:tr>
      <w:tr w:rsidR="00316EDD" w14:paraId="7E3C562E" w14:textId="5CBC5D76" w:rsidTr="00961BC3">
        <w:tc>
          <w:tcPr>
            <w:tcW w:w="3114" w:type="dxa"/>
          </w:tcPr>
          <w:p w14:paraId="0513BC94" w14:textId="2BF3F51F" w:rsidR="00942FBF" w:rsidRDefault="00961BC3" w:rsidP="00961BC3">
            <w:pPr>
              <w:rPr>
                <w:lang w:val="en-GB"/>
              </w:rPr>
            </w:pPr>
            <w:r>
              <w:rPr>
                <w:lang w:val="en-GB"/>
              </w:rPr>
              <w:t xml:space="preserve">Bilateral </w:t>
            </w:r>
            <w:r w:rsidR="00727503">
              <w:rPr>
                <w:lang w:val="en-GB"/>
              </w:rPr>
              <w:t>trade relatinships</w:t>
            </w:r>
          </w:p>
        </w:tc>
        <w:tc>
          <w:tcPr>
            <w:tcW w:w="1679" w:type="dxa"/>
          </w:tcPr>
          <w:p w14:paraId="613639D4" w14:textId="77777777" w:rsidR="00942FBF" w:rsidRDefault="00942FBF" w:rsidP="00942FBF">
            <w:pPr>
              <w:rPr>
                <w:lang w:val="en-GB"/>
              </w:rPr>
            </w:pPr>
          </w:p>
        </w:tc>
        <w:tc>
          <w:tcPr>
            <w:tcW w:w="1987" w:type="dxa"/>
          </w:tcPr>
          <w:p w14:paraId="5701C8D5" w14:textId="672C2392" w:rsidR="00942FBF" w:rsidRDefault="00727503" w:rsidP="00942FBF">
            <w:pPr>
              <w:rPr>
                <w:lang w:val="en-GB"/>
              </w:rPr>
            </w:pPr>
            <w:r>
              <w:rPr>
                <w:lang w:val="en-GB"/>
              </w:rPr>
              <w:t>Density and mode of bilateral trade (dyad)formation</w:t>
            </w:r>
          </w:p>
        </w:tc>
        <w:tc>
          <w:tcPr>
            <w:tcW w:w="2570" w:type="dxa"/>
          </w:tcPr>
          <w:p w14:paraId="78555F77" w14:textId="45CFFBF5" w:rsidR="00942FBF" w:rsidRDefault="00942FBF" w:rsidP="00942FBF">
            <w:pPr>
              <w:rPr>
                <w:lang w:val="en-GB"/>
              </w:rPr>
            </w:pPr>
          </w:p>
        </w:tc>
      </w:tr>
      <w:tr w:rsidR="00316EDD" w14:paraId="4F498736" w14:textId="42450FAF" w:rsidTr="00961BC3">
        <w:tc>
          <w:tcPr>
            <w:tcW w:w="3114" w:type="dxa"/>
          </w:tcPr>
          <w:p w14:paraId="6BC32FF3" w14:textId="1D5C96DB" w:rsidR="00942FBF" w:rsidRDefault="00961BC3" w:rsidP="00961BC3">
            <w:pPr>
              <w:rPr>
                <w:lang w:val="en-GB"/>
              </w:rPr>
            </w:pPr>
            <w:r>
              <w:rPr>
                <w:lang w:val="en-GB"/>
              </w:rPr>
              <w:t>Triad trade relatinships</w:t>
            </w:r>
          </w:p>
        </w:tc>
        <w:tc>
          <w:tcPr>
            <w:tcW w:w="1679" w:type="dxa"/>
          </w:tcPr>
          <w:p w14:paraId="3A136641" w14:textId="77777777" w:rsidR="00942FBF" w:rsidRDefault="00942FBF" w:rsidP="00942FBF">
            <w:pPr>
              <w:rPr>
                <w:lang w:val="en-GB"/>
              </w:rPr>
            </w:pPr>
          </w:p>
        </w:tc>
        <w:tc>
          <w:tcPr>
            <w:tcW w:w="1987" w:type="dxa"/>
          </w:tcPr>
          <w:p w14:paraId="7C004858" w14:textId="519369E2" w:rsidR="00942FBF" w:rsidRDefault="00727503" w:rsidP="00942FBF">
            <w:pPr>
              <w:rPr>
                <w:lang w:val="en-GB"/>
              </w:rPr>
            </w:pPr>
            <w:r>
              <w:rPr>
                <w:lang w:val="en-GB"/>
              </w:rPr>
              <w:t>Density and mode of triad formation</w:t>
            </w:r>
          </w:p>
        </w:tc>
        <w:tc>
          <w:tcPr>
            <w:tcW w:w="2570" w:type="dxa"/>
          </w:tcPr>
          <w:p w14:paraId="15469186" w14:textId="7A82839E" w:rsidR="00942FBF" w:rsidRDefault="00942FBF" w:rsidP="00942FBF">
            <w:pPr>
              <w:rPr>
                <w:lang w:val="en-GB"/>
              </w:rPr>
            </w:pPr>
          </w:p>
        </w:tc>
      </w:tr>
    </w:tbl>
    <w:p w14:paraId="2D330D6F" w14:textId="77777777" w:rsidR="005C26FA" w:rsidRDefault="005C26FA" w:rsidP="005C26FA">
      <w:pPr>
        <w:pStyle w:val="NormalWeb"/>
      </w:pPr>
      <w:r>
        <w:t>Different orders of connectivity offer insights into the temporal dimension of resilience. The evolution of first-order connectivity, observed through both its mean and distribution, uncovers the immediate (short-term) spillover impact of shocks. Conversely, second-order and eigenvector connectivity measures provide information on the longer-term resilience to shocks. These shocks could originate from countries not directly connected, affecting a given country, or from directly connected countries but spilling over to a country through indirect linkages.</w:t>
      </w:r>
    </w:p>
    <w:p w14:paraId="7CD491C8" w14:textId="056BC98C" w:rsidR="00242D08" w:rsidRPr="005C26FA" w:rsidRDefault="005C26FA" w:rsidP="005C26FA">
      <w:pPr>
        <w:pStyle w:val="NormalWeb"/>
      </w:pPr>
      <w:r>
        <w:t xml:space="preserve">The manner in which connectivity occurs in the formation of bilateral and triadic trade relationships can significantly impact shock propagation. In examining the mode of connectivity within bilateral trade relationships, we analyze changes over time in the density of unilateral/asymmetric and bilateral trade relationships concerning total relationships. Density is calculated as the number of bilateral or trilateral trade relationships over the total possible number of relationships. It's important to note that the count of trade relationships is irrespective of the type of trade link; both bilateral (two trade links) and unilateral trade (one trade link) relationships are considered as a single trade relationship. In terms of triadic trade relationships, i.e., those involving three countries, there exist 13 distinct types that depict various connections among the three countries </w:t>
      </w:r>
      <w:r w:rsidR="00727503" w:rsidRPr="005C26FA">
        <w:t>(See Figure A1)</w:t>
      </w:r>
      <w:r w:rsidR="0013556B" w:rsidRPr="005C26FA">
        <w:t xml:space="preserve">. </w:t>
      </w:r>
    </w:p>
    <w:p w14:paraId="292189F7" w14:textId="786BA8FB" w:rsidR="005C26FA" w:rsidRDefault="005C26FA" w:rsidP="005C26FA">
      <w:pPr>
        <w:pStyle w:val="NormalWeb"/>
      </w:pPr>
      <w:r>
        <w:t xml:space="preserve">We also identify which countries wield the greatest influence on the network using betweenness connectivity. The betweenness connectivity of each country in the network illustrates how often a particular country acts as an intermediary, connecting two other countries that aren't directly linked </w:t>
      </w:r>
      <w:r w:rsidR="00524117">
        <w:fldChar w:fldCharType="begin"/>
      </w:r>
      <w:r w:rsidR="00524117">
        <w:instrText xml:space="preserve"> ADDIN ZOTERO_ITEM CSL_CITATION {"citationID":"qjLwy9J5","properties":{"formattedCitation":"(Freeman, 1978)","plainCitation":"(Freeman, 1978)","noteIndex":0},"citationItems":[{"id":261,"uris":["http://zotero.org/users/12902950/items/QS3VXIVP"],"itemData":{"id":261,"type":"article-journal","container-title":"Social Networks","page":"215-239","title":"Centrality in social networks: Conceptual clarification","volume":"1","author":[{"family":"Freeman","given":"Linton C."}],"issued":{"date-parts":[["1978"]]}}}],"schema":"https://github.com/citation-style-language/schema/raw/master/csl-citation.json"} </w:instrText>
      </w:r>
      <w:r w:rsidR="00524117">
        <w:fldChar w:fldCharType="separate"/>
      </w:r>
      <w:r w:rsidR="00524117" w:rsidRPr="00524117">
        <w:t>(Freeman, 1978)</w:t>
      </w:r>
      <w:r w:rsidR="00524117">
        <w:fldChar w:fldCharType="end"/>
      </w:r>
      <w:r w:rsidR="00524117">
        <w:t>.</w:t>
      </w:r>
      <w:r>
        <w:t>This measure signifies the overall reliance of the trade network on that country. A higher value of this measure designates a more prominent role for the country as a hub, while countries with low betweenness are considered more peripheral within the network.</w:t>
      </w:r>
      <w:r w:rsidRPr="0060464F">
        <w:rPr>
          <w:rStyle w:val="FootnoteReference"/>
        </w:rPr>
        <w:footnoteReference w:id="4"/>
      </w:r>
      <w:r>
        <w:t xml:space="preserve"> </w:t>
      </w:r>
      <w:r>
        <w:lastRenderedPageBreak/>
        <w:t>Both betweenness and eigenvector centrality reflect a node's importance within a network but from different perspectives— one emphasizing its position in controlling the network's communication or interaction pathways, and the other considering influence through well-connected neighbors.</w:t>
      </w:r>
    </w:p>
    <w:p w14:paraId="2A1CD191" w14:textId="77777777" w:rsidR="005C26FA" w:rsidRDefault="005C26FA" w:rsidP="005C26FA">
      <w:pPr>
        <w:pStyle w:val="NormalWeb"/>
      </w:pPr>
      <w:r>
        <w:t>We apply the measures mentioned above to a trade network from three different perspectives: a binary trade network indicating whether countries have any trade transactions with each other (network of country trade links), a weighted trade network that quantifies the number of trade commodities exchanged between each pair of countries (the network of country product trade links), and a weighted trade network that represents the value of trade between any two countries in the network (trade intensity matrix). The first two types of networks (network of country trade links and the network of country product trade links) are employed to analyze the trade network along the extensive margin of trade, while the third type of network (trade intensity matrix) is used to analyze trade from the intensive margin.</w:t>
      </w:r>
    </w:p>
    <w:p w14:paraId="2EA07108" w14:textId="77777777" w:rsidR="005C26FA" w:rsidRDefault="005C26FA" w:rsidP="005C26FA">
      <w:pPr>
        <w:pStyle w:val="NormalWeb"/>
      </w:pPr>
      <w:r>
        <w:t>Each of these networks can be directed or undirected, depending on whether the direction of trade flows is considered in the analysis. In our calculations of the trade network, we use the directed trade network unless indicated otherwise. Table 2 provides a description of the network indicators we used and their corresponding mathematical formulas.</w:t>
      </w:r>
    </w:p>
    <w:p w14:paraId="38785841" w14:textId="77777777" w:rsidR="00D242D7" w:rsidRPr="003273FE" w:rsidRDefault="00D242D7" w:rsidP="00D242D7">
      <w:pPr>
        <w:spacing w:after="0" w:line="240" w:lineRule="auto"/>
        <w:jc w:val="both"/>
        <w:rPr>
          <w:rFonts w:ascii="Times New Roman" w:eastAsia="Times New Roman" w:hAnsi="Times New Roman" w:cs="Times New Roman"/>
          <w:sz w:val="24"/>
          <w:szCs w:val="24"/>
        </w:rPr>
      </w:pPr>
    </w:p>
    <w:p w14:paraId="7A467720" w14:textId="7669BE22" w:rsidR="00D242D7" w:rsidRDefault="00D242D7" w:rsidP="00D242D7">
      <w:pPr>
        <w:pStyle w:val="Caption"/>
        <w:keepNext/>
      </w:pPr>
      <w:bookmarkStart w:id="23" w:name="_Ref128403961"/>
      <w:r>
        <w:t xml:space="preserve">Table </w:t>
      </w:r>
      <w:fldSimple w:instr=" SEQ Table \* ARABIC ">
        <w:r w:rsidR="00EC50BF">
          <w:rPr>
            <w:noProof/>
          </w:rPr>
          <w:t>2</w:t>
        </w:r>
      </w:fldSimple>
      <w:bookmarkEnd w:id="23"/>
      <w:r>
        <w:t xml:space="preserve"> Description of network indicators used in the analysis</w:t>
      </w:r>
    </w:p>
    <w:tbl>
      <w:tblPr>
        <w:tblStyle w:val="TableGrid"/>
        <w:tblW w:w="0" w:type="auto"/>
        <w:tblLayout w:type="fixed"/>
        <w:tblLook w:val="04A0" w:firstRow="1" w:lastRow="0" w:firstColumn="1" w:lastColumn="0" w:noHBand="0" w:noVBand="1"/>
      </w:tblPr>
      <w:tblGrid>
        <w:gridCol w:w="1326"/>
        <w:gridCol w:w="2359"/>
        <w:gridCol w:w="1350"/>
        <w:gridCol w:w="1710"/>
        <w:gridCol w:w="2605"/>
      </w:tblGrid>
      <w:tr w:rsidR="00D242D7" w:rsidRPr="006F165C" w14:paraId="6313CD4D" w14:textId="77777777" w:rsidTr="008F162F">
        <w:tc>
          <w:tcPr>
            <w:tcW w:w="1326" w:type="dxa"/>
          </w:tcPr>
          <w:p w14:paraId="7C550B52" w14:textId="77777777" w:rsidR="00D242D7" w:rsidRPr="006F165C" w:rsidRDefault="00D242D7" w:rsidP="008F162F">
            <w:pPr>
              <w:rPr>
                <w:b/>
                <w:bCs/>
                <w:sz w:val="20"/>
                <w:szCs w:val="20"/>
              </w:rPr>
            </w:pPr>
            <w:r w:rsidRPr="006F165C">
              <w:rPr>
                <w:b/>
                <w:bCs/>
                <w:sz w:val="20"/>
                <w:szCs w:val="20"/>
              </w:rPr>
              <w:t>Network measure</w:t>
            </w:r>
          </w:p>
        </w:tc>
        <w:tc>
          <w:tcPr>
            <w:tcW w:w="2359" w:type="dxa"/>
          </w:tcPr>
          <w:p w14:paraId="65A03D00" w14:textId="77777777" w:rsidR="00D242D7" w:rsidRPr="006F165C" w:rsidRDefault="00D242D7" w:rsidP="008F162F">
            <w:pPr>
              <w:rPr>
                <w:b/>
                <w:bCs/>
                <w:sz w:val="20"/>
                <w:szCs w:val="20"/>
              </w:rPr>
            </w:pPr>
            <w:r w:rsidRPr="006F165C">
              <w:rPr>
                <w:b/>
                <w:bCs/>
                <w:sz w:val="20"/>
                <w:szCs w:val="20"/>
              </w:rPr>
              <w:t>Description</w:t>
            </w:r>
          </w:p>
        </w:tc>
        <w:tc>
          <w:tcPr>
            <w:tcW w:w="1350" w:type="dxa"/>
          </w:tcPr>
          <w:p w14:paraId="4F511EB6" w14:textId="77777777" w:rsidR="00D242D7" w:rsidRPr="006F165C" w:rsidRDefault="00D242D7" w:rsidP="008F162F">
            <w:pPr>
              <w:rPr>
                <w:b/>
                <w:bCs/>
                <w:sz w:val="20"/>
                <w:szCs w:val="20"/>
              </w:rPr>
            </w:pPr>
            <w:r w:rsidRPr="006F165C">
              <w:rPr>
                <w:b/>
                <w:bCs/>
                <w:sz w:val="20"/>
                <w:szCs w:val="20"/>
              </w:rPr>
              <w:t>Level of aggregation</w:t>
            </w:r>
          </w:p>
        </w:tc>
        <w:tc>
          <w:tcPr>
            <w:tcW w:w="1710" w:type="dxa"/>
          </w:tcPr>
          <w:p w14:paraId="761413AA" w14:textId="77777777" w:rsidR="00D242D7" w:rsidRPr="006F165C" w:rsidRDefault="00D242D7" w:rsidP="008F162F">
            <w:pPr>
              <w:rPr>
                <w:b/>
                <w:bCs/>
                <w:sz w:val="20"/>
                <w:szCs w:val="20"/>
              </w:rPr>
            </w:pPr>
            <w:r w:rsidRPr="006F165C">
              <w:rPr>
                <w:b/>
                <w:bCs/>
                <w:sz w:val="20"/>
                <w:szCs w:val="20"/>
              </w:rPr>
              <w:t>Direction and weight</w:t>
            </w:r>
          </w:p>
        </w:tc>
        <w:tc>
          <w:tcPr>
            <w:tcW w:w="2605" w:type="dxa"/>
          </w:tcPr>
          <w:p w14:paraId="7B436201" w14:textId="77777777" w:rsidR="00D242D7" w:rsidRPr="006F165C" w:rsidRDefault="00D242D7" w:rsidP="008F162F">
            <w:pPr>
              <w:rPr>
                <w:b/>
                <w:bCs/>
                <w:sz w:val="20"/>
                <w:szCs w:val="20"/>
              </w:rPr>
            </w:pPr>
            <w:r w:rsidRPr="006F165C">
              <w:rPr>
                <w:b/>
                <w:bCs/>
                <w:sz w:val="20"/>
                <w:szCs w:val="20"/>
              </w:rPr>
              <w:t>Mathematical formula</w:t>
            </w:r>
          </w:p>
        </w:tc>
      </w:tr>
      <w:tr w:rsidR="00D242D7" w:rsidRPr="006F165C" w14:paraId="5677F2CB" w14:textId="77777777" w:rsidTr="008F162F">
        <w:tc>
          <w:tcPr>
            <w:tcW w:w="1326" w:type="dxa"/>
          </w:tcPr>
          <w:p w14:paraId="09B7F671" w14:textId="77777777" w:rsidR="00D242D7" w:rsidRPr="006F165C" w:rsidRDefault="00D242D7" w:rsidP="008F162F">
            <w:pPr>
              <w:rPr>
                <w:sz w:val="20"/>
                <w:szCs w:val="20"/>
              </w:rPr>
            </w:pPr>
          </w:p>
        </w:tc>
        <w:tc>
          <w:tcPr>
            <w:tcW w:w="8024" w:type="dxa"/>
            <w:gridSpan w:val="4"/>
          </w:tcPr>
          <w:p w14:paraId="7175FD01" w14:textId="77777777" w:rsidR="00D242D7" w:rsidRPr="006F165C" w:rsidRDefault="00D242D7" w:rsidP="008F162F">
            <w:pPr>
              <w:rPr>
                <w:sz w:val="20"/>
                <w:szCs w:val="20"/>
              </w:rPr>
            </w:pPr>
            <w:r w:rsidRPr="006F165C">
              <w:rPr>
                <w:sz w:val="20"/>
                <w:szCs w:val="20"/>
              </w:rPr>
              <w:t>Connectivity</w:t>
            </w:r>
            <w:r>
              <w:rPr>
                <w:sz w:val="20"/>
                <w:szCs w:val="20"/>
              </w:rPr>
              <w:t>/centrality</w:t>
            </w:r>
            <w:r w:rsidRPr="006F165C">
              <w:rPr>
                <w:sz w:val="20"/>
                <w:szCs w:val="20"/>
              </w:rPr>
              <w:t xml:space="preserve"> measures</w:t>
            </w:r>
          </w:p>
        </w:tc>
      </w:tr>
      <w:tr w:rsidR="00D242D7" w:rsidRPr="006F165C" w14:paraId="75CD6513" w14:textId="77777777" w:rsidTr="008F162F">
        <w:tc>
          <w:tcPr>
            <w:tcW w:w="1326" w:type="dxa"/>
          </w:tcPr>
          <w:p w14:paraId="52AA3115" w14:textId="77777777" w:rsidR="00D242D7" w:rsidRPr="006F165C" w:rsidRDefault="00D242D7" w:rsidP="008F162F">
            <w:pPr>
              <w:rPr>
                <w:sz w:val="20"/>
                <w:szCs w:val="20"/>
              </w:rPr>
            </w:pPr>
            <w:r w:rsidRPr="006F165C">
              <w:rPr>
                <w:sz w:val="20"/>
                <w:szCs w:val="20"/>
              </w:rPr>
              <w:t>Network density</w:t>
            </w:r>
          </w:p>
        </w:tc>
        <w:tc>
          <w:tcPr>
            <w:tcW w:w="2359" w:type="dxa"/>
          </w:tcPr>
          <w:p w14:paraId="6629DC93" w14:textId="77777777" w:rsidR="00D242D7" w:rsidRPr="006F165C" w:rsidRDefault="00D242D7" w:rsidP="008F162F">
            <w:pPr>
              <w:rPr>
                <w:sz w:val="20"/>
                <w:szCs w:val="20"/>
              </w:rPr>
            </w:pPr>
            <w:r>
              <w:rPr>
                <w:sz w:val="20"/>
                <w:szCs w:val="20"/>
              </w:rPr>
              <w:t>S</w:t>
            </w:r>
            <w:r w:rsidRPr="006F165C">
              <w:rPr>
                <w:sz w:val="20"/>
                <w:szCs w:val="20"/>
              </w:rPr>
              <w:t>hows the proportion of actual connections</w:t>
            </w:r>
            <w:r>
              <w:rPr>
                <w:sz w:val="20"/>
                <w:szCs w:val="20"/>
              </w:rPr>
              <w:t xml:space="preserve"> (links)</w:t>
            </w:r>
            <w:r w:rsidRPr="006F165C">
              <w:rPr>
                <w:sz w:val="20"/>
                <w:szCs w:val="20"/>
              </w:rPr>
              <w:t xml:space="preserve"> over potential connections</w:t>
            </w:r>
            <w:r>
              <w:rPr>
                <w:sz w:val="20"/>
                <w:szCs w:val="20"/>
              </w:rPr>
              <w:t xml:space="preserve"> (links) and thus</w:t>
            </w:r>
            <w:r w:rsidRPr="006F165C">
              <w:rPr>
                <w:sz w:val="20"/>
                <w:szCs w:val="20"/>
              </w:rPr>
              <w:t xml:space="preserve"> the probability of the presence of a link between any two countries. In a </w:t>
            </w:r>
            <w:r>
              <w:rPr>
                <w:sz w:val="20"/>
                <w:szCs w:val="20"/>
              </w:rPr>
              <w:t>fully connected</w:t>
            </w:r>
            <w:r w:rsidRPr="006F165C">
              <w:rPr>
                <w:sz w:val="20"/>
                <w:szCs w:val="20"/>
              </w:rPr>
              <w:t xml:space="preserve"> network, the density is equal to one indicating that each country is linked to (trades with) all other countries</w:t>
            </w:r>
            <w:r>
              <w:rPr>
                <w:sz w:val="20"/>
                <w:szCs w:val="20"/>
              </w:rPr>
              <w:t xml:space="preserve">. </w:t>
            </w:r>
          </w:p>
        </w:tc>
        <w:tc>
          <w:tcPr>
            <w:tcW w:w="1350" w:type="dxa"/>
          </w:tcPr>
          <w:p w14:paraId="6EFFED75" w14:textId="77777777" w:rsidR="00D242D7" w:rsidRPr="006F165C" w:rsidRDefault="00D242D7" w:rsidP="008F162F">
            <w:pPr>
              <w:rPr>
                <w:sz w:val="20"/>
                <w:szCs w:val="20"/>
              </w:rPr>
            </w:pPr>
            <w:r>
              <w:rPr>
                <w:sz w:val="20"/>
                <w:szCs w:val="20"/>
              </w:rPr>
              <w:t>Global</w:t>
            </w:r>
          </w:p>
        </w:tc>
        <w:tc>
          <w:tcPr>
            <w:tcW w:w="1710" w:type="dxa"/>
          </w:tcPr>
          <w:p w14:paraId="6B459D95" w14:textId="77777777" w:rsidR="00D242D7" w:rsidRPr="006F165C" w:rsidRDefault="00D242D7" w:rsidP="008F162F">
            <w:pPr>
              <w:rPr>
                <w:sz w:val="20"/>
                <w:szCs w:val="20"/>
              </w:rPr>
            </w:pPr>
            <w:r>
              <w:rPr>
                <w:sz w:val="20"/>
                <w:szCs w:val="20"/>
              </w:rPr>
              <w:t>Undirected, unweighted</w:t>
            </w:r>
          </w:p>
        </w:tc>
        <w:tc>
          <w:tcPr>
            <w:tcW w:w="2605" w:type="dxa"/>
          </w:tcPr>
          <w:p w14:paraId="68BB5589" w14:textId="77777777" w:rsidR="00D242D7" w:rsidRPr="006F165C" w:rsidRDefault="00D242D7" w:rsidP="008F162F">
            <w:pPr>
              <w:rPr>
                <w:sz w:val="20"/>
                <w:szCs w:val="20"/>
              </w:rPr>
            </w:pPr>
            <w:r>
              <w:rPr>
                <w:rFonts w:eastAsia="Calibri" w:cs="Times New Roman"/>
                <w:color w:val="000000"/>
                <w:sz w:val="20"/>
                <w:szCs w:val="20"/>
                <w:lang w:val="en-GB"/>
              </w:rPr>
              <w:t>N</w:t>
            </w:r>
            <w:r w:rsidRPr="006F165C">
              <w:rPr>
                <w:rFonts w:eastAsia="Calibri" w:cs="Times New Roman"/>
                <w:color w:val="000000"/>
                <w:sz w:val="20"/>
                <w:szCs w:val="20"/>
                <w:lang w:val="en-GB"/>
              </w:rPr>
              <w:t xml:space="preserve">umber of </w:t>
            </w:r>
            <w:r>
              <w:rPr>
                <w:rFonts w:eastAsia="Calibri" w:cs="Times New Roman"/>
                <w:color w:val="000000"/>
                <w:sz w:val="20"/>
                <w:szCs w:val="20"/>
                <w:lang w:val="en-GB"/>
              </w:rPr>
              <w:t>links</w:t>
            </w:r>
            <w:r w:rsidRPr="006F165C">
              <w:rPr>
                <w:rFonts w:eastAsia="Calibri" w:cs="Times New Roman"/>
                <w:color w:val="000000"/>
                <w:sz w:val="20"/>
                <w:szCs w:val="20"/>
                <w:lang w:val="en-GB"/>
              </w:rPr>
              <w:t xml:space="preserve"> (</w:t>
            </w:r>
            <w:r w:rsidRPr="006F165C">
              <w:rPr>
                <w:rFonts w:eastAsia="Calibri" w:cs="Times New Roman"/>
                <w:i/>
                <w:color w:val="000000"/>
                <w:sz w:val="20"/>
                <w:szCs w:val="20"/>
                <w:lang w:val="en-GB"/>
              </w:rPr>
              <w:t>m</w:t>
            </w:r>
            <w:r w:rsidRPr="006F165C">
              <w:rPr>
                <w:rFonts w:eastAsia="Calibri" w:cs="Times New Roman"/>
                <w:color w:val="000000"/>
                <w:sz w:val="20"/>
                <w:szCs w:val="20"/>
                <w:lang w:val="en-GB"/>
              </w:rPr>
              <w:t xml:space="preserve">) over total number of possible </w:t>
            </w:r>
            <w:r>
              <w:rPr>
                <w:rFonts w:eastAsia="Calibri" w:cs="Times New Roman"/>
                <w:color w:val="000000"/>
                <w:sz w:val="20"/>
                <w:szCs w:val="20"/>
                <w:lang w:val="en-GB"/>
              </w:rPr>
              <w:t>links</w:t>
            </w:r>
            <w:r w:rsidRPr="006F165C">
              <w:rPr>
                <w:rFonts w:eastAsia="Calibri" w:cs="Times New Roman"/>
                <w:color w:val="000000"/>
                <w:sz w:val="20"/>
                <w:szCs w:val="20"/>
                <w:lang w:val="en-GB"/>
              </w:rPr>
              <w:t xml:space="preserve"> </w:t>
            </w:r>
            <m:oMath>
              <m:sSub>
                <m:sSubPr>
                  <m:ctrlPr>
                    <w:rPr>
                      <w:rFonts w:ascii="Cambria Math" w:eastAsia="Calibri" w:hAnsi="Cambria Math" w:cs="Times New Roman"/>
                      <w:i/>
                      <w:color w:val="000000"/>
                      <w:sz w:val="20"/>
                      <w:szCs w:val="20"/>
                      <w:lang w:val="en-GB"/>
                    </w:rPr>
                  </m:ctrlPr>
                </m:sSubPr>
                <m:e>
                  <m:r>
                    <w:rPr>
                      <w:rFonts w:ascii="Cambria Math" w:eastAsia="Calibri" w:hAnsi="Cambria Math" w:cs="Times New Roman"/>
                      <w:color w:val="000000"/>
                      <w:sz w:val="20"/>
                      <w:szCs w:val="20"/>
                      <w:lang w:val="en-GB"/>
                    </w:rPr>
                    <m:t>(m</m:t>
                  </m:r>
                </m:e>
                <m:sub>
                  <m:r>
                    <w:rPr>
                      <w:rFonts w:ascii="Cambria Math" w:eastAsia="Calibri" w:hAnsi="Cambria Math" w:cs="Times New Roman"/>
                      <w:color w:val="000000"/>
                      <w:sz w:val="20"/>
                      <w:szCs w:val="20"/>
                      <w:lang w:val="en-GB"/>
                    </w:rPr>
                    <m:t>max</m:t>
                  </m:r>
                </m:sub>
              </m:sSub>
              <m:r>
                <w:rPr>
                  <w:rFonts w:ascii="Cambria Math" w:eastAsia="Calibri" w:hAnsi="Cambria Math" w:cs="Times New Roman"/>
                  <w:color w:val="000000"/>
                  <w:sz w:val="20"/>
                  <w:szCs w:val="20"/>
                  <w:lang w:val="en-GB"/>
                </w:rPr>
                <m:t>)</m:t>
              </m:r>
            </m:oMath>
            <w:r>
              <w:rPr>
                <w:rFonts w:eastAsia="Calibri" w:cs="Times New Roman"/>
                <w:color w:val="000000"/>
                <w:sz w:val="20"/>
                <w:szCs w:val="20"/>
                <w:lang w:val="en-GB"/>
              </w:rPr>
              <w:t>:</w:t>
            </w:r>
            <m:oMath>
              <m:f>
                <m:fPr>
                  <m:ctrlPr>
                    <w:rPr>
                      <w:rFonts w:ascii="Cambria Math" w:eastAsia="Calibri" w:hAnsi="Cambria Math" w:cs="Times New Roman"/>
                      <w:i/>
                      <w:color w:val="000000"/>
                      <w:sz w:val="20"/>
                      <w:szCs w:val="20"/>
                      <w:lang w:val="en-GB"/>
                    </w:rPr>
                  </m:ctrlPr>
                </m:fPr>
                <m:num>
                  <m:r>
                    <w:rPr>
                      <w:rFonts w:ascii="Cambria Math" w:eastAsia="Calibri" w:hAnsi="Cambria Math" w:cs="Times New Roman"/>
                      <w:color w:val="000000"/>
                      <w:sz w:val="20"/>
                      <w:szCs w:val="20"/>
                      <w:lang w:val="en-GB"/>
                    </w:rPr>
                    <m:t>m</m:t>
                  </m:r>
                </m:num>
                <m:den>
                  <m:sSub>
                    <m:sSubPr>
                      <m:ctrlPr>
                        <w:rPr>
                          <w:rFonts w:ascii="Cambria Math" w:eastAsia="Calibri" w:hAnsi="Cambria Math" w:cs="Times New Roman"/>
                          <w:i/>
                          <w:color w:val="000000"/>
                          <w:sz w:val="20"/>
                          <w:szCs w:val="20"/>
                          <w:lang w:val="en-GB"/>
                        </w:rPr>
                      </m:ctrlPr>
                    </m:sSubPr>
                    <m:e>
                      <m:r>
                        <w:rPr>
                          <w:rFonts w:ascii="Cambria Math" w:eastAsia="Calibri" w:hAnsi="Cambria Math" w:cs="Times New Roman"/>
                          <w:color w:val="000000"/>
                          <w:sz w:val="20"/>
                          <w:szCs w:val="20"/>
                          <w:lang w:val="en-GB"/>
                        </w:rPr>
                        <m:t>m</m:t>
                      </m:r>
                    </m:e>
                    <m:sub>
                      <m:r>
                        <w:rPr>
                          <w:rFonts w:ascii="Cambria Math" w:eastAsia="Calibri" w:hAnsi="Cambria Math" w:cs="Times New Roman"/>
                          <w:color w:val="000000"/>
                          <w:sz w:val="20"/>
                          <w:szCs w:val="20"/>
                          <w:lang w:val="en-GB"/>
                        </w:rPr>
                        <m:t>max</m:t>
                      </m:r>
                    </m:sub>
                  </m:sSub>
                </m:den>
              </m:f>
            </m:oMath>
            <w:r w:rsidRPr="006F165C">
              <w:rPr>
                <w:rFonts w:eastAsia="Calibri" w:cs="Times New Roman"/>
                <w:color w:val="000000"/>
                <w:sz w:val="20"/>
                <w:szCs w:val="20"/>
                <w:lang w:val="en-GB"/>
              </w:rPr>
              <w:t>.</w:t>
            </w:r>
            <w:r>
              <w:rPr>
                <w:rFonts w:eastAsiaTheme="minorEastAsia" w:cs="Times New Roman"/>
                <w:color w:val="000000" w:themeColor="text1"/>
                <w:sz w:val="20"/>
                <w:szCs w:val="20"/>
                <w:lang w:val="en-GB"/>
              </w:rPr>
              <w:t xml:space="preserve">, </w:t>
            </w:r>
            <w:r w:rsidRPr="006F165C">
              <w:rPr>
                <w:rFonts w:eastAsia="Calibri" w:cs="Times New Roman"/>
                <w:sz w:val="20"/>
                <w:szCs w:val="20"/>
                <w:lang w:val="en-GB"/>
              </w:rPr>
              <w:t xml:space="preserve">In the undirected network, the total number of possible links is </w:t>
            </w:r>
            <m:oMath>
              <m:d>
                <m:dPr>
                  <m:ctrlPr>
                    <w:rPr>
                      <w:rFonts w:ascii="Cambria Math" w:eastAsia="Calibri" w:hAnsi="Cambria Math" w:cs="Times New Roman"/>
                      <w:i/>
                      <w:sz w:val="20"/>
                      <w:szCs w:val="20"/>
                      <w:lang w:val="en-GB"/>
                    </w:rPr>
                  </m:ctrlPr>
                </m:dPr>
                <m:e>
                  <m:r>
                    <w:rPr>
                      <w:rFonts w:ascii="Cambria Math" w:eastAsia="Calibri" w:hAnsi="Cambria Math" w:cs="Times New Roman"/>
                      <w:sz w:val="20"/>
                      <w:szCs w:val="20"/>
                      <w:lang w:val="en-GB"/>
                    </w:rPr>
                    <m:t>n-1</m:t>
                  </m:r>
                </m:e>
              </m:d>
              <m:r>
                <w:rPr>
                  <w:rFonts w:ascii="Cambria Math" w:eastAsia="Calibri" w:hAnsi="Cambria Math" w:cs="Times New Roman"/>
                  <w:sz w:val="20"/>
                  <w:szCs w:val="20"/>
                  <w:lang w:val="en-GB"/>
                </w:rPr>
                <m:t>*n</m:t>
              </m:r>
            </m:oMath>
            <w:r>
              <w:rPr>
                <w:rFonts w:eastAsia="Calibri" w:cs="Times New Roman"/>
                <w:sz w:val="20"/>
                <w:szCs w:val="20"/>
                <w:lang w:val="en-GB"/>
              </w:rPr>
              <w:t>,</w:t>
            </w:r>
            <w:r>
              <w:rPr>
                <w:rFonts w:eastAsiaTheme="minorEastAsia" w:cs="Times New Roman"/>
                <w:color w:val="000000" w:themeColor="text1"/>
                <w:sz w:val="20"/>
                <w:szCs w:val="20"/>
                <w:lang w:val="en-GB"/>
              </w:rPr>
              <w:t xml:space="preserve"> where </w:t>
            </w:r>
            <w:r w:rsidRPr="00DD1F85">
              <w:rPr>
                <w:rFonts w:eastAsiaTheme="minorEastAsia" w:cs="Times New Roman"/>
                <w:i/>
                <w:iCs/>
                <w:color w:val="000000" w:themeColor="text1"/>
                <w:sz w:val="20"/>
                <w:szCs w:val="20"/>
                <w:lang w:val="en-GB"/>
              </w:rPr>
              <w:t>n</w:t>
            </w:r>
            <w:r>
              <w:rPr>
                <w:rFonts w:eastAsiaTheme="minorEastAsia" w:cs="Times New Roman"/>
                <w:color w:val="000000" w:themeColor="text1"/>
                <w:sz w:val="20"/>
                <w:szCs w:val="20"/>
                <w:lang w:val="en-GB"/>
              </w:rPr>
              <w:t xml:space="preserve"> is the number of nodes (countries).</w:t>
            </w:r>
          </w:p>
        </w:tc>
      </w:tr>
      <w:tr w:rsidR="00D242D7" w:rsidRPr="006F165C" w14:paraId="35AB6B3E" w14:textId="77777777" w:rsidTr="008F162F">
        <w:tc>
          <w:tcPr>
            <w:tcW w:w="1326" w:type="dxa"/>
          </w:tcPr>
          <w:p w14:paraId="63AB70DA" w14:textId="77777777" w:rsidR="00D242D7" w:rsidRPr="006F165C" w:rsidRDefault="00D242D7" w:rsidP="008F162F">
            <w:pPr>
              <w:rPr>
                <w:sz w:val="20"/>
                <w:szCs w:val="20"/>
              </w:rPr>
            </w:pPr>
            <w:r w:rsidRPr="006F165C">
              <w:rPr>
                <w:sz w:val="20"/>
                <w:szCs w:val="20"/>
              </w:rPr>
              <w:t>Node degree</w:t>
            </w:r>
            <w:r>
              <w:rPr>
                <w:sz w:val="20"/>
                <w:szCs w:val="20"/>
              </w:rPr>
              <w:t xml:space="preserve"> (first-order </w:t>
            </w:r>
            <w:r w:rsidRPr="007C6FB3">
              <w:rPr>
                <w:sz w:val="20"/>
                <w:szCs w:val="20"/>
              </w:rPr>
              <w:lastRenderedPageBreak/>
              <w:t xml:space="preserve">and </w:t>
            </w:r>
            <w:r w:rsidRPr="00DD1F85">
              <w:rPr>
                <w:sz w:val="20"/>
                <w:szCs w:val="20"/>
              </w:rPr>
              <w:t>second-order</w:t>
            </w:r>
            <w:r w:rsidRPr="007C6FB3">
              <w:rPr>
                <w:sz w:val="20"/>
                <w:szCs w:val="20"/>
              </w:rPr>
              <w:t>)</w:t>
            </w:r>
          </w:p>
        </w:tc>
        <w:tc>
          <w:tcPr>
            <w:tcW w:w="2359" w:type="dxa"/>
          </w:tcPr>
          <w:p w14:paraId="43154B37" w14:textId="77777777" w:rsidR="00D242D7" w:rsidRDefault="00D242D7" w:rsidP="008F162F">
            <w:pPr>
              <w:rPr>
                <w:rFonts w:eastAsia="Calibri" w:cs="Times New Roman"/>
                <w:sz w:val="20"/>
                <w:szCs w:val="20"/>
                <w:lang w:val="en-GB"/>
              </w:rPr>
            </w:pPr>
            <w:r>
              <w:rPr>
                <w:sz w:val="20"/>
                <w:szCs w:val="20"/>
              </w:rPr>
              <w:lastRenderedPageBreak/>
              <w:t xml:space="preserve">First-order: </w:t>
            </w:r>
            <w:r w:rsidRPr="005F1334">
              <w:rPr>
                <w:rFonts w:eastAsia="Calibri" w:cs="Times New Roman"/>
                <w:sz w:val="20"/>
                <w:szCs w:val="20"/>
                <w:lang w:val="en-GB"/>
              </w:rPr>
              <w:t xml:space="preserve">The degree </w:t>
            </w:r>
            <w:r>
              <w:rPr>
                <w:rFonts w:eastAsia="Calibri" w:cs="Times New Roman"/>
                <w:sz w:val="20"/>
                <w:szCs w:val="20"/>
                <w:lang w:val="en-GB"/>
              </w:rPr>
              <w:t xml:space="preserve">connectivity </w:t>
            </w:r>
            <w:r w:rsidRPr="005F1334">
              <w:rPr>
                <w:rFonts w:eastAsia="Calibri" w:cs="Times New Roman"/>
                <w:sz w:val="20"/>
                <w:szCs w:val="20"/>
                <w:lang w:val="en-GB"/>
              </w:rPr>
              <w:t xml:space="preserve">indicates </w:t>
            </w:r>
            <w:r w:rsidRPr="005F1334">
              <w:rPr>
                <w:rFonts w:eastAsia="Calibri" w:cs="Times New Roman"/>
                <w:sz w:val="20"/>
                <w:szCs w:val="20"/>
                <w:lang w:val="en-GB"/>
              </w:rPr>
              <w:lastRenderedPageBreak/>
              <w:t>the total number of trade links of a country and is identified based on binary network analysis.</w:t>
            </w:r>
            <w:r>
              <w:rPr>
                <w:rFonts w:eastAsia="Calibri" w:cs="Times New Roman"/>
                <w:sz w:val="20"/>
                <w:szCs w:val="20"/>
                <w:lang w:val="en-GB"/>
              </w:rPr>
              <w:t xml:space="preserve"> </w:t>
            </w:r>
            <w:r w:rsidRPr="00EE3D1D">
              <w:rPr>
                <w:rFonts w:eastAsia="Calibri" w:cs="Times New Roman"/>
                <w:sz w:val="20"/>
                <w:szCs w:val="20"/>
                <w:lang w:val="en-GB"/>
              </w:rPr>
              <w:t>Outdegree refer</w:t>
            </w:r>
            <w:r>
              <w:rPr>
                <w:rFonts w:eastAsia="Calibri" w:cs="Times New Roman"/>
                <w:sz w:val="20"/>
                <w:szCs w:val="20"/>
                <w:lang w:val="en-GB"/>
              </w:rPr>
              <w:t>s</w:t>
            </w:r>
            <w:r w:rsidRPr="00EE3D1D">
              <w:rPr>
                <w:rFonts w:eastAsia="Calibri" w:cs="Times New Roman"/>
                <w:sz w:val="20"/>
                <w:szCs w:val="20"/>
                <w:lang w:val="en-GB"/>
              </w:rPr>
              <w:t xml:space="preserve"> to export flows, indegree refer</w:t>
            </w:r>
            <w:r>
              <w:rPr>
                <w:rFonts w:eastAsia="Calibri" w:cs="Times New Roman"/>
                <w:sz w:val="20"/>
                <w:szCs w:val="20"/>
                <w:lang w:val="en-GB"/>
              </w:rPr>
              <w:t>s</w:t>
            </w:r>
            <w:r w:rsidRPr="00EE3D1D">
              <w:rPr>
                <w:rFonts w:eastAsia="Calibri" w:cs="Times New Roman"/>
                <w:sz w:val="20"/>
                <w:szCs w:val="20"/>
                <w:lang w:val="en-GB"/>
              </w:rPr>
              <w:t xml:space="preserve"> to import flows.</w:t>
            </w:r>
            <w:r>
              <w:rPr>
                <w:rFonts w:eastAsia="Calibri" w:cs="Times New Roman"/>
                <w:sz w:val="20"/>
                <w:szCs w:val="20"/>
                <w:lang w:val="en-GB"/>
              </w:rPr>
              <w:t xml:space="preserve"> </w:t>
            </w:r>
            <w:r w:rsidRPr="00AE65EF">
              <w:rPr>
                <w:rFonts w:eastAsia="Calibri" w:cs="Times New Roman"/>
                <w:sz w:val="20"/>
                <w:szCs w:val="20"/>
                <w:lang w:val="en-GB"/>
              </w:rPr>
              <w:t xml:space="preserve">In </w:t>
            </w:r>
            <w:r>
              <w:rPr>
                <w:rFonts w:eastAsia="Calibri" w:cs="Times New Roman"/>
                <w:sz w:val="20"/>
                <w:szCs w:val="20"/>
                <w:lang w:val="en-GB"/>
              </w:rPr>
              <w:t>this</w:t>
            </w:r>
            <w:r w:rsidRPr="00AE65EF">
              <w:rPr>
                <w:rFonts w:eastAsia="Calibri" w:cs="Times New Roman"/>
                <w:sz w:val="20"/>
                <w:szCs w:val="20"/>
                <w:lang w:val="en-GB"/>
              </w:rPr>
              <w:t xml:space="preserve"> analysis, the in-/out-degree of a country is normalized by the total number of theoretically possible degrees. In the directed network, the total possible number of degrees (links) </w:t>
            </w:r>
            <w:r>
              <w:rPr>
                <w:rFonts w:eastAsia="Calibri" w:cs="Times New Roman"/>
                <w:sz w:val="20"/>
                <w:szCs w:val="20"/>
                <w:lang w:val="en-GB"/>
              </w:rPr>
              <w:t xml:space="preserve">for each node (country) </w:t>
            </w:r>
            <w:r w:rsidRPr="00AE65EF">
              <w:rPr>
                <w:rFonts w:eastAsia="Calibri" w:cs="Times New Roman"/>
                <w:sz w:val="20"/>
                <w:szCs w:val="20"/>
                <w:lang w:val="en-GB"/>
              </w:rPr>
              <w:t>is: (</w:t>
            </w:r>
            <w:r>
              <w:rPr>
                <w:rFonts w:eastAsia="Calibri" w:cs="Times New Roman"/>
                <w:sz w:val="20"/>
                <w:szCs w:val="20"/>
                <w:lang w:val="en-GB"/>
              </w:rPr>
              <w:t>n</w:t>
            </w:r>
            <w:r w:rsidRPr="00AE65EF">
              <w:rPr>
                <w:rFonts w:eastAsia="Calibri" w:cs="Times New Roman"/>
                <w:sz w:val="20"/>
                <w:szCs w:val="20"/>
                <w:lang w:val="en-GB"/>
              </w:rPr>
              <w:t xml:space="preserve"> – 1)*2.</w:t>
            </w:r>
          </w:p>
          <w:p w14:paraId="22F345AA" w14:textId="77777777" w:rsidR="00D242D7" w:rsidRDefault="00D242D7" w:rsidP="008F162F">
            <w:pPr>
              <w:rPr>
                <w:rFonts w:eastAsia="Calibri" w:cs="Times New Roman"/>
                <w:sz w:val="20"/>
                <w:szCs w:val="20"/>
                <w:lang w:val="en-GB"/>
              </w:rPr>
            </w:pPr>
          </w:p>
          <w:p w14:paraId="69C44593" w14:textId="77777777" w:rsidR="00D242D7" w:rsidRPr="00E52C81" w:rsidRDefault="00D242D7" w:rsidP="008F162F">
            <w:pPr>
              <w:rPr>
                <w:sz w:val="20"/>
                <w:szCs w:val="20"/>
              </w:rPr>
            </w:pPr>
            <w:r w:rsidRPr="00E52C81">
              <w:rPr>
                <w:rFonts w:eastAsia="Calibri" w:cs="Times New Roman"/>
                <w:sz w:val="20"/>
                <w:szCs w:val="20"/>
                <w:lang w:val="en-GB"/>
              </w:rPr>
              <w:t xml:space="preserve">Second-order: </w:t>
            </w:r>
            <w:r>
              <w:rPr>
                <w:rFonts w:eastAsia="Calibri" w:cs="Times New Roman"/>
                <w:sz w:val="20"/>
                <w:szCs w:val="20"/>
                <w:lang w:val="en-GB"/>
              </w:rPr>
              <w:t>S</w:t>
            </w:r>
            <w:r w:rsidRPr="00DD1F85">
              <w:rPr>
                <w:rFonts w:eastAsia="Calibri" w:cs="Times New Roman"/>
                <w:sz w:val="20"/>
                <w:szCs w:val="20"/>
                <w:lang w:val="en-GB"/>
              </w:rPr>
              <w:t xml:space="preserve">econd-order degree is defined as the sum of the first-order degree of all direct trade partners. </w:t>
            </w:r>
            <w:r w:rsidRPr="00DD1F85">
              <w:rPr>
                <w:rFonts w:eastAsia="Calibri" w:cs="Times New Roman"/>
                <w:sz w:val="20"/>
                <w:szCs w:val="20"/>
              </w:rPr>
              <w:t>The second-order degree is normalized by its maximum across years.</w:t>
            </w:r>
          </w:p>
        </w:tc>
        <w:tc>
          <w:tcPr>
            <w:tcW w:w="1350" w:type="dxa"/>
          </w:tcPr>
          <w:p w14:paraId="29AE08CC" w14:textId="77777777" w:rsidR="00D242D7" w:rsidRPr="006F165C" w:rsidRDefault="00D242D7" w:rsidP="008F162F">
            <w:pPr>
              <w:rPr>
                <w:sz w:val="20"/>
                <w:szCs w:val="20"/>
              </w:rPr>
            </w:pPr>
            <w:r>
              <w:rPr>
                <w:sz w:val="20"/>
                <w:szCs w:val="20"/>
              </w:rPr>
              <w:lastRenderedPageBreak/>
              <w:t xml:space="preserve">Local and global </w:t>
            </w:r>
            <w:r>
              <w:rPr>
                <w:sz w:val="20"/>
                <w:szCs w:val="20"/>
              </w:rPr>
              <w:lastRenderedPageBreak/>
              <w:t>average</w:t>
            </w:r>
          </w:p>
        </w:tc>
        <w:tc>
          <w:tcPr>
            <w:tcW w:w="1710" w:type="dxa"/>
          </w:tcPr>
          <w:p w14:paraId="14943F45" w14:textId="77777777" w:rsidR="00D242D7" w:rsidRPr="006F165C" w:rsidRDefault="00D242D7" w:rsidP="008F162F">
            <w:pPr>
              <w:rPr>
                <w:sz w:val="20"/>
                <w:szCs w:val="20"/>
              </w:rPr>
            </w:pPr>
            <w:r>
              <w:rPr>
                <w:sz w:val="20"/>
                <w:szCs w:val="20"/>
              </w:rPr>
              <w:lastRenderedPageBreak/>
              <w:t>Directed, unweighted</w:t>
            </w:r>
          </w:p>
        </w:tc>
        <w:tc>
          <w:tcPr>
            <w:tcW w:w="2605" w:type="dxa"/>
          </w:tcPr>
          <w:p w14:paraId="164C06A5" w14:textId="77777777" w:rsidR="00D242D7" w:rsidRDefault="00D242D7" w:rsidP="008F162F">
            <w:pPr>
              <w:rPr>
                <w:rFonts w:eastAsia="Times New Roman" w:cs="Times New Roman"/>
                <w:color w:val="000000"/>
                <w:sz w:val="20"/>
                <w:szCs w:val="20"/>
                <w:lang w:val="en-GB"/>
              </w:rPr>
            </w:pPr>
            <w:r>
              <w:rPr>
                <w:rFonts w:eastAsia="Calibri" w:cs="Times New Roman"/>
                <w:color w:val="000000"/>
                <w:sz w:val="20"/>
                <w:szCs w:val="20"/>
                <w:lang w:val="en-GB"/>
              </w:rPr>
              <w:t xml:space="preserve">First-order: </w:t>
            </w:r>
            <w:r w:rsidRPr="00597FDC">
              <w:rPr>
                <w:rFonts w:eastAsia="Calibri" w:cs="Times New Roman"/>
                <w:color w:val="000000"/>
                <w:sz w:val="20"/>
                <w:szCs w:val="20"/>
                <w:lang w:val="en-GB"/>
              </w:rPr>
              <w:t xml:space="preserve">The degree connectivity is the degree </w:t>
            </w:r>
            <w:r w:rsidRPr="00597FDC">
              <w:rPr>
                <w:rFonts w:eastAsia="Calibri" w:cs="Times New Roman"/>
                <w:color w:val="000000"/>
                <w:sz w:val="20"/>
                <w:szCs w:val="20"/>
                <w:lang w:val="en-GB"/>
              </w:rPr>
              <w:lastRenderedPageBreak/>
              <w:t>of the network (</w:t>
            </w:r>
            <w:r w:rsidRPr="00597FDC">
              <w:rPr>
                <w:rFonts w:eastAsia="Calibri" w:cs="Times New Roman"/>
                <w:i/>
                <w:color w:val="000000"/>
                <w:sz w:val="20"/>
                <w:szCs w:val="20"/>
                <w:lang w:val="en-GB"/>
              </w:rPr>
              <w:t>d</w:t>
            </w:r>
            <w:r w:rsidRPr="00597FDC">
              <w:rPr>
                <w:rFonts w:eastAsia="Calibri" w:cs="Times New Roman"/>
                <w:color w:val="000000"/>
                <w:sz w:val="20"/>
                <w:szCs w:val="20"/>
                <w:lang w:val="en-GB"/>
              </w:rPr>
              <w:t xml:space="preserve">) over the maximum possible degree </w:t>
            </w:r>
            <m:oMath>
              <m:r>
                <w:rPr>
                  <w:rFonts w:ascii="Cambria Math" w:eastAsia="Calibri" w:hAnsi="Cambria Math" w:cs="Times New Roman"/>
                  <w:color w:val="000000"/>
                  <w:sz w:val="20"/>
                  <w:szCs w:val="20"/>
                  <w:lang w:val="en-GB"/>
                </w:rPr>
                <m:t>2(n-1)</m:t>
              </m:r>
            </m:oMath>
            <w:r w:rsidRPr="00597FDC">
              <w:rPr>
                <w:rFonts w:eastAsia="Calibri" w:cs="Times New Roman"/>
                <w:color w:val="000000"/>
                <w:sz w:val="20"/>
                <w:szCs w:val="20"/>
                <w:lang w:val="en-GB"/>
              </w:rPr>
              <w:t xml:space="preserve">: </w:t>
            </w:r>
            <m:oMath>
              <m:sSubSup>
                <m:sSubSupPr>
                  <m:ctrlPr>
                    <w:rPr>
                      <w:rFonts w:ascii="Cambria Math" w:eastAsia="Calibri" w:hAnsi="Cambria Math" w:cs="Times New Roman"/>
                      <w:color w:val="000000"/>
                      <w:sz w:val="20"/>
                      <w:szCs w:val="20"/>
                      <w:lang w:val="en-GB"/>
                    </w:rPr>
                  </m:ctrlPr>
                </m:sSubSupPr>
                <m:e>
                  <m:r>
                    <m:rPr>
                      <m:scr m:val="script"/>
                      <m:sty m:val="p"/>
                    </m:rPr>
                    <w:rPr>
                      <w:rFonts w:ascii="Cambria Math" w:eastAsia="Calibri" w:hAnsi="Cambria Math" w:cs="Times New Roman"/>
                      <w:color w:val="000000"/>
                      <w:sz w:val="20"/>
                      <w:szCs w:val="20"/>
                      <w:lang w:val="en-GB"/>
                    </w:rPr>
                    <m:t>b</m:t>
                  </m:r>
                </m:e>
                <m:sub>
                  <m:r>
                    <m:rPr>
                      <m:sty m:val="p"/>
                    </m:rPr>
                    <w:rPr>
                      <w:rFonts w:ascii="Cambria Math" w:eastAsia="Calibri" w:hAnsi="Cambria Math" w:cs="Times New Roman"/>
                      <w:color w:val="000000"/>
                      <w:sz w:val="20"/>
                      <w:szCs w:val="20"/>
                      <w:lang w:val="en-GB"/>
                    </w:rPr>
                    <m:t>i</m:t>
                  </m:r>
                </m:sub>
                <m:sup>
                  <m:r>
                    <m:rPr>
                      <m:sty m:val="p"/>
                    </m:rPr>
                    <w:rPr>
                      <w:rFonts w:ascii="Cambria Math" w:eastAsia="Calibri" w:hAnsi="Cambria Math" w:cs="Times New Roman"/>
                      <w:color w:val="000000"/>
                      <w:sz w:val="20"/>
                      <w:szCs w:val="20"/>
                      <w:lang w:val="en-GB"/>
                    </w:rPr>
                    <m:t>d</m:t>
                  </m:r>
                </m:sup>
              </m:sSubSup>
              <m:r>
                <m:rPr>
                  <m:sty m:val="p"/>
                </m:rPr>
                <w:rPr>
                  <w:rFonts w:ascii="Cambria Math" w:eastAsia="Calibri" w:hAnsi="Cambria Math" w:cs="Times New Roman"/>
                  <w:color w:val="000000"/>
                  <w:sz w:val="20"/>
                  <w:szCs w:val="20"/>
                  <w:lang w:val="en-GB"/>
                </w:rPr>
                <m:t>=</m:t>
              </m:r>
              <m:f>
                <m:fPr>
                  <m:ctrlPr>
                    <w:rPr>
                      <w:rFonts w:ascii="Cambria Math" w:eastAsia="Calibri" w:hAnsi="Cambria Math" w:cs="Times New Roman"/>
                      <w:color w:val="000000"/>
                      <w:sz w:val="20"/>
                      <w:szCs w:val="20"/>
                      <w:lang w:val="en-GB"/>
                    </w:rPr>
                  </m:ctrlPr>
                </m:fPr>
                <m:num>
                  <m:r>
                    <m:rPr>
                      <m:sty m:val="p"/>
                    </m:rPr>
                    <w:rPr>
                      <w:rFonts w:ascii="Cambria Math" w:eastAsia="Calibri" w:hAnsi="Cambria Math" w:cs="Times New Roman"/>
                      <w:color w:val="000000"/>
                      <w:sz w:val="20"/>
                      <w:szCs w:val="20"/>
                      <w:lang w:val="en-GB"/>
                    </w:rPr>
                    <m:t>d</m:t>
                  </m:r>
                </m:num>
                <m:den>
                  <m:r>
                    <m:rPr>
                      <m:sty m:val="p"/>
                    </m:rPr>
                    <w:rPr>
                      <w:rFonts w:ascii="Cambria Math" w:eastAsia="Calibri" w:hAnsi="Cambria Math" w:cs="Times New Roman"/>
                      <w:color w:val="000000"/>
                      <w:sz w:val="20"/>
                      <w:szCs w:val="20"/>
                      <w:lang w:val="en-GB"/>
                    </w:rPr>
                    <m:t>2</m:t>
                  </m:r>
                  <m:r>
                    <w:rPr>
                      <w:rFonts w:ascii="Cambria Math" w:eastAsia="Calibri" w:hAnsi="Cambria Math" w:cs="Times New Roman"/>
                      <w:color w:val="000000"/>
                      <w:sz w:val="20"/>
                      <w:szCs w:val="20"/>
                      <w:lang w:val="en-GB"/>
                    </w:rPr>
                    <m:t>(</m:t>
                  </m:r>
                  <m:r>
                    <m:rPr>
                      <m:sty m:val="p"/>
                    </m:rPr>
                    <w:rPr>
                      <w:rFonts w:ascii="Cambria Math" w:eastAsia="Calibri" w:hAnsi="Cambria Math" w:cs="Times New Roman"/>
                      <w:color w:val="000000"/>
                      <w:sz w:val="20"/>
                      <w:szCs w:val="20"/>
                      <w:lang w:val="en-GB"/>
                    </w:rPr>
                    <m:t>n-1)</m:t>
                  </m:r>
                </m:den>
              </m:f>
            </m:oMath>
            <w:r w:rsidRPr="00597FDC">
              <w:rPr>
                <w:rFonts w:eastAsia="Times New Roman" w:cs="Times New Roman"/>
                <w:color w:val="000000"/>
                <w:sz w:val="20"/>
                <w:szCs w:val="20"/>
                <w:lang w:val="en-GB"/>
              </w:rPr>
              <w:t xml:space="preserve"> .</w:t>
            </w:r>
          </w:p>
          <w:p w14:paraId="7DA7B3D7" w14:textId="77777777" w:rsidR="00D242D7" w:rsidRDefault="00D242D7" w:rsidP="008F162F">
            <w:pPr>
              <w:rPr>
                <w:rFonts w:eastAsia="Times New Roman" w:cs="Times New Roman"/>
                <w:color w:val="000000"/>
                <w:sz w:val="20"/>
                <w:szCs w:val="20"/>
                <w:lang w:val="en-GB"/>
              </w:rPr>
            </w:pPr>
          </w:p>
          <w:p w14:paraId="25AB3F62" w14:textId="2DBF1208" w:rsidR="00D242D7" w:rsidRPr="00F73CDD" w:rsidRDefault="00D242D7" w:rsidP="008F162F">
            <w:pPr>
              <w:rPr>
                <w:sz w:val="20"/>
                <w:szCs w:val="20"/>
              </w:rPr>
            </w:pPr>
            <w:r w:rsidRPr="00F73CDD">
              <w:rPr>
                <w:rFonts w:eastAsia="Times New Roman" w:cs="Times New Roman"/>
                <w:color w:val="000000"/>
                <w:sz w:val="20"/>
                <w:szCs w:val="20"/>
                <w:lang w:val="en-GB"/>
              </w:rPr>
              <w:t xml:space="preserve">Second-order: </w:t>
            </w:r>
            <w:r w:rsidRPr="00F73CDD">
              <w:rPr>
                <w:rFonts w:eastAsia="Calibri" w:cs="Times New Roman"/>
                <w:sz w:val="20"/>
                <w:szCs w:val="20"/>
              </w:rPr>
              <w:t>Second-order degrees are calculated by multiplying the binary trade matrix with itself (</w:t>
            </w:r>
            <w:r>
              <w:rPr>
                <w:rFonts w:eastAsia="Calibri" w:cs="Times New Roman"/>
                <w:sz w:val="20"/>
                <w:szCs w:val="20"/>
              </w:rPr>
              <w:t xml:space="preserve">following </w:t>
            </w:r>
            <w:r>
              <w:rPr>
                <w:rFonts w:eastAsia="Calibri" w:cs="Times New Roman"/>
                <w:sz w:val="20"/>
                <w:szCs w:val="20"/>
              </w:rPr>
              <w:fldChar w:fldCharType="begin"/>
            </w:r>
            <w:r w:rsidR="0060464F">
              <w:rPr>
                <w:rFonts w:eastAsia="Calibri" w:cs="Times New Roman"/>
                <w:sz w:val="20"/>
                <w:szCs w:val="20"/>
              </w:rPr>
              <w:instrText xml:space="preserve"> ADDIN ZOTERO_ITEM CSL_CITATION {"citationID":"Kt2wZw5h","properties":{"formattedCitation":"(Acemoglu {\\i{}et al.}, 2012b; Sartori and Schiavo, 2015)","plainCitation":"(Acemoglu et al., 2012b; Sartori and Schiavo, 2015)","noteIndex":0},"citationItems":[{"id":"1qXGYDro/YZ0u9ka1","uris":["http://zotero.org/users/203136/items/66VUE4JR"],"itemData":{"id":1630,"type":"article-journal","abstract":"This paper argues that, in the presence of intersectoral input–output linkages, microeconomic idiosyncratic shocks may lead to aggregate fluctuations. We show that, as the economy becomes more disaggregated, the rate at which aggregate volatility decays is determined by the structure of the network capturing such linkages. Our main results provide a characterization of this relationship in terms of the importance of different sectors as suppliers to their immediate customers, as well as their role as indirect suppliers to chains of downstream sectors. Such higher-order interconnections capture the possibility of “cascade effects” whereby productivity shocks to a sector propagate not only to its immediate downstream customers, but also to the rest of the economy. Our results highlight that sizable aggregate volatility is obtained from sectoral idiosyncratic shocks only if there exists significant asymmetry in the roles that sectors play as suppliers to others, and that the “sparseness” of the input–output matrix is unrelated to the nature of aggregate fluctuations.","container-title":"Econometrica","DOI":"10.3982/ECTA9623","ISSN":"1468-0262","issue":"5","language":"en","note":"_eprint: https://onlinelibrary.wiley.com/doi/pdf/10.3982/ECTA9623","page":"1977-2016","source":"Wiley Online Library","title":"The Network Origins of Aggregate Fluctuations","volume":"80","author":[{"family":"Acemoglu","given":"Daron"},{"family":"Carvalho","given":"Vasco M."},{"family":"Ozdaglar","given":"Asuman"},{"family":"Tahbaz-Salehi","given":"Alireza"}],"issued":{"date-parts":[["2012"]]}}},{"id":"1qXGYDro/yLQbwru8","uris":["http://zotero.org/users/203136/items/ZTJKRYTM"],"itemData":{"id":1226,"type":"article-journal","abstract":"We analyze the link between virtual water trade, that is, the flow of water embodied in the international trade of agricultural goods, and vulnerability to external shocks from the vantage point of network analysis. While a large body of work has shown that virtual water trade can enhance water saving on a global scale, being especially beneficial to arid countries, there are increasing concerns that openness makes countries more dependent on foreign food suppliers and, in this way, more prone to external shocks. Our evidence reveals that the increased globalization witnessed in the last three decades is not associated with the increased frequency of adverse shocks (in food production). Furthermore, building on recent advances in network analysis that connect the stability of a complex system to its topological features, we find that the world is more interconnected, but not necessarily less stable.","container-title":"Food Policy","DOI":"10.1016/j.foodpol.2015.10.004","ISSN":"0306-9192","journalAbbreviation":"Food Policy","language":"en","page":"114-127","source":"ScienceDirect","title":"Connected we stand: A network perspective on trade and global food security","title-short":"Connected we stand","volume":"57","author":[{"family":"Sartori","given":"Martina"},{"family":"Schiavo","given":"Stefano"}],"issued":{"date-parts":[["2015",11,1]]}}}],"schema":"https://github.com/citation-style-language/schema/raw/master/csl-citation.json"} </w:instrText>
            </w:r>
            <w:r>
              <w:rPr>
                <w:rFonts w:eastAsia="Calibri" w:cs="Times New Roman"/>
                <w:sz w:val="20"/>
                <w:szCs w:val="20"/>
              </w:rPr>
              <w:fldChar w:fldCharType="separate"/>
            </w:r>
            <w:r w:rsidR="001C6E26" w:rsidRPr="001C6E26">
              <w:rPr>
                <w:rFonts w:cs="Times New Roman"/>
                <w:sz w:val="20"/>
                <w:szCs w:val="24"/>
              </w:rPr>
              <w:t xml:space="preserve">(Acemoglu </w:t>
            </w:r>
            <w:r w:rsidR="001C6E26" w:rsidRPr="001C6E26">
              <w:rPr>
                <w:rFonts w:cs="Times New Roman"/>
                <w:i/>
                <w:iCs/>
                <w:sz w:val="20"/>
                <w:szCs w:val="24"/>
              </w:rPr>
              <w:t>et al.</w:t>
            </w:r>
            <w:r w:rsidR="001C6E26" w:rsidRPr="001C6E26">
              <w:rPr>
                <w:rFonts w:cs="Times New Roman"/>
                <w:sz w:val="20"/>
                <w:szCs w:val="24"/>
              </w:rPr>
              <w:t>, 2012b; Sartori and Schiavo, 2015)</w:t>
            </w:r>
            <w:r>
              <w:rPr>
                <w:rFonts w:eastAsia="Calibri" w:cs="Times New Roman"/>
                <w:sz w:val="20"/>
                <w:szCs w:val="20"/>
              </w:rPr>
              <w:fldChar w:fldCharType="end"/>
            </w:r>
            <w:r w:rsidRPr="00F73CDD">
              <w:rPr>
                <w:rFonts w:eastAsia="Calibri" w:cs="Times New Roman"/>
                <w:sz w:val="20"/>
                <w:szCs w:val="20"/>
              </w:rPr>
              <w:t>.</w:t>
            </w:r>
          </w:p>
        </w:tc>
      </w:tr>
      <w:tr w:rsidR="00D242D7" w:rsidRPr="006F165C" w14:paraId="4EC47816" w14:textId="77777777" w:rsidTr="008F162F">
        <w:tc>
          <w:tcPr>
            <w:tcW w:w="1326" w:type="dxa"/>
          </w:tcPr>
          <w:p w14:paraId="0C3DFECC" w14:textId="77777777" w:rsidR="00D242D7" w:rsidRPr="006F165C" w:rsidRDefault="00D242D7" w:rsidP="008F162F">
            <w:pPr>
              <w:rPr>
                <w:sz w:val="20"/>
                <w:szCs w:val="20"/>
              </w:rPr>
            </w:pPr>
            <w:r w:rsidRPr="006F165C">
              <w:rPr>
                <w:sz w:val="20"/>
                <w:szCs w:val="20"/>
              </w:rPr>
              <w:lastRenderedPageBreak/>
              <w:t>Node strength</w:t>
            </w:r>
            <w:r>
              <w:rPr>
                <w:sz w:val="20"/>
                <w:szCs w:val="20"/>
              </w:rPr>
              <w:t xml:space="preserve"> (</w:t>
            </w:r>
            <w:r w:rsidRPr="005122D4">
              <w:rPr>
                <w:sz w:val="20"/>
                <w:szCs w:val="20"/>
              </w:rPr>
              <w:t xml:space="preserve">first-order and </w:t>
            </w:r>
            <w:r w:rsidRPr="00DD1F85">
              <w:rPr>
                <w:sz w:val="20"/>
                <w:szCs w:val="20"/>
              </w:rPr>
              <w:t>second-order</w:t>
            </w:r>
            <w:r w:rsidRPr="005122D4">
              <w:rPr>
                <w:sz w:val="20"/>
                <w:szCs w:val="20"/>
              </w:rPr>
              <w:t>)</w:t>
            </w:r>
          </w:p>
        </w:tc>
        <w:tc>
          <w:tcPr>
            <w:tcW w:w="2359" w:type="dxa"/>
          </w:tcPr>
          <w:p w14:paraId="41648059" w14:textId="77777777" w:rsidR="00D242D7" w:rsidRPr="00CC4908" w:rsidRDefault="00D242D7" w:rsidP="008F162F">
            <w:pPr>
              <w:rPr>
                <w:rFonts w:eastAsia="Calibri" w:cs="Times New Roman"/>
                <w:sz w:val="20"/>
                <w:szCs w:val="20"/>
                <w:lang w:val="en-GB"/>
              </w:rPr>
            </w:pPr>
            <w:r w:rsidRPr="00CC4908">
              <w:rPr>
                <w:rFonts w:eastAsia="Calibri" w:cs="Times New Roman"/>
                <w:sz w:val="20"/>
                <w:szCs w:val="20"/>
                <w:lang w:val="en-GB"/>
              </w:rPr>
              <w:t>First-order: Strength indicates the total number of traded products or the trade value associated with each aggregate trade flow</w:t>
            </w:r>
            <w:r>
              <w:rPr>
                <w:rFonts w:eastAsia="Calibri" w:cs="Times New Roman"/>
                <w:sz w:val="20"/>
                <w:szCs w:val="20"/>
                <w:lang w:val="en-GB"/>
              </w:rPr>
              <w:t>.</w:t>
            </w:r>
            <w:r w:rsidRPr="00CC4908">
              <w:rPr>
                <w:rFonts w:eastAsia="Calibri" w:cs="Times New Roman"/>
                <w:sz w:val="20"/>
                <w:szCs w:val="20"/>
                <w:lang w:val="en-GB"/>
              </w:rPr>
              <w:t xml:space="preserve"> </w:t>
            </w:r>
            <w:r>
              <w:rPr>
                <w:rFonts w:eastAsia="Calibri" w:cs="Times New Roman"/>
                <w:sz w:val="20"/>
                <w:szCs w:val="20"/>
                <w:lang w:val="en-GB"/>
              </w:rPr>
              <w:t>I</w:t>
            </w:r>
            <w:r w:rsidRPr="00CC4908">
              <w:rPr>
                <w:rFonts w:eastAsia="Calibri" w:cs="Times New Roman"/>
                <w:sz w:val="20"/>
                <w:szCs w:val="20"/>
                <w:lang w:val="en-GB"/>
              </w:rPr>
              <w:t xml:space="preserve">t is derived from weighted network analysis. Outstrength refers to export flows, instrength refers to import flows. The in-/out-strength of a country is normalized by dividing by the highest observed in-/out-strength across years. </w:t>
            </w:r>
          </w:p>
          <w:p w14:paraId="479C9E90" w14:textId="77777777" w:rsidR="00D242D7" w:rsidRPr="00CC4908" w:rsidRDefault="00D242D7" w:rsidP="008F162F">
            <w:pPr>
              <w:rPr>
                <w:rFonts w:eastAsia="Calibri" w:cs="Times New Roman"/>
                <w:sz w:val="20"/>
                <w:szCs w:val="20"/>
                <w:lang w:val="en-GB"/>
              </w:rPr>
            </w:pPr>
          </w:p>
          <w:p w14:paraId="5E7BD80C" w14:textId="77777777" w:rsidR="00D242D7" w:rsidRPr="00CC4908" w:rsidRDefault="00D242D7" w:rsidP="008F162F">
            <w:pPr>
              <w:rPr>
                <w:sz w:val="20"/>
                <w:szCs w:val="20"/>
              </w:rPr>
            </w:pPr>
            <w:r w:rsidRPr="00CC4908">
              <w:rPr>
                <w:rFonts w:eastAsia="Calibri" w:cs="Times New Roman"/>
                <w:sz w:val="20"/>
                <w:szCs w:val="20"/>
                <w:lang w:val="en-GB"/>
              </w:rPr>
              <w:t xml:space="preserve">Second-order: </w:t>
            </w:r>
            <w:r>
              <w:rPr>
                <w:rFonts w:eastAsia="Calibri" w:cs="Times New Roman"/>
                <w:sz w:val="20"/>
                <w:szCs w:val="20"/>
                <w:lang w:val="en-GB"/>
              </w:rPr>
              <w:t>S</w:t>
            </w:r>
            <w:r w:rsidRPr="00CC4908">
              <w:rPr>
                <w:rFonts w:eastAsia="Calibri" w:cs="Times New Roman"/>
                <w:sz w:val="20"/>
                <w:szCs w:val="20"/>
                <w:lang w:val="en-GB"/>
              </w:rPr>
              <w:t xml:space="preserve">econd-order strength </w:t>
            </w:r>
            <w:r>
              <w:rPr>
                <w:rFonts w:eastAsia="Calibri" w:cs="Times New Roman"/>
                <w:sz w:val="20"/>
                <w:szCs w:val="20"/>
                <w:lang w:val="en-GB"/>
              </w:rPr>
              <w:t xml:space="preserve">is defined </w:t>
            </w:r>
            <w:r w:rsidRPr="00CC4908">
              <w:rPr>
                <w:rFonts w:eastAsia="Calibri" w:cs="Times New Roman"/>
                <w:sz w:val="20"/>
                <w:szCs w:val="20"/>
                <w:lang w:val="en-GB"/>
              </w:rPr>
              <w:t xml:space="preserve">as the sum of the first-order strength of all direct trade partners. </w:t>
            </w:r>
            <w:r w:rsidRPr="00CC4908">
              <w:rPr>
                <w:rFonts w:eastAsia="Calibri" w:cs="Times New Roman"/>
                <w:sz w:val="20"/>
                <w:szCs w:val="20"/>
              </w:rPr>
              <w:t>The second-order strength is normalized by its maximum across years.</w:t>
            </w:r>
          </w:p>
        </w:tc>
        <w:tc>
          <w:tcPr>
            <w:tcW w:w="1350" w:type="dxa"/>
          </w:tcPr>
          <w:p w14:paraId="501C271D" w14:textId="77777777" w:rsidR="00D242D7" w:rsidRPr="006F165C" w:rsidRDefault="00D242D7" w:rsidP="008F162F">
            <w:pPr>
              <w:rPr>
                <w:sz w:val="20"/>
                <w:szCs w:val="20"/>
              </w:rPr>
            </w:pPr>
            <w:r>
              <w:rPr>
                <w:sz w:val="20"/>
                <w:szCs w:val="20"/>
              </w:rPr>
              <w:t>Local and global average</w:t>
            </w:r>
          </w:p>
        </w:tc>
        <w:tc>
          <w:tcPr>
            <w:tcW w:w="1710" w:type="dxa"/>
          </w:tcPr>
          <w:p w14:paraId="63156CCF" w14:textId="77777777" w:rsidR="00D242D7" w:rsidRPr="006F165C" w:rsidRDefault="00D242D7" w:rsidP="008F162F">
            <w:pPr>
              <w:rPr>
                <w:sz w:val="20"/>
                <w:szCs w:val="20"/>
              </w:rPr>
            </w:pPr>
            <w:r>
              <w:rPr>
                <w:sz w:val="20"/>
                <w:szCs w:val="20"/>
              </w:rPr>
              <w:t>Directed, weighted</w:t>
            </w:r>
          </w:p>
        </w:tc>
        <w:tc>
          <w:tcPr>
            <w:tcW w:w="2605" w:type="dxa"/>
          </w:tcPr>
          <w:p w14:paraId="47FC22E8" w14:textId="77777777" w:rsidR="00D242D7" w:rsidRPr="007A6CFF" w:rsidRDefault="00D242D7" w:rsidP="008F162F">
            <w:pPr>
              <w:rPr>
                <w:sz w:val="20"/>
                <w:szCs w:val="20"/>
              </w:rPr>
            </w:pPr>
            <w:r w:rsidRPr="007A6CFF">
              <w:rPr>
                <w:sz w:val="20"/>
                <w:szCs w:val="20"/>
              </w:rPr>
              <w:t xml:space="preserve">First-order: </w:t>
            </w:r>
            <w:r w:rsidRPr="002432B7">
              <w:rPr>
                <w:sz w:val="20"/>
                <w:szCs w:val="20"/>
              </w:rPr>
              <w:t xml:space="preserve"> Sum of columns (exporter country) for each row (importer country) of </w:t>
            </w:r>
            <w:r>
              <w:rPr>
                <w:sz w:val="20"/>
                <w:szCs w:val="20"/>
              </w:rPr>
              <w:t>the trade</w:t>
            </w:r>
            <w:r w:rsidRPr="002432B7">
              <w:rPr>
                <w:sz w:val="20"/>
                <w:szCs w:val="20"/>
              </w:rPr>
              <w:t xml:space="preserve"> matrix for each year. The sum is normalised </w:t>
            </w:r>
            <w:r w:rsidRPr="002432B7">
              <w:rPr>
                <w:sz w:val="20"/>
                <w:szCs w:val="20"/>
                <w:lang w:val="en-GB"/>
              </w:rPr>
              <w:t>by dividing by the highest observed in-/out-strength across countries and years.</w:t>
            </w:r>
          </w:p>
          <w:p w14:paraId="2ED3F2BA" w14:textId="77777777" w:rsidR="00D242D7" w:rsidRPr="007A6CFF" w:rsidRDefault="00D242D7" w:rsidP="008F162F">
            <w:pPr>
              <w:rPr>
                <w:sz w:val="20"/>
                <w:szCs w:val="20"/>
              </w:rPr>
            </w:pPr>
          </w:p>
          <w:p w14:paraId="1413983F" w14:textId="77777777" w:rsidR="00D242D7" w:rsidRPr="006F165C" w:rsidRDefault="00D242D7" w:rsidP="008F162F">
            <w:pPr>
              <w:rPr>
                <w:sz w:val="20"/>
                <w:szCs w:val="20"/>
              </w:rPr>
            </w:pPr>
            <w:r w:rsidRPr="007A6CFF">
              <w:rPr>
                <w:sz w:val="20"/>
                <w:szCs w:val="20"/>
              </w:rPr>
              <w:t xml:space="preserve">Second-order: </w:t>
            </w:r>
            <w:r w:rsidRPr="007A6CFF">
              <w:rPr>
                <w:rFonts w:eastAsia="Calibri" w:cs="Times New Roman"/>
                <w:sz w:val="20"/>
                <w:szCs w:val="20"/>
              </w:rPr>
              <w:t>Product- and trade value-weighted trade matrices are multiplied with the transpose of the normalized first-order strength matrix.</w:t>
            </w:r>
          </w:p>
        </w:tc>
      </w:tr>
      <w:tr w:rsidR="00D242D7" w:rsidRPr="006F165C" w14:paraId="3AB869E4" w14:textId="77777777" w:rsidTr="008F162F">
        <w:tc>
          <w:tcPr>
            <w:tcW w:w="1326" w:type="dxa"/>
          </w:tcPr>
          <w:p w14:paraId="623FBD9B" w14:textId="77777777" w:rsidR="00D242D7" w:rsidRPr="006F165C" w:rsidRDefault="00D242D7" w:rsidP="008F162F">
            <w:pPr>
              <w:rPr>
                <w:sz w:val="20"/>
                <w:szCs w:val="20"/>
              </w:rPr>
            </w:pPr>
            <w:r w:rsidRPr="006F165C">
              <w:rPr>
                <w:sz w:val="20"/>
                <w:szCs w:val="20"/>
              </w:rPr>
              <w:lastRenderedPageBreak/>
              <w:t xml:space="preserve">Eigenvector </w:t>
            </w:r>
            <w:r>
              <w:rPr>
                <w:sz w:val="20"/>
                <w:szCs w:val="20"/>
              </w:rPr>
              <w:t>centrality</w:t>
            </w:r>
          </w:p>
        </w:tc>
        <w:tc>
          <w:tcPr>
            <w:tcW w:w="2359" w:type="dxa"/>
          </w:tcPr>
          <w:p w14:paraId="4259C670" w14:textId="77777777" w:rsidR="00D242D7" w:rsidRPr="00CC4908" w:rsidRDefault="00D242D7" w:rsidP="008F162F">
            <w:pPr>
              <w:rPr>
                <w:rFonts w:eastAsia="Calibri" w:cs="Times New Roman"/>
                <w:color w:val="000000"/>
                <w:sz w:val="20"/>
                <w:szCs w:val="20"/>
                <w:lang w:val="en-GB"/>
              </w:rPr>
            </w:pPr>
            <w:r>
              <w:rPr>
                <w:rFonts w:eastAsia="Calibri" w:cs="Times New Roman"/>
                <w:color w:val="000000"/>
                <w:sz w:val="20"/>
                <w:szCs w:val="20"/>
                <w:lang w:val="en-GB"/>
              </w:rPr>
              <w:t>C</w:t>
            </w:r>
            <w:r w:rsidRPr="00CC4908">
              <w:rPr>
                <w:rFonts w:eastAsia="Calibri" w:cs="Times New Roman"/>
                <w:color w:val="000000"/>
                <w:sz w:val="20"/>
                <w:szCs w:val="20"/>
                <w:lang w:val="en-GB"/>
              </w:rPr>
              <w:t xml:space="preserve">onnectivity of a node based on the connectivity of </w:t>
            </w:r>
            <w:r>
              <w:rPr>
                <w:rFonts w:eastAsia="Calibri" w:cs="Times New Roman"/>
                <w:color w:val="000000"/>
                <w:sz w:val="20"/>
                <w:szCs w:val="20"/>
                <w:lang w:val="en-GB"/>
              </w:rPr>
              <w:t>its</w:t>
            </w:r>
            <w:r w:rsidRPr="00CC4908">
              <w:rPr>
                <w:rFonts w:eastAsia="Calibri" w:cs="Times New Roman"/>
                <w:color w:val="000000"/>
                <w:sz w:val="20"/>
                <w:szCs w:val="20"/>
                <w:lang w:val="en-GB"/>
              </w:rPr>
              <w:t xml:space="preserve"> neighbours, </w:t>
            </w:r>
            <w:r>
              <w:rPr>
                <w:rFonts w:eastAsia="Calibri" w:cs="Times New Roman"/>
                <w:color w:val="000000"/>
                <w:sz w:val="20"/>
                <w:szCs w:val="20"/>
                <w:lang w:val="en-GB"/>
              </w:rPr>
              <w:t>the neighbours of the</w:t>
            </w:r>
            <w:r w:rsidRPr="00CC4908">
              <w:rPr>
                <w:rFonts w:eastAsia="Calibri" w:cs="Times New Roman"/>
                <w:color w:val="000000"/>
                <w:sz w:val="20"/>
                <w:szCs w:val="20"/>
                <w:lang w:val="en-GB"/>
              </w:rPr>
              <w:t xml:space="preserve"> neighbours and so on</w:t>
            </w:r>
            <w:r>
              <w:rPr>
                <w:rFonts w:eastAsia="Calibri" w:cs="Times New Roman"/>
                <w:color w:val="000000"/>
                <w:sz w:val="20"/>
                <w:szCs w:val="20"/>
                <w:lang w:val="en-GB"/>
              </w:rPr>
              <w:t>, i.e.</w:t>
            </w:r>
            <w:r w:rsidRPr="00CC4908">
              <w:rPr>
                <w:rFonts w:eastAsia="Calibri" w:cs="Times New Roman"/>
                <w:color w:val="000000"/>
                <w:sz w:val="20"/>
                <w:szCs w:val="20"/>
                <w:lang w:val="en-GB"/>
              </w:rPr>
              <w:t xml:space="preserve"> the connectivity of a node proportional to the sum of connectivity indices of </w:t>
            </w:r>
            <w:r>
              <w:rPr>
                <w:rFonts w:eastAsia="Calibri" w:cs="Times New Roman"/>
                <w:color w:val="000000"/>
                <w:sz w:val="20"/>
                <w:szCs w:val="20"/>
                <w:lang w:val="en-GB"/>
              </w:rPr>
              <w:t>its</w:t>
            </w:r>
            <w:r w:rsidRPr="00CC4908">
              <w:rPr>
                <w:rFonts w:eastAsia="Calibri" w:cs="Times New Roman"/>
                <w:color w:val="000000"/>
                <w:sz w:val="20"/>
                <w:szCs w:val="20"/>
                <w:lang w:val="en-GB"/>
              </w:rPr>
              <w:t xml:space="preserve"> neighbours. The more important the neighbours in the network, the higher the connectivity of a given node. </w:t>
            </w:r>
          </w:p>
          <w:p w14:paraId="091E9C72" w14:textId="77777777" w:rsidR="00D242D7" w:rsidRPr="00CC4908" w:rsidRDefault="00D242D7" w:rsidP="008F162F">
            <w:pPr>
              <w:rPr>
                <w:sz w:val="20"/>
                <w:szCs w:val="20"/>
              </w:rPr>
            </w:pPr>
            <w:r w:rsidRPr="00CC4908">
              <w:rPr>
                <w:rFonts w:eastAsia="Calibri" w:cs="Times New Roman"/>
                <w:sz w:val="20"/>
                <w:szCs w:val="20"/>
                <w:lang w:val="en-GB"/>
              </w:rPr>
              <w:t xml:space="preserve">The eigenvector </w:t>
            </w:r>
            <w:r>
              <w:rPr>
                <w:rFonts w:eastAsia="Calibri" w:cs="Times New Roman"/>
                <w:sz w:val="20"/>
                <w:szCs w:val="20"/>
                <w:lang w:val="en-GB"/>
              </w:rPr>
              <w:t>centrality</w:t>
            </w:r>
            <w:r w:rsidRPr="00CC4908">
              <w:rPr>
                <w:rFonts w:eastAsia="Calibri" w:cs="Times New Roman"/>
                <w:sz w:val="20"/>
                <w:szCs w:val="20"/>
                <w:lang w:val="en-GB"/>
              </w:rPr>
              <w:t xml:space="preserve"> has a similar interpretation as the first- and second-order degree connectivity measures, but also considers all higher-order degrees. </w:t>
            </w:r>
          </w:p>
        </w:tc>
        <w:tc>
          <w:tcPr>
            <w:tcW w:w="1350" w:type="dxa"/>
          </w:tcPr>
          <w:p w14:paraId="76646826" w14:textId="77777777" w:rsidR="00D242D7" w:rsidRPr="006F165C" w:rsidRDefault="00D242D7" w:rsidP="008F162F">
            <w:pPr>
              <w:rPr>
                <w:sz w:val="20"/>
                <w:szCs w:val="20"/>
              </w:rPr>
            </w:pPr>
            <w:r>
              <w:rPr>
                <w:sz w:val="20"/>
                <w:szCs w:val="20"/>
              </w:rPr>
              <w:t>Local and global average</w:t>
            </w:r>
          </w:p>
        </w:tc>
        <w:tc>
          <w:tcPr>
            <w:tcW w:w="1710" w:type="dxa"/>
          </w:tcPr>
          <w:p w14:paraId="04FC767D" w14:textId="77777777" w:rsidR="00D242D7" w:rsidRPr="006F165C" w:rsidRDefault="00D242D7" w:rsidP="008F162F">
            <w:pPr>
              <w:rPr>
                <w:sz w:val="20"/>
                <w:szCs w:val="20"/>
              </w:rPr>
            </w:pPr>
            <w:r>
              <w:rPr>
                <w:sz w:val="20"/>
                <w:szCs w:val="20"/>
              </w:rPr>
              <w:t>Directed, unweighted/weighted</w:t>
            </w:r>
          </w:p>
        </w:tc>
        <w:tc>
          <w:tcPr>
            <w:tcW w:w="2605" w:type="dxa"/>
          </w:tcPr>
          <w:p w14:paraId="645A567A" w14:textId="77777777" w:rsidR="00D242D7" w:rsidRPr="00E42456" w:rsidRDefault="00D242D7" w:rsidP="008F162F">
            <w:pPr>
              <w:spacing w:after="120" w:line="360" w:lineRule="auto"/>
              <w:rPr>
                <w:rFonts w:eastAsiaTheme="minorEastAsia" w:cs="Times New Roman"/>
                <w:color w:val="000000" w:themeColor="text1"/>
                <w:sz w:val="20"/>
                <w:szCs w:val="20"/>
                <w:lang w:val="it-IT"/>
              </w:rPr>
            </w:pPr>
            <w:r w:rsidRPr="00E42456">
              <w:rPr>
                <w:rFonts w:cs="Times New Roman"/>
                <w:color w:val="000000" w:themeColor="text1"/>
                <w:sz w:val="20"/>
                <w:szCs w:val="20"/>
                <w:lang w:val="en-GB"/>
              </w:rPr>
              <w:t xml:space="preserve">Mathematically, the eigenvector </w:t>
            </w:r>
            <w:r>
              <w:rPr>
                <w:rFonts w:cs="Times New Roman"/>
                <w:color w:val="000000" w:themeColor="text1"/>
                <w:sz w:val="20"/>
                <w:szCs w:val="20"/>
                <w:lang w:val="en-GB"/>
              </w:rPr>
              <w:t>centrality</w:t>
            </w:r>
            <w:r w:rsidRPr="00E42456">
              <w:rPr>
                <w:rFonts w:cs="Times New Roman"/>
                <w:color w:val="000000" w:themeColor="text1"/>
                <w:sz w:val="20"/>
                <w:szCs w:val="20"/>
                <w:lang w:val="en-GB"/>
              </w:rPr>
              <w:t xml:space="preserve"> of each node </w:t>
            </w:r>
            <m:oMath>
              <m:r>
                <w:rPr>
                  <w:rFonts w:ascii="Cambria Math" w:hAnsi="Cambria Math" w:cs="Times New Roman"/>
                  <w:color w:val="000000" w:themeColor="text1"/>
                  <w:sz w:val="20"/>
                  <w:szCs w:val="20"/>
                  <w:lang w:val="en-GB"/>
                </w:rPr>
                <m:t>i</m:t>
              </m:r>
            </m:oMath>
            <w:r w:rsidRPr="00E42456">
              <w:rPr>
                <w:rFonts w:eastAsiaTheme="minorEastAsia" w:cs="Times New Roman"/>
                <w:color w:val="000000" w:themeColor="text1"/>
                <w:sz w:val="20"/>
                <w:szCs w:val="20"/>
                <w:lang w:val="en-GB"/>
              </w:rPr>
              <w:t xml:space="preserve"> is calculated as </w:t>
            </w:r>
          </w:p>
          <w:p w14:paraId="78B46194" w14:textId="77777777" w:rsidR="00D242D7" w:rsidRPr="00E42456" w:rsidRDefault="00D242D7" w:rsidP="008F162F">
            <w:pPr>
              <w:spacing w:after="120" w:line="360" w:lineRule="auto"/>
              <w:rPr>
                <w:rFonts w:eastAsiaTheme="minorEastAsia" w:cs="Times New Roman"/>
                <w:color w:val="000000" w:themeColor="text1"/>
                <w:sz w:val="20"/>
                <w:szCs w:val="20"/>
                <w:lang w:val="it-IT"/>
              </w:rPr>
            </w:pPr>
            <m:oMath>
              <m:r>
                <w:rPr>
                  <w:rFonts w:ascii="Cambria Math" w:eastAsiaTheme="minorEastAsia" w:hAnsi="Cambria Math" w:cs="Times New Roman"/>
                  <w:color w:val="000000" w:themeColor="text1"/>
                  <w:sz w:val="20"/>
                  <w:szCs w:val="20"/>
                  <w:lang w:val="en-GB"/>
                </w:rPr>
                <m:t>λ</m:t>
              </m:r>
              <m:sSubSup>
                <m:sSubSupPr>
                  <m:ctrlPr>
                    <w:rPr>
                      <w:rFonts w:ascii="Cambria Math" w:eastAsiaTheme="minorEastAsia" w:hAnsi="Cambria Math" w:cs="Times New Roman"/>
                      <w:i/>
                      <w:color w:val="000000" w:themeColor="text1"/>
                      <w:sz w:val="20"/>
                      <w:szCs w:val="20"/>
                      <w:lang w:val="en-GB"/>
                    </w:rPr>
                  </m:ctrlPr>
                </m:sSubSupPr>
                <m:e>
                  <m:r>
                    <w:rPr>
                      <w:rFonts w:ascii="Cambria Math" w:eastAsiaTheme="minorEastAsia" w:hAnsi="Cambria Math" w:cs="Times New Roman"/>
                      <w:color w:val="000000" w:themeColor="text1"/>
                      <w:sz w:val="20"/>
                      <w:szCs w:val="20"/>
                      <w:lang w:val="en-GB"/>
                    </w:rPr>
                    <m:t>C</m:t>
                  </m:r>
                </m:e>
                <m:sub>
                  <m:r>
                    <w:rPr>
                      <w:rFonts w:ascii="Cambria Math" w:eastAsiaTheme="minorEastAsia" w:hAnsi="Cambria Math" w:cs="Times New Roman"/>
                      <w:color w:val="000000" w:themeColor="text1"/>
                      <w:sz w:val="20"/>
                      <w:szCs w:val="20"/>
                      <w:lang w:val="en-GB"/>
                    </w:rPr>
                    <m:t>i</m:t>
                  </m:r>
                </m:sub>
                <m:sup>
                  <m:r>
                    <w:rPr>
                      <w:rFonts w:ascii="Cambria Math" w:eastAsiaTheme="minorEastAsia" w:hAnsi="Cambria Math" w:cs="Times New Roman"/>
                      <w:color w:val="000000" w:themeColor="text1"/>
                      <w:sz w:val="20"/>
                      <w:szCs w:val="20"/>
                      <w:lang w:val="it-IT"/>
                    </w:rPr>
                    <m:t>(</m:t>
                  </m:r>
                  <m:r>
                    <w:rPr>
                      <w:rFonts w:ascii="Cambria Math" w:eastAsiaTheme="minorEastAsia" w:hAnsi="Cambria Math" w:cs="Times New Roman"/>
                      <w:color w:val="000000" w:themeColor="text1"/>
                      <w:sz w:val="20"/>
                      <w:szCs w:val="20"/>
                      <w:lang w:val="en-GB"/>
                    </w:rPr>
                    <m:t>eig</m:t>
                  </m:r>
                  <m:r>
                    <w:rPr>
                      <w:rFonts w:ascii="Cambria Math" w:eastAsiaTheme="minorEastAsia" w:hAnsi="Cambria Math" w:cs="Times New Roman"/>
                      <w:color w:val="000000" w:themeColor="text1"/>
                      <w:sz w:val="20"/>
                      <w:szCs w:val="20"/>
                      <w:lang w:val="it-IT"/>
                    </w:rPr>
                    <m:t>)</m:t>
                  </m:r>
                </m:sup>
              </m:sSubSup>
              <m:r>
                <w:rPr>
                  <w:rFonts w:ascii="Cambria Math" w:eastAsiaTheme="minorEastAsia" w:hAnsi="Cambria Math" w:cs="Times New Roman"/>
                  <w:color w:val="000000" w:themeColor="text1"/>
                  <w:sz w:val="20"/>
                  <w:szCs w:val="20"/>
                  <w:lang w:val="it-IT"/>
                </w:rPr>
                <m:t>=</m:t>
              </m:r>
            </m:oMath>
            <w:r w:rsidRPr="00E42456">
              <w:rPr>
                <w:rFonts w:eastAsiaTheme="minorEastAsia" w:cs="Times New Roman"/>
                <w:color w:val="000000" w:themeColor="text1"/>
                <w:sz w:val="20"/>
                <w:szCs w:val="20"/>
                <w:lang w:val="it-IT"/>
              </w:rPr>
              <w:t xml:space="preserve"> </w:t>
            </w:r>
            <m:oMath>
              <m:nary>
                <m:naryPr>
                  <m:chr m:val="∑"/>
                  <m:limLoc m:val="subSup"/>
                  <m:ctrlPr>
                    <w:rPr>
                      <w:rFonts w:ascii="Cambria Math" w:eastAsiaTheme="minorEastAsia" w:hAnsi="Cambria Math" w:cs="Times New Roman"/>
                      <w:i/>
                      <w:color w:val="000000" w:themeColor="text1"/>
                      <w:sz w:val="20"/>
                      <w:szCs w:val="20"/>
                      <w:lang w:val="en-GB"/>
                    </w:rPr>
                  </m:ctrlPr>
                </m:naryPr>
                <m:sub>
                  <m:r>
                    <w:rPr>
                      <w:rFonts w:ascii="Cambria Math" w:eastAsiaTheme="minorEastAsia" w:hAnsi="Cambria Math" w:cs="Times New Roman"/>
                      <w:color w:val="000000" w:themeColor="text1"/>
                      <w:sz w:val="20"/>
                      <w:szCs w:val="20"/>
                      <w:lang w:val="en-GB"/>
                    </w:rPr>
                    <m:t>j</m:t>
                  </m:r>
                  <m:r>
                    <w:rPr>
                      <w:rFonts w:ascii="Cambria Math" w:eastAsiaTheme="minorEastAsia" w:hAnsi="Cambria Math" w:cs="Times New Roman"/>
                      <w:color w:val="000000" w:themeColor="text1"/>
                      <w:sz w:val="20"/>
                      <w:szCs w:val="20"/>
                      <w:lang w:val="it-IT"/>
                    </w:rPr>
                    <m:t>=1</m:t>
                  </m:r>
                </m:sub>
                <m:sup>
                  <m:r>
                    <w:rPr>
                      <w:rFonts w:ascii="Cambria Math" w:eastAsiaTheme="minorEastAsia" w:hAnsi="Cambria Math" w:cs="Times New Roman"/>
                      <w:color w:val="000000" w:themeColor="text1"/>
                      <w:sz w:val="20"/>
                      <w:szCs w:val="20"/>
                      <w:lang w:val="en-GB"/>
                    </w:rPr>
                    <m:t>n</m:t>
                  </m:r>
                </m:sup>
                <m:e>
                  <m:sSub>
                    <m:sSubPr>
                      <m:ctrlPr>
                        <w:rPr>
                          <w:rFonts w:ascii="Cambria Math" w:eastAsiaTheme="minorEastAsia" w:hAnsi="Cambria Math" w:cs="Times New Roman"/>
                          <w:i/>
                          <w:color w:val="000000" w:themeColor="text1"/>
                          <w:sz w:val="20"/>
                          <w:szCs w:val="20"/>
                          <w:lang w:val="en-GB"/>
                        </w:rPr>
                      </m:ctrlPr>
                    </m:sSubPr>
                    <m:e>
                      <m:r>
                        <w:rPr>
                          <w:rFonts w:ascii="Cambria Math" w:eastAsiaTheme="minorEastAsia" w:hAnsi="Cambria Math" w:cs="Times New Roman"/>
                          <w:color w:val="000000" w:themeColor="text1"/>
                          <w:sz w:val="20"/>
                          <w:szCs w:val="20"/>
                          <w:lang w:val="en-GB"/>
                        </w:rPr>
                        <m:t>a</m:t>
                      </m:r>
                    </m:e>
                    <m:sub>
                      <m:r>
                        <w:rPr>
                          <w:rFonts w:ascii="Cambria Math" w:eastAsiaTheme="minorEastAsia" w:hAnsi="Cambria Math" w:cs="Times New Roman"/>
                          <w:color w:val="000000" w:themeColor="text1"/>
                          <w:sz w:val="20"/>
                          <w:szCs w:val="20"/>
                          <w:lang w:val="en-GB"/>
                        </w:rPr>
                        <m:t>ji</m:t>
                      </m:r>
                    </m:sub>
                  </m:sSub>
                  <m:r>
                    <w:rPr>
                      <w:rFonts w:ascii="Cambria Math" w:eastAsiaTheme="minorEastAsia" w:hAnsi="Cambria Math" w:cs="Times New Roman"/>
                      <w:color w:val="000000" w:themeColor="text1"/>
                      <w:sz w:val="20"/>
                      <w:szCs w:val="20"/>
                      <w:lang w:val="it-IT"/>
                    </w:rPr>
                    <m:t>*</m:t>
                  </m:r>
                  <m:sSubSup>
                    <m:sSubSupPr>
                      <m:ctrlPr>
                        <w:rPr>
                          <w:rFonts w:ascii="Cambria Math" w:eastAsiaTheme="minorEastAsia" w:hAnsi="Cambria Math" w:cs="Times New Roman"/>
                          <w:i/>
                          <w:color w:val="000000" w:themeColor="text1"/>
                          <w:sz w:val="20"/>
                          <w:szCs w:val="20"/>
                          <w:lang w:val="en-GB"/>
                        </w:rPr>
                      </m:ctrlPr>
                    </m:sSubSupPr>
                    <m:e>
                      <m:r>
                        <w:rPr>
                          <w:rFonts w:ascii="Cambria Math" w:eastAsiaTheme="minorEastAsia" w:hAnsi="Cambria Math" w:cs="Times New Roman"/>
                          <w:color w:val="000000" w:themeColor="text1"/>
                          <w:sz w:val="20"/>
                          <w:szCs w:val="20"/>
                          <w:lang w:val="en-GB"/>
                        </w:rPr>
                        <m:t>C</m:t>
                      </m:r>
                    </m:e>
                    <m:sub>
                      <m:r>
                        <w:rPr>
                          <w:rFonts w:ascii="Cambria Math" w:eastAsiaTheme="minorEastAsia" w:hAnsi="Cambria Math" w:cs="Times New Roman"/>
                          <w:color w:val="000000" w:themeColor="text1"/>
                          <w:sz w:val="20"/>
                          <w:szCs w:val="20"/>
                          <w:lang w:val="en-GB"/>
                        </w:rPr>
                        <m:t>j</m:t>
                      </m:r>
                    </m:sub>
                    <m:sup>
                      <m:r>
                        <w:rPr>
                          <w:rFonts w:ascii="Cambria Math" w:eastAsiaTheme="minorEastAsia" w:hAnsi="Cambria Math" w:cs="Times New Roman"/>
                          <w:color w:val="000000" w:themeColor="text1"/>
                          <w:sz w:val="20"/>
                          <w:szCs w:val="20"/>
                          <w:lang w:val="it-IT"/>
                        </w:rPr>
                        <m:t>(</m:t>
                      </m:r>
                      <m:r>
                        <w:rPr>
                          <w:rFonts w:ascii="Cambria Math" w:eastAsiaTheme="minorEastAsia" w:hAnsi="Cambria Math" w:cs="Times New Roman"/>
                          <w:color w:val="000000" w:themeColor="text1"/>
                          <w:sz w:val="20"/>
                          <w:szCs w:val="20"/>
                          <w:lang w:val="en-GB"/>
                        </w:rPr>
                        <m:t>eig</m:t>
                      </m:r>
                      <m:r>
                        <w:rPr>
                          <w:rFonts w:ascii="Cambria Math" w:eastAsiaTheme="minorEastAsia" w:hAnsi="Cambria Math" w:cs="Times New Roman"/>
                          <w:color w:val="000000" w:themeColor="text1"/>
                          <w:sz w:val="20"/>
                          <w:szCs w:val="20"/>
                          <w:lang w:val="it-IT"/>
                        </w:rPr>
                        <m:t>)</m:t>
                      </m:r>
                    </m:sup>
                  </m:sSubSup>
                </m:e>
              </m:nary>
              <m:r>
                <w:rPr>
                  <w:rFonts w:ascii="Cambria Math" w:eastAsiaTheme="minorEastAsia" w:hAnsi="Cambria Math" w:cs="Times New Roman"/>
                  <w:color w:val="000000" w:themeColor="text1"/>
                  <w:sz w:val="20"/>
                  <w:szCs w:val="20"/>
                  <w:lang w:val="it-IT"/>
                </w:rPr>
                <m:t>,</m:t>
              </m:r>
            </m:oMath>
          </w:p>
          <w:p w14:paraId="3B10741C" w14:textId="77777777" w:rsidR="00D242D7" w:rsidRPr="00E42456" w:rsidRDefault="00D242D7" w:rsidP="008F162F">
            <w:pPr>
              <w:spacing w:after="120" w:line="360" w:lineRule="auto"/>
              <w:rPr>
                <w:rFonts w:eastAsiaTheme="minorEastAsia" w:cs="Times New Roman"/>
                <w:color w:val="000000" w:themeColor="text1"/>
                <w:sz w:val="20"/>
                <w:szCs w:val="20"/>
                <w:lang w:val="en-GB"/>
              </w:rPr>
            </w:pPr>
            <w:r w:rsidRPr="00E42456">
              <w:rPr>
                <w:rFonts w:cs="Times New Roman"/>
                <w:color w:val="000000" w:themeColor="text1"/>
                <w:sz w:val="20"/>
                <w:szCs w:val="20"/>
                <w:lang w:val="en-GB"/>
              </w:rPr>
              <w:t xml:space="preserve">where </w:t>
            </w:r>
            <m:oMath>
              <m:r>
                <w:rPr>
                  <w:rFonts w:ascii="Cambria Math" w:eastAsiaTheme="minorEastAsia" w:hAnsi="Cambria Math" w:cs="Times New Roman"/>
                  <w:color w:val="000000" w:themeColor="text1"/>
                  <w:sz w:val="20"/>
                  <w:szCs w:val="20"/>
                  <w:lang w:val="en-GB"/>
                </w:rPr>
                <m:t>λ</m:t>
              </m:r>
            </m:oMath>
            <w:r w:rsidRPr="00E42456">
              <w:rPr>
                <w:rFonts w:cs="Times New Roman"/>
                <w:color w:val="000000" w:themeColor="text1"/>
                <w:sz w:val="20"/>
                <w:szCs w:val="20"/>
                <w:lang w:val="en-GB"/>
              </w:rPr>
              <w:t xml:space="preserve"> is a proportionality constant. </w:t>
            </w:r>
            <m:oMath>
              <m:sSub>
                <m:sSubPr>
                  <m:ctrlPr>
                    <w:rPr>
                      <w:rFonts w:ascii="Cambria Math" w:eastAsiaTheme="minorEastAsia" w:hAnsi="Cambria Math" w:cs="Times New Roman"/>
                      <w:i/>
                      <w:color w:val="000000" w:themeColor="text1"/>
                      <w:sz w:val="20"/>
                      <w:szCs w:val="20"/>
                      <w:lang w:val="en-GB"/>
                    </w:rPr>
                  </m:ctrlPr>
                </m:sSubPr>
                <m:e>
                  <m:r>
                    <w:rPr>
                      <w:rFonts w:ascii="Cambria Math" w:eastAsiaTheme="minorEastAsia" w:hAnsi="Cambria Math" w:cs="Times New Roman"/>
                      <w:color w:val="000000" w:themeColor="text1"/>
                      <w:sz w:val="20"/>
                      <w:szCs w:val="20"/>
                      <w:lang w:val="en-GB"/>
                    </w:rPr>
                    <m:t>a</m:t>
                  </m:r>
                </m:e>
                <m:sub>
                  <m:r>
                    <w:rPr>
                      <w:rFonts w:ascii="Cambria Math" w:eastAsiaTheme="minorEastAsia" w:hAnsi="Cambria Math" w:cs="Times New Roman"/>
                      <w:color w:val="000000" w:themeColor="text1"/>
                      <w:sz w:val="20"/>
                      <w:szCs w:val="20"/>
                      <w:lang w:val="en-GB"/>
                    </w:rPr>
                    <m:t>ji</m:t>
                  </m:r>
                </m:sub>
              </m:sSub>
            </m:oMath>
            <w:r w:rsidRPr="00E42456">
              <w:rPr>
                <w:rFonts w:eastAsiaTheme="minorEastAsia" w:cs="Times New Roman"/>
                <w:color w:val="000000" w:themeColor="text1"/>
                <w:sz w:val="20"/>
                <w:szCs w:val="20"/>
                <w:lang w:val="en-GB"/>
              </w:rPr>
              <w:t xml:space="preserve"> implies that node </w:t>
            </w:r>
            <m:oMath>
              <m:r>
                <w:rPr>
                  <w:rFonts w:ascii="Cambria Math" w:eastAsiaTheme="minorEastAsia" w:hAnsi="Cambria Math" w:cs="Times New Roman"/>
                  <w:color w:val="000000" w:themeColor="text1"/>
                  <w:sz w:val="20"/>
                  <w:szCs w:val="20"/>
                  <w:lang w:val="en-GB"/>
                </w:rPr>
                <m:t>i</m:t>
              </m:r>
            </m:oMath>
            <w:r w:rsidRPr="00E42456">
              <w:rPr>
                <w:rFonts w:eastAsiaTheme="minorEastAsia" w:cs="Times New Roman"/>
                <w:color w:val="000000" w:themeColor="text1"/>
                <w:sz w:val="20"/>
                <w:szCs w:val="20"/>
                <w:lang w:val="en-GB"/>
              </w:rPr>
              <w:t xml:space="preserve"> receives the contribution to the connectivity from its neighbours through incoming links. The above formula in matrix form is </w:t>
            </w:r>
          </w:p>
          <w:p w14:paraId="01432E11" w14:textId="77777777" w:rsidR="00D242D7" w:rsidRPr="00E42456" w:rsidRDefault="00497A00" w:rsidP="008F162F">
            <w:pPr>
              <w:spacing w:after="120" w:line="360" w:lineRule="auto"/>
              <w:ind w:left="1980"/>
              <w:rPr>
                <w:rFonts w:eastAsiaTheme="minorEastAsia" w:cs="Times New Roman"/>
                <w:color w:val="000000" w:themeColor="text1"/>
                <w:sz w:val="20"/>
                <w:szCs w:val="20"/>
                <w:lang w:val="en-GB"/>
              </w:rPr>
            </w:pPr>
            <m:oMathPara>
              <m:oMath>
                <m:sSup>
                  <m:sSupPr>
                    <m:ctrlPr>
                      <w:rPr>
                        <w:rFonts w:ascii="Cambria Math" w:eastAsiaTheme="minorEastAsia" w:hAnsi="Cambria Math" w:cs="Times New Roman"/>
                        <w:i/>
                        <w:color w:val="000000" w:themeColor="text1"/>
                        <w:sz w:val="20"/>
                        <w:szCs w:val="20"/>
                        <w:lang w:val="en-GB"/>
                      </w:rPr>
                    </m:ctrlPr>
                  </m:sSupPr>
                  <m:e>
                    <m:r>
                      <w:rPr>
                        <w:rFonts w:ascii="Cambria Math" w:hAnsi="Cambria Math" w:cs="Times New Roman"/>
                        <w:color w:val="000000" w:themeColor="text1"/>
                        <w:sz w:val="20"/>
                        <w:szCs w:val="20"/>
                        <w:lang w:val="en-GB"/>
                      </w:rPr>
                      <m:t>A</m:t>
                    </m:r>
                  </m:e>
                  <m:sup>
                    <m:r>
                      <w:rPr>
                        <w:rFonts w:ascii="Cambria Math" w:eastAsiaTheme="minorEastAsia" w:hAnsi="Cambria Math" w:cs="Times New Roman"/>
                        <w:color w:val="000000" w:themeColor="text1"/>
                        <w:sz w:val="20"/>
                        <w:szCs w:val="20"/>
                        <w:lang w:val="en-GB"/>
                      </w:rPr>
                      <m:t>T</m:t>
                    </m:r>
                  </m:sup>
                </m:sSup>
                <m:r>
                  <w:rPr>
                    <w:rFonts w:ascii="Cambria Math" w:eastAsiaTheme="minorEastAsia" w:hAnsi="Cambria Math" w:cs="Times New Roman"/>
                    <w:color w:val="000000" w:themeColor="text1"/>
                    <w:sz w:val="20"/>
                    <w:szCs w:val="20"/>
                    <w:lang w:val="en-GB"/>
                  </w:rPr>
                  <m:t xml:space="preserve"> </m:t>
                </m:r>
                <m:sSup>
                  <m:sSupPr>
                    <m:ctrlPr>
                      <w:rPr>
                        <w:rFonts w:ascii="Cambria Math" w:eastAsiaTheme="minorEastAsia" w:hAnsi="Cambria Math" w:cs="Times New Roman"/>
                        <w:i/>
                        <w:color w:val="000000" w:themeColor="text1"/>
                        <w:sz w:val="20"/>
                        <w:szCs w:val="20"/>
                        <w:lang w:val="en-GB"/>
                      </w:rPr>
                    </m:ctrlPr>
                  </m:sSupPr>
                  <m:e>
                    <m:r>
                      <w:rPr>
                        <w:rFonts w:ascii="Cambria Math" w:eastAsiaTheme="minorEastAsia" w:hAnsi="Cambria Math" w:cs="Times New Roman"/>
                        <w:color w:val="000000" w:themeColor="text1"/>
                        <w:sz w:val="20"/>
                        <w:szCs w:val="20"/>
                        <w:lang w:val="en-GB"/>
                      </w:rPr>
                      <m:t>C</m:t>
                    </m:r>
                  </m:e>
                  <m:sup>
                    <m:r>
                      <w:rPr>
                        <w:rFonts w:ascii="Cambria Math" w:eastAsiaTheme="minorEastAsia" w:hAnsi="Cambria Math" w:cs="Times New Roman"/>
                        <w:color w:val="000000" w:themeColor="text1"/>
                        <w:sz w:val="20"/>
                        <w:szCs w:val="20"/>
                        <w:lang w:val="en-GB"/>
                      </w:rPr>
                      <m:t>eigen</m:t>
                    </m:r>
                  </m:sup>
                </m:sSup>
                <m:r>
                  <w:rPr>
                    <w:rFonts w:ascii="Cambria Math" w:eastAsiaTheme="minorEastAsia" w:hAnsi="Cambria Math" w:cs="Times New Roman"/>
                    <w:color w:val="000000" w:themeColor="text1"/>
                    <w:sz w:val="20"/>
                    <w:szCs w:val="20"/>
                    <w:lang w:val="en-GB"/>
                  </w:rPr>
                  <m:t xml:space="preserve">= λ </m:t>
                </m:r>
                <m:sSup>
                  <m:sSupPr>
                    <m:ctrlPr>
                      <w:rPr>
                        <w:rFonts w:ascii="Cambria Math" w:eastAsiaTheme="minorEastAsia" w:hAnsi="Cambria Math" w:cs="Times New Roman"/>
                        <w:i/>
                        <w:color w:val="000000" w:themeColor="text1"/>
                        <w:sz w:val="20"/>
                        <w:szCs w:val="20"/>
                        <w:lang w:val="en-GB"/>
                      </w:rPr>
                    </m:ctrlPr>
                  </m:sSupPr>
                  <m:e>
                    <m:r>
                      <w:rPr>
                        <w:rFonts w:ascii="Cambria Math" w:eastAsiaTheme="minorEastAsia" w:hAnsi="Cambria Math" w:cs="Times New Roman"/>
                        <w:color w:val="000000" w:themeColor="text1"/>
                        <w:sz w:val="20"/>
                        <w:szCs w:val="20"/>
                        <w:lang w:val="en-GB"/>
                      </w:rPr>
                      <m:t xml:space="preserve"> C</m:t>
                    </m:r>
                  </m:e>
                  <m:sup>
                    <m:r>
                      <w:rPr>
                        <w:rFonts w:ascii="Cambria Math" w:eastAsiaTheme="minorEastAsia" w:hAnsi="Cambria Math" w:cs="Times New Roman"/>
                        <w:color w:val="000000" w:themeColor="text1"/>
                        <w:sz w:val="20"/>
                        <w:szCs w:val="20"/>
                        <w:lang w:val="en-GB"/>
                      </w:rPr>
                      <m:t>eigen</m:t>
                    </m:r>
                  </m:sup>
                </m:sSup>
                <m:r>
                  <w:rPr>
                    <w:rFonts w:ascii="Cambria Math" w:eastAsiaTheme="minorEastAsia" w:hAnsi="Cambria Math" w:cs="Times New Roman"/>
                    <w:color w:val="000000" w:themeColor="text1"/>
                    <w:sz w:val="20"/>
                    <w:szCs w:val="20"/>
                    <w:lang w:val="en-GB"/>
                  </w:rPr>
                  <m:t>,</m:t>
                </m:r>
              </m:oMath>
            </m:oMathPara>
          </w:p>
          <w:p w14:paraId="094AF821" w14:textId="77777777" w:rsidR="00D242D7" w:rsidRPr="00E42456" w:rsidRDefault="00D242D7" w:rsidP="008F162F">
            <w:pPr>
              <w:spacing w:after="120" w:line="360" w:lineRule="auto"/>
              <w:rPr>
                <w:rFonts w:eastAsiaTheme="minorEastAsia" w:cs="Times New Roman"/>
                <w:color w:val="000000" w:themeColor="text1"/>
                <w:sz w:val="20"/>
                <w:szCs w:val="20"/>
                <w:lang w:val="en-GB"/>
              </w:rPr>
            </w:pPr>
            <w:r w:rsidRPr="00E42456">
              <w:rPr>
                <w:rFonts w:cs="Times New Roman"/>
                <w:color w:val="000000" w:themeColor="text1"/>
                <w:sz w:val="20"/>
                <w:szCs w:val="20"/>
                <w:lang w:val="en-GB"/>
              </w:rPr>
              <w:t xml:space="preserve">which means the vector of connectivities </w:t>
            </w:r>
            <m:oMath>
              <m:sSup>
                <m:sSupPr>
                  <m:ctrlPr>
                    <w:rPr>
                      <w:rFonts w:ascii="Cambria Math" w:eastAsiaTheme="minorEastAsia" w:hAnsi="Cambria Math" w:cs="Times New Roman"/>
                      <w:i/>
                      <w:color w:val="000000" w:themeColor="text1"/>
                      <w:sz w:val="20"/>
                      <w:szCs w:val="20"/>
                      <w:lang w:val="en-GB"/>
                    </w:rPr>
                  </m:ctrlPr>
                </m:sSupPr>
                <m:e>
                  <m:r>
                    <w:rPr>
                      <w:rFonts w:ascii="Cambria Math" w:eastAsiaTheme="minorEastAsia" w:hAnsi="Cambria Math" w:cs="Times New Roman"/>
                      <w:color w:val="000000" w:themeColor="text1"/>
                      <w:sz w:val="20"/>
                      <w:szCs w:val="20"/>
                      <w:lang w:val="en-GB"/>
                    </w:rPr>
                    <m:t xml:space="preserve"> C</m:t>
                  </m:r>
                </m:e>
                <m:sup>
                  <m:r>
                    <w:rPr>
                      <w:rFonts w:ascii="Cambria Math" w:eastAsiaTheme="minorEastAsia" w:hAnsi="Cambria Math" w:cs="Times New Roman"/>
                      <w:color w:val="000000" w:themeColor="text1"/>
                      <w:sz w:val="20"/>
                      <w:szCs w:val="20"/>
                      <w:lang w:val="en-GB"/>
                    </w:rPr>
                    <m:t>eigen</m:t>
                  </m:r>
                </m:sup>
              </m:sSup>
            </m:oMath>
            <w:r w:rsidRPr="00E42456">
              <w:rPr>
                <w:rFonts w:eastAsiaTheme="minorEastAsia" w:cs="Times New Roman"/>
                <w:color w:val="000000" w:themeColor="text1"/>
                <w:sz w:val="20"/>
                <w:szCs w:val="20"/>
                <w:lang w:val="en-GB"/>
              </w:rPr>
              <w:t xml:space="preserve"> is an eigenvector of </w:t>
            </w:r>
            <m:oMath>
              <m:sSup>
                <m:sSupPr>
                  <m:ctrlPr>
                    <w:rPr>
                      <w:rFonts w:ascii="Cambria Math" w:eastAsiaTheme="minorEastAsia" w:hAnsi="Cambria Math" w:cs="Times New Roman"/>
                      <w:i/>
                      <w:color w:val="000000" w:themeColor="text1"/>
                      <w:sz w:val="20"/>
                      <w:szCs w:val="20"/>
                      <w:lang w:val="en-GB"/>
                    </w:rPr>
                  </m:ctrlPr>
                </m:sSupPr>
                <m:e>
                  <m:r>
                    <w:rPr>
                      <w:rFonts w:ascii="Cambria Math" w:hAnsi="Cambria Math" w:cs="Times New Roman"/>
                      <w:color w:val="000000" w:themeColor="text1"/>
                      <w:sz w:val="20"/>
                      <w:szCs w:val="20"/>
                      <w:lang w:val="en-GB"/>
                    </w:rPr>
                    <m:t>A</m:t>
                  </m:r>
                </m:e>
                <m:sup>
                  <m:r>
                    <w:rPr>
                      <w:rFonts w:ascii="Cambria Math" w:eastAsiaTheme="minorEastAsia" w:hAnsi="Cambria Math" w:cs="Times New Roman"/>
                      <w:color w:val="000000" w:themeColor="text1"/>
                      <w:sz w:val="20"/>
                      <w:szCs w:val="20"/>
                      <w:lang w:val="en-GB"/>
                    </w:rPr>
                    <m:t>T</m:t>
                  </m:r>
                </m:sup>
              </m:sSup>
            </m:oMath>
            <w:r w:rsidRPr="00E42456">
              <w:rPr>
                <w:rFonts w:eastAsiaTheme="minorEastAsia" w:cs="Times New Roman"/>
                <w:color w:val="000000" w:themeColor="text1"/>
                <w:sz w:val="20"/>
                <w:szCs w:val="20"/>
                <w:lang w:val="en-GB"/>
              </w:rPr>
              <w:t xml:space="preserve"> with eigenvalue </w:t>
            </w:r>
            <m:oMath>
              <m:r>
                <w:rPr>
                  <w:rFonts w:ascii="Cambria Math" w:eastAsiaTheme="minorEastAsia" w:hAnsi="Cambria Math" w:cs="Times New Roman"/>
                  <w:color w:val="000000" w:themeColor="text1"/>
                  <w:sz w:val="20"/>
                  <w:szCs w:val="20"/>
                  <w:lang w:val="en-GB"/>
                </w:rPr>
                <m:t>λ</m:t>
              </m:r>
            </m:oMath>
            <w:r w:rsidRPr="00E42456">
              <w:rPr>
                <w:rFonts w:eastAsiaTheme="minorEastAsia" w:cs="Times New Roman"/>
                <w:color w:val="000000" w:themeColor="text1"/>
                <w:sz w:val="20"/>
                <w:szCs w:val="20"/>
                <w:lang w:val="en-GB"/>
              </w:rPr>
              <w:t>.</w:t>
            </w:r>
          </w:p>
          <w:p w14:paraId="1C1DB513" w14:textId="77777777" w:rsidR="00D242D7" w:rsidRPr="00E42456" w:rsidRDefault="00D242D7" w:rsidP="008F162F">
            <w:pPr>
              <w:rPr>
                <w:sz w:val="20"/>
                <w:szCs w:val="20"/>
              </w:rPr>
            </w:pPr>
            <w:r w:rsidRPr="00E42456">
              <w:rPr>
                <w:rFonts w:cs="Times New Roman"/>
                <w:color w:val="000000" w:themeColor="text1"/>
                <w:sz w:val="20"/>
                <w:szCs w:val="20"/>
                <w:lang w:val="en-GB"/>
              </w:rPr>
              <w:t xml:space="preserve">The weighted eigenvector </w:t>
            </w:r>
            <w:r>
              <w:rPr>
                <w:rFonts w:cs="Times New Roman"/>
                <w:color w:val="000000" w:themeColor="text1"/>
                <w:sz w:val="20"/>
                <w:szCs w:val="20"/>
                <w:lang w:val="en-GB"/>
              </w:rPr>
              <w:t>centrality</w:t>
            </w:r>
            <w:r w:rsidRPr="00E42456">
              <w:rPr>
                <w:rFonts w:cs="Times New Roman"/>
                <w:color w:val="000000" w:themeColor="text1"/>
                <w:sz w:val="20"/>
                <w:szCs w:val="20"/>
                <w:lang w:val="en-GB"/>
              </w:rPr>
              <w:t xml:space="preserve"> measure is straightforward, in this case </w:t>
            </w:r>
            <m:oMath>
              <m:sSub>
                <m:sSubPr>
                  <m:ctrlPr>
                    <w:rPr>
                      <w:rFonts w:ascii="Cambria Math" w:eastAsiaTheme="minorEastAsia" w:hAnsi="Cambria Math" w:cs="Times New Roman"/>
                      <w:i/>
                      <w:color w:val="000000" w:themeColor="text1"/>
                      <w:sz w:val="20"/>
                      <w:szCs w:val="20"/>
                      <w:lang w:val="en-GB"/>
                    </w:rPr>
                  </m:ctrlPr>
                </m:sSubPr>
                <m:e>
                  <m:r>
                    <w:rPr>
                      <w:rFonts w:ascii="Cambria Math" w:eastAsiaTheme="minorEastAsia" w:hAnsi="Cambria Math" w:cs="Times New Roman"/>
                      <w:color w:val="000000" w:themeColor="text1"/>
                      <w:sz w:val="20"/>
                      <w:szCs w:val="20"/>
                      <w:lang w:val="en-GB"/>
                    </w:rPr>
                    <m:t>a</m:t>
                  </m:r>
                </m:e>
                <m:sub>
                  <m:r>
                    <w:rPr>
                      <w:rFonts w:ascii="Cambria Math" w:eastAsiaTheme="minorEastAsia" w:hAnsi="Cambria Math" w:cs="Times New Roman"/>
                      <w:color w:val="000000" w:themeColor="text1"/>
                      <w:sz w:val="20"/>
                      <w:szCs w:val="20"/>
                      <w:lang w:val="en-GB"/>
                    </w:rPr>
                    <m:t>ji</m:t>
                  </m:r>
                </m:sub>
              </m:sSub>
            </m:oMath>
            <w:r w:rsidRPr="00E42456">
              <w:rPr>
                <w:rFonts w:cs="Times New Roman"/>
                <w:color w:val="000000" w:themeColor="text1"/>
                <w:sz w:val="20"/>
                <w:szCs w:val="20"/>
                <w:lang w:val="en-GB"/>
              </w:rPr>
              <w:t xml:space="preserve"> refers to the weights (e.g. trade values).</w:t>
            </w:r>
          </w:p>
        </w:tc>
      </w:tr>
      <w:tr w:rsidR="005E3866" w:rsidRPr="006F165C" w14:paraId="0B3006B8" w14:textId="77777777" w:rsidTr="008F162F">
        <w:tc>
          <w:tcPr>
            <w:tcW w:w="1326" w:type="dxa"/>
          </w:tcPr>
          <w:p w14:paraId="2CBCA466" w14:textId="217C39B1" w:rsidR="005E3866" w:rsidRPr="006F165C" w:rsidRDefault="005E3866" w:rsidP="008F162F">
            <w:pPr>
              <w:rPr>
                <w:sz w:val="20"/>
                <w:szCs w:val="20"/>
              </w:rPr>
            </w:pPr>
            <w:r>
              <w:rPr>
                <w:sz w:val="20"/>
                <w:szCs w:val="20"/>
              </w:rPr>
              <w:t>Betweenness coonectvity</w:t>
            </w:r>
          </w:p>
        </w:tc>
        <w:tc>
          <w:tcPr>
            <w:tcW w:w="2359" w:type="dxa"/>
          </w:tcPr>
          <w:p w14:paraId="5BFBA369" w14:textId="799C0420" w:rsidR="00EF5864" w:rsidRDefault="00AA65E5" w:rsidP="00EF5864">
            <w:pPr>
              <w:rPr>
                <w:rFonts w:eastAsia="Calibri" w:cs="Times New Roman"/>
                <w:color w:val="000000"/>
                <w:sz w:val="20"/>
                <w:szCs w:val="20"/>
                <w:lang w:val="en-GB"/>
              </w:rPr>
            </w:pPr>
            <w:r>
              <w:rPr>
                <w:rFonts w:cs="Times New Roman"/>
                <w:szCs w:val="24"/>
                <w:lang w:val="en-GB"/>
              </w:rPr>
              <w:t xml:space="preserve">This measure </w:t>
            </w:r>
            <w:r w:rsidRPr="005F7E4D">
              <w:rPr>
                <w:rFonts w:cs="Times New Roman"/>
                <w:szCs w:val="24"/>
                <w:lang w:val="en-GB"/>
              </w:rPr>
              <w:t>shows the overall dependence of the trade network on that country.</w:t>
            </w:r>
          </w:p>
        </w:tc>
        <w:tc>
          <w:tcPr>
            <w:tcW w:w="1350" w:type="dxa"/>
          </w:tcPr>
          <w:p w14:paraId="5FB8E27D" w14:textId="68A3119D" w:rsidR="005E3866" w:rsidRPr="00EF5864" w:rsidRDefault="00EF5864" w:rsidP="008F162F">
            <w:pPr>
              <w:rPr>
                <w:sz w:val="20"/>
                <w:szCs w:val="20"/>
                <w:lang w:val="en-GB"/>
              </w:rPr>
            </w:pPr>
            <w:r>
              <w:rPr>
                <w:sz w:val="20"/>
                <w:szCs w:val="20"/>
                <w:lang w:val="en-GB"/>
              </w:rPr>
              <w:t>Local and Global</w:t>
            </w:r>
          </w:p>
        </w:tc>
        <w:tc>
          <w:tcPr>
            <w:tcW w:w="1710" w:type="dxa"/>
          </w:tcPr>
          <w:p w14:paraId="52D5AC1A" w14:textId="357246FA" w:rsidR="005E3866" w:rsidRDefault="00EF5864" w:rsidP="008F162F">
            <w:pPr>
              <w:rPr>
                <w:sz w:val="20"/>
                <w:szCs w:val="20"/>
              </w:rPr>
            </w:pPr>
            <w:r>
              <w:rPr>
                <w:sz w:val="20"/>
                <w:szCs w:val="20"/>
              </w:rPr>
              <w:t>Directed/ weighted and unweighted</w:t>
            </w:r>
          </w:p>
        </w:tc>
        <w:tc>
          <w:tcPr>
            <w:tcW w:w="2605" w:type="dxa"/>
          </w:tcPr>
          <w:p w14:paraId="6A38415A" w14:textId="3EE6881C" w:rsidR="005E3866" w:rsidRPr="00E42456" w:rsidRDefault="00AA65E5" w:rsidP="008F162F">
            <w:pPr>
              <w:spacing w:after="120" w:line="360" w:lineRule="auto"/>
              <w:rPr>
                <w:rFonts w:cs="Times New Roman"/>
                <w:color w:val="000000" w:themeColor="text1"/>
                <w:sz w:val="20"/>
                <w:szCs w:val="20"/>
                <w:lang w:val="en-GB"/>
              </w:rPr>
            </w:pPr>
            <w:r w:rsidRPr="00F2436C">
              <w:rPr>
                <w:rFonts w:cs="Times New Roman"/>
                <w:lang w:val="en-GB"/>
              </w:rPr>
              <w:t>In statistical terms, the betweenness index is a measure of a median</w:t>
            </w:r>
            <w:r>
              <w:rPr>
                <w:rFonts w:cs="Times New Roman"/>
                <w:lang w:val="en-GB"/>
              </w:rPr>
              <w:t>. In country trade link network</w:t>
            </w:r>
            <w:r w:rsidRPr="005F7E4D">
              <w:rPr>
                <w:rFonts w:cs="Times New Roman"/>
                <w:szCs w:val="24"/>
                <w:lang w:val="en-GB"/>
              </w:rPr>
              <w:t xml:space="preserve">, the betweenness connectivity for each country is the total number of the shortest path in the network that goes through a given country over the total </w:t>
            </w:r>
            <w:r w:rsidRPr="005F7E4D">
              <w:rPr>
                <w:rFonts w:cs="Times New Roman"/>
                <w:szCs w:val="24"/>
                <w:lang w:val="en-GB"/>
              </w:rPr>
              <w:lastRenderedPageBreak/>
              <w:t xml:space="preserve">possible shortest path. In </w:t>
            </w:r>
            <w:r>
              <w:rPr>
                <w:rFonts w:cs="Times New Roman"/>
                <w:szCs w:val="24"/>
                <w:lang w:val="en-GB"/>
              </w:rPr>
              <w:t>the weighted trade networks</w:t>
            </w:r>
            <w:r w:rsidRPr="005F7E4D">
              <w:rPr>
                <w:rFonts w:cs="Times New Roman"/>
                <w:szCs w:val="24"/>
                <w:lang w:val="en-GB"/>
              </w:rPr>
              <w:t xml:space="preserve">, a weight is assigned to each shortest path, whereas the weight is </w:t>
            </w:r>
            <w:r>
              <w:rPr>
                <w:rFonts w:cs="Times New Roman"/>
                <w:szCs w:val="24"/>
                <w:lang w:val="en-GB"/>
              </w:rPr>
              <w:t>either the number of commodities or the</w:t>
            </w:r>
            <w:r w:rsidRPr="005F7E4D">
              <w:rPr>
                <w:rFonts w:cs="Times New Roman"/>
                <w:szCs w:val="24"/>
                <w:lang w:val="en-GB"/>
              </w:rPr>
              <w:t xml:space="preserve"> value of trade that occurs on that shortest path</w:t>
            </w:r>
          </w:p>
        </w:tc>
      </w:tr>
    </w:tbl>
    <w:p w14:paraId="786B8C9A" w14:textId="0C1044D9" w:rsidR="002913F3" w:rsidRDefault="00D242D7" w:rsidP="005E3866">
      <w:pPr>
        <w:pStyle w:val="Source"/>
      </w:pPr>
      <w:r>
        <w:lastRenderedPageBreak/>
        <w:t xml:space="preserve">Source: </w:t>
      </w:r>
      <w:r w:rsidRPr="00D242D7">
        <w:rPr>
          <w:highlight w:val="yellow"/>
        </w:rPr>
        <w:t xml:space="preserve">Adapted </w:t>
      </w:r>
      <w:r w:rsidRPr="009B7B21">
        <w:rPr>
          <w:highlight w:val="yellow"/>
        </w:rPr>
        <w:t xml:space="preserve">from </w:t>
      </w:r>
      <w:r w:rsidRPr="009B7B21">
        <w:rPr>
          <w:highlight w:val="yellow"/>
        </w:rPr>
        <w:fldChar w:fldCharType="begin"/>
      </w:r>
      <w:r w:rsidR="0060464F">
        <w:rPr>
          <w:highlight w:val="yellow"/>
        </w:rPr>
        <w:instrText xml:space="preserve"> ADDIN ZOTERO_ITEM CSL_CITATION {"citationID":"m0zOppIO","properties":{"formattedCitation":"(Geyik {\\i{}et al.}, 2021)","plainCitation":"(Geyik et al., 2021)","noteIndex":0},"citationItems":[{"id":"1qXGYDro/ISmNM4Au","uris":["http://zotero.org/users/203136/items/UHWIBVYU"],"itemData":{"id":1247,"type":"article-journal","abstract":"Global food trade enables the flow of dietary nutrients between countries. However, little is known about whether trade improves nutrient supply of countries most in need. Using detailed production and bilateral trade data, we found that despite strongly connected global nutrient networks, trade did not substantively improve the nutrient adequacy of most low/lower-middle income countries (~40% of the global population), with particular concerns around vitamin A and B12. Mean imports by low/lower-middle income countries, in adequacy terms, were on average 70% lower than those of upper-middle/high income countries. Many countries with low nutrient adequacy relied upon a few major trade partners with imports dominated by cereals rather than micronutrient-rich food products. Nutrition-sensitive production and trade policies are needed to enhance global nutrition security.","container-title":"Global Food Security","DOI":"10.1016/j.gfs.2021.100490","ISSN":"2211-9124","journalAbbreviation":"Global Food Security","language":"en","page":"100490","source":"ScienceDirect","title":"Does global food trade close the dietary nutrient gap for the world's poorest nations?","volume":"28","author":[{"family":"Geyik","given":"Ozge"},{"family":"Hadjikakou","given":"Michalis"},{"family":"Karapinar","given":"Baris"},{"family":"Bryan","given":"Brett A."}],"issued":{"date-parts":[["2021",3,1]]}}}],"schema":"https://github.com/citation-style-language/schema/raw/master/csl-citation.json"} </w:instrText>
      </w:r>
      <w:r w:rsidRPr="009B7B21">
        <w:rPr>
          <w:highlight w:val="yellow"/>
        </w:rPr>
        <w:fldChar w:fldCharType="separate"/>
      </w:r>
      <w:r w:rsidR="009B7B21" w:rsidRPr="009B7B21">
        <w:rPr>
          <w:rFonts w:cs="Times New Roman"/>
          <w:szCs w:val="24"/>
          <w:highlight w:val="yellow"/>
        </w:rPr>
        <w:t xml:space="preserve">(Geyik </w:t>
      </w:r>
      <w:r w:rsidR="009B7B21" w:rsidRPr="009B7B21">
        <w:rPr>
          <w:rFonts w:cs="Times New Roman"/>
          <w:i/>
          <w:iCs/>
          <w:szCs w:val="24"/>
          <w:highlight w:val="yellow"/>
        </w:rPr>
        <w:t>et al.</w:t>
      </w:r>
      <w:r w:rsidR="009B7B21" w:rsidRPr="009B7B21">
        <w:rPr>
          <w:rFonts w:cs="Times New Roman"/>
          <w:szCs w:val="24"/>
          <w:highlight w:val="yellow"/>
        </w:rPr>
        <w:t>, 2021)</w:t>
      </w:r>
      <w:r w:rsidRPr="009B7B21">
        <w:rPr>
          <w:highlight w:val="yellow"/>
        </w:rPr>
        <w:fldChar w:fldCharType="end"/>
      </w:r>
      <w:r w:rsidRPr="00524117">
        <w:rPr>
          <w:highlight w:val="yellow"/>
        </w:rPr>
        <w:t xml:space="preserve"> </w:t>
      </w:r>
      <w:r w:rsidRPr="00D242D7">
        <w:rPr>
          <w:highlight w:val="yellow"/>
        </w:rPr>
        <w:t xml:space="preserve">and </w:t>
      </w:r>
      <w:r w:rsidRPr="00D242D7">
        <w:rPr>
          <w:highlight w:val="yellow"/>
        </w:rPr>
        <w:fldChar w:fldCharType="begin"/>
      </w:r>
      <w:r w:rsidR="0060464F">
        <w:rPr>
          <w:highlight w:val="yellow"/>
        </w:rPr>
        <w:instrText xml:space="preserve"> ADDIN ZOTERO_ITEM CSL_CITATION {"citationID":"X8UhEecq","properties":{"formattedCitation":"(Jafari, Engemann and Zimmermann, 2023)","plainCitation":"(Jafari, Engemann and Zimmermann, 2023)","noteIndex":0},"citationItems":[{"id":"1qXGYDro/PjZoZzwL","uris":["http://zotero.org/users/203136/items/WQXXQCH3"],"itemData":{"id":6249,"type":"book","event-place":"Rome","publisher":"FAO","publisher-place":"Rome","title":"The evolution of the global structure of food and agricultural trade: Evidence from network analysis. Background paper for The State of Agricultural Commodity Markets (SOCO) 2022","author":[{"family":"Jafari","given":"Yaghoob"},{"family":"Engemann","given":"Helena"},{"family":"Zimmermann","given":"Andrea"}],"issued":{"date-parts":[["2023"]]}}}],"schema":"https://github.com/citation-style-language/schema/raw/master/csl-citation.json"} </w:instrText>
      </w:r>
      <w:r w:rsidRPr="00D242D7">
        <w:rPr>
          <w:highlight w:val="yellow"/>
        </w:rPr>
        <w:fldChar w:fldCharType="separate"/>
      </w:r>
      <w:r w:rsidR="00524117" w:rsidRPr="00524117">
        <w:rPr>
          <w:highlight w:val="yellow"/>
        </w:rPr>
        <w:t>(Jafari, Engemann and Zimmermann, 2023)</w:t>
      </w:r>
      <w:r w:rsidRPr="00D242D7">
        <w:rPr>
          <w:highlight w:val="yellow"/>
        </w:rPr>
        <w:fldChar w:fldCharType="end"/>
      </w:r>
      <w:r>
        <w:t xml:space="preserve">. </w:t>
      </w:r>
    </w:p>
    <w:p w14:paraId="4A0C2036" w14:textId="0BCF37E8" w:rsidR="00FB5789" w:rsidRDefault="00FB5789" w:rsidP="005F1FBD"/>
    <w:p w14:paraId="527341BB" w14:textId="77777777" w:rsidR="00DA4A57" w:rsidRPr="00E45C75" w:rsidRDefault="00DA4A57" w:rsidP="00DA4A57">
      <w:pPr>
        <w:pStyle w:val="Heading2"/>
        <w:spacing w:after="120" w:line="240" w:lineRule="auto"/>
        <w:ind w:left="578" w:hanging="578"/>
        <w:rPr>
          <w:rFonts w:ascii="Candara" w:hAnsi="Candara"/>
          <w:sz w:val="22"/>
          <w:szCs w:val="22"/>
          <w:lang w:val="en-GB"/>
        </w:rPr>
      </w:pPr>
      <w:bookmarkStart w:id="24" w:name="_Ref110010846"/>
      <w:bookmarkStart w:id="25" w:name="_Toc110611193"/>
      <w:bookmarkStart w:id="26" w:name="_Toc139967687"/>
      <w:r w:rsidRPr="00E45C75">
        <w:rPr>
          <w:rStyle w:val="Heading2Char"/>
          <w:rFonts w:ascii="Candara" w:hAnsi="Candara"/>
          <w:sz w:val="22"/>
          <w:szCs w:val="22"/>
        </w:rPr>
        <w:t>Dat</w:t>
      </w:r>
      <w:r w:rsidRPr="00E45C75">
        <w:rPr>
          <w:rFonts w:ascii="Candara" w:hAnsi="Candara"/>
          <w:sz w:val="22"/>
          <w:szCs w:val="22"/>
          <w:lang w:val="en-GB"/>
        </w:rPr>
        <w:t>a and construction of the world trade matrix</w:t>
      </w:r>
      <w:bookmarkEnd w:id="24"/>
      <w:bookmarkEnd w:id="25"/>
      <w:bookmarkEnd w:id="26"/>
    </w:p>
    <w:p w14:paraId="2AAD96B3" w14:textId="77777777" w:rsidR="00DA4A57" w:rsidRPr="00E45C75" w:rsidRDefault="00DA4A57" w:rsidP="00DA4A57">
      <w:pPr>
        <w:spacing w:before="100" w:beforeAutospacing="1" w:after="100" w:afterAutospacing="1" w:line="240" w:lineRule="auto"/>
        <w:rPr>
          <w:rFonts w:ascii="Candara" w:eastAsia="Times New Roman" w:hAnsi="Candara" w:cs="Times New Roman"/>
          <w:lang w:val="en-GB" w:eastAsia="en-GB"/>
        </w:rPr>
      </w:pPr>
      <w:r w:rsidRPr="00E45C75">
        <w:rPr>
          <w:rFonts w:ascii="Candara" w:eastAsia="Times New Roman" w:hAnsi="Candara" w:cs="Times New Roman"/>
          <w:lang w:val="en-GB" w:eastAsia="en-GB"/>
        </w:rPr>
        <w:t>To calculate the network measures, we utilize data from the FAOSTAT database on international bilateral trade of food and agricultural products</w:t>
      </w:r>
      <w:r w:rsidRPr="0060464F">
        <w:rPr>
          <w:rStyle w:val="FootnoteReference"/>
        </w:rPr>
        <w:footnoteReference w:id="5"/>
      </w:r>
      <w:r w:rsidRPr="00E45C75">
        <w:rPr>
          <w:rFonts w:ascii="Candara" w:eastAsia="Times New Roman" w:hAnsi="Candara" w:cs="Times New Roman"/>
          <w:lang w:val="en-GB" w:eastAsia="en-GB"/>
        </w:rPr>
        <w:t>. Our analysis covers snapshots of world trade involving 190 countries for the years 1995, 2007, 2013, and 2019. The selection of these specific years is based on their significance in relation to global trade dynamics</w:t>
      </w:r>
      <w:r>
        <w:rPr>
          <w:rFonts w:ascii="Candara" w:eastAsia="Times New Roman" w:hAnsi="Candara" w:cs="Times New Roman"/>
          <w:lang w:val="en-GB" w:eastAsia="en-GB"/>
        </w:rPr>
        <w:t xml:space="preserve"> (See figure 1)</w:t>
      </w:r>
      <w:r w:rsidRPr="00E45C75">
        <w:rPr>
          <w:rFonts w:ascii="Candara" w:eastAsia="Times New Roman" w:hAnsi="Candara" w:cs="Times New Roman"/>
          <w:lang w:val="en-GB" w:eastAsia="en-GB"/>
        </w:rPr>
        <w:t>. We choose 1995 as the year of the establishment of the WTO, 2007 as the onset of the global food price crisis before the financial crisis, 2013 as a year when growth in global food and agricultural trade had already leveled off, and 2019 as the most recent year for which data was available at the time of analysis.</w:t>
      </w:r>
    </w:p>
    <w:p w14:paraId="27A079F4" w14:textId="7AAFF50D" w:rsidR="00DA4A57" w:rsidRPr="00DA4A57" w:rsidRDefault="00DA4A57" w:rsidP="005F1FBD">
      <w:pPr>
        <w:rPr>
          <w:lang w:val="en-GB"/>
        </w:rPr>
      </w:pPr>
      <w:r w:rsidRPr="00E45C75">
        <w:rPr>
          <w:rFonts w:ascii="Candara" w:eastAsia="Times New Roman" w:hAnsi="Candara" w:cs="Times New Roman"/>
          <w:lang w:val="en-GB" w:eastAsia="en-GB"/>
        </w:rPr>
        <w:t xml:space="preserve">The trade matrix is constructed using bilateral import flows, which are often deemed more reliable than export data </w:t>
      </w:r>
      <w:r w:rsidR="00AE2133">
        <w:rPr>
          <w:rFonts w:ascii="Candara" w:eastAsia="Times New Roman" w:hAnsi="Candara" w:cs="Times New Roman"/>
          <w:lang w:val="en-GB" w:eastAsia="en-GB"/>
        </w:rPr>
        <w:fldChar w:fldCharType="begin"/>
      </w:r>
      <w:r w:rsidR="00AE2133">
        <w:rPr>
          <w:rFonts w:ascii="Candara" w:eastAsia="Times New Roman" w:hAnsi="Candara" w:cs="Times New Roman"/>
          <w:lang w:val="en-GB" w:eastAsia="en-GB"/>
        </w:rPr>
        <w:instrText xml:space="preserve"> ADDIN ZOTERO_ITEM CSL_CITATION {"citationID":"G5rkORmu","properties":{"formattedCitation":"(Cadot, Carr\\uc0\\u232{}re and Strauss-Kahn, 2011)","plainCitation":"(Cadot, Carrère and Strauss-Kahn, 2011)","noteIndex":0},"citationItems":[{"id":1477,"uris":["http://zotero.org/users/12902950/items/JCDZ7BH6"],"itemData":{"id":1477,"type":"article-journal","container-title":"Review of Economics and Statistics","DOI":"10.1162/REST_a_00078","ISSN":"0034-6535, 1530-9142","issue":"2","journalAbbreviation":"Review of Economics and Statistics","language":"en","page":"590-605","source":"DOI.org (Crossref)","title":"Export Diversification: What's behind the Hump?","title-short":"Export Diversification","volume":"93","author":[{"family":"Cadot","given":"Olivier"},{"family":"Carrère","given":"Céline"},{"family":"Strauss-Kahn","given":"Vanessa"}],"issued":{"date-parts":[["2011",5]]}}}],"schema":"https://github.com/citation-style-language/schema/raw/master/csl-citation.json"} </w:instrText>
      </w:r>
      <w:r w:rsidR="00AE2133">
        <w:rPr>
          <w:rFonts w:ascii="Candara" w:eastAsia="Times New Roman" w:hAnsi="Candara" w:cs="Times New Roman"/>
          <w:lang w:val="en-GB" w:eastAsia="en-GB"/>
        </w:rPr>
        <w:fldChar w:fldCharType="separate"/>
      </w:r>
      <w:r w:rsidR="00AE2133" w:rsidRPr="00AE2133">
        <w:rPr>
          <w:rFonts w:ascii="Candara" w:hAnsi="Candara" w:cs="Times New Roman"/>
          <w:szCs w:val="24"/>
        </w:rPr>
        <w:t>(Cadot, Carrère and Strauss-Kahn, 2011)</w:t>
      </w:r>
      <w:r w:rsidR="00AE2133">
        <w:rPr>
          <w:rFonts w:ascii="Candara" w:eastAsia="Times New Roman" w:hAnsi="Candara" w:cs="Times New Roman"/>
          <w:lang w:val="en-GB" w:eastAsia="en-GB"/>
        </w:rPr>
        <w:fldChar w:fldCharType="end"/>
      </w:r>
      <w:r w:rsidRPr="00E45C75">
        <w:rPr>
          <w:rFonts w:ascii="Candara" w:eastAsia="Times New Roman" w:hAnsi="Candara" w:cs="Times New Roman"/>
          <w:lang w:val="en-GB" w:eastAsia="en-GB"/>
        </w:rPr>
        <w:t xml:space="preserve">Generally, import and export links and values are highly correlated, allowing for generalizations about overall trade patterns. In situations where import values were not available but corresponding export values were reported by partner countries, we reflect export values to represent import values. Trade values are expressed in USD and deflated using the 1995 United States of America Consumer Price Index (e.g., </w:t>
      </w:r>
      <w:r w:rsidR="00AE2133">
        <w:rPr>
          <w:rFonts w:ascii="Candara" w:eastAsia="Times New Roman" w:hAnsi="Candara" w:cs="Times New Roman"/>
          <w:lang w:val="en-GB" w:eastAsia="en-GB"/>
        </w:rPr>
        <w:fldChar w:fldCharType="begin"/>
      </w:r>
      <w:r w:rsidR="00AE2133">
        <w:rPr>
          <w:rFonts w:ascii="Candara" w:eastAsia="Times New Roman" w:hAnsi="Candara" w:cs="Times New Roman"/>
          <w:lang w:val="en-GB" w:eastAsia="en-GB"/>
        </w:rPr>
        <w:instrText xml:space="preserve"> ADDIN ZOTERO_ITEM CSL_CITATION {"citationID":"TEyKEE9w","properties":{"formattedCitation":"(Rose, 2004)","plainCitation":"(Rose, 2004)","noteIndex":0},"citationItems":[{"id":1479,"uris":["http://zotero.org/users/12902950/items/7B35B7QR"],"itemData":{"id":1479,"type":"article-journal","abstract":"This paper estimates the effect on international trade of multilateral trade agreements—the World Trade Organization (WTO), its predecessor the General Agreement on Tariffs and Trade (GATT), and the Generalized System of Preferences (GSP) extended from rich countries to developing countries. I use a standard “gravity” model of bilateral merchandise trade and a large panel data set covering over 50 years and 175 countries. An extensive search reveals little evidence that countries joining or belonging to the GATT/WTO have different trade patterns from outsiders, though the GSP seems to have a strong effect.","container-title":"American Economic Review","DOI":"10.1257/000282804322970724","ISSN":"0002-8282","issue":"1","journalAbbreviation":"American Economic Review","language":"en","page":"98-114","source":"DOI.org (Crossref)","title":"Do We Really Know That the WTO Increases Trade?","volume":"94","author":[{"family":"Rose","given":"Andrew K"}],"issued":{"date-parts":[["2004",2,1]]}}}],"schema":"https://github.com/citation-style-language/schema/raw/master/csl-citation.json"} </w:instrText>
      </w:r>
      <w:r w:rsidR="00AE2133">
        <w:rPr>
          <w:rFonts w:ascii="Candara" w:eastAsia="Times New Roman" w:hAnsi="Candara" w:cs="Times New Roman"/>
          <w:lang w:val="en-GB" w:eastAsia="en-GB"/>
        </w:rPr>
        <w:fldChar w:fldCharType="separate"/>
      </w:r>
      <w:r w:rsidR="00AE2133" w:rsidRPr="00AE2133">
        <w:rPr>
          <w:rFonts w:ascii="Candara" w:hAnsi="Candara"/>
        </w:rPr>
        <w:t>(Rose, 2004)</w:t>
      </w:r>
      <w:r w:rsidR="00AE2133">
        <w:rPr>
          <w:rFonts w:ascii="Candara" w:eastAsia="Times New Roman" w:hAnsi="Candara" w:cs="Times New Roman"/>
          <w:lang w:val="en-GB" w:eastAsia="en-GB"/>
        </w:rPr>
        <w:fldChar w:fldCharType="end"/>
      </w:r>
      <w:r w:rsidR="00AE2133">
        <w:rPr>
          <w:rFonts w:ascii="Candara" w:eastAsia="Times New Roman" w:hAnsi="Candara" w:cs="Times New Roman"/>
          <w:lang w:val="en-GB" w:eastAsia="en-GB"/>
        </w:rPr>
        <w:t>)</w:t>
      </w:r>
    </w:p>
    <w:p w14:paraId="04BEE604" w14:textId="5257A3F9" w:rsidR="00FB5789" w:rsidRDefault="00FB5789" w:rsidP="00451318">
      <w:pPr>
        <w:pStyle w:val="Heading1"/>
      </w:pPr>
      <w:bookmarkStart w:id="27" w:name="_Toc145761455"/>
      <w:r>
        <w:t>Results</w:t>
      </w:r>
      <w:r w:rsidR="00010DC3">
        <w:t xml:space="preserve"> and discussion</w:t>
      </w:r>
      <w:bookmarkEnd w:id="27"/>
    </w:p>
    <w:p w14:paraId="515954E0" w14:textId="77777777" w:rsidR="0052482E" w:rsidRDefault="0052482E" w:rsidP="005F1FBD"/>
    <w:p w14:paraId="6F847429" w14:textId="77777777" w:rsidR="0052482E" w:rsidRDefault="0052482E" w:rsidP="005F1FBD"/>
    <w:p w14:paraId="091F580F" w14:textId="55F759C2" w:rsidR="0023036F" w:rsidRDefault="0023036F" w:rsidP="0023036F">
      <w:pPr>
        <w:pStyle w:val="Heading2"/>
      </w:pPr>
      <w:bookmarkStart w:id="28" w:name="_Toc145761456"/>
      <w:r>
        <w:lastRenderedPageBreak/>
        <w:t>Perspective</w:t>
      </w:r>
      <w:r w:rsidR="008C2266">
        <w:t>:</w:t>
      </w:r>
      <w:r>
        <w:t xml:space="preserve"> </w:t>
      </w:r>
      <w:r w:rsidR="008C2266">
        <w:t>C</w:t>
      </w:r>
      <w:r>
        <w:t>ountry-level vs global</w:t>
      </w:r>
      <w:r w:rsidR="008C2266">
        <w:t>-</w:t>
      </w:r>
      <w:r>
        <w:t>level</w:t>
      </w:r>
      <w:bookmarkEnd w:id="28"/>
      <w:r w:rsidR="008C2266">
        <w:t xml:space="preserve"> resilience</w:t>
      </w:r>
    </w:p>
    <w:p w14:paraId="7DE96E65" w14:textId="1281DBF1" w:rsidR="009F121B" w:rsidRDefault="0023036F" w:rsidP="005F1FBD">
      <w:r>
        <w:t xml:space="preserve"> </w:t>
      </w:r>
    </w:p>
    <w:p w14:paraId="3322BC2A" w14:textId="60CDAE5F" w:rsidR="002F04F4" w:rsidRDefault="00700565" w:rsidP="0023036F">
      <w:pPr>
        <w:pStyle w:val="Heading3"/>
      </w:pPr>
      <w:bookmarkStart w:id="29" w:name="_Toc145761457"/>
      <w:r>
        <w:t>Level of connectivity</w:t>
      </w:r>
      <w:bookmarkEnd w:id="29"/>
    </w:p>
    <w:p w14:paraId="7264660C" w14:textId="3CB19EA7" w:rsidR="005912ED" w:rsidRDefault="008B18B2" w:rsidP="005F1FBD">
      <w:r>
        <w:t>The d</w:t>
      </w:r>
      <w:r w:rsidR="00295949">
        <w:t>irect c</w:t>
      </w:r>
      <w:r w:rsidR="009355A2">
        <w:t>onnectivit</w:t>
      </w:r>
      <w:r w:rsidR="00295949">
        <w:t xml:space="preserve">y of </w:t>
      </w:r>
      <w:commentRangeStart w:id="30"/>
      <w:r w:rsidR="00295949">
        <w:t>all</w:t>
      </w:r>
      <w:commentRangeEnd w:id="30"/>
      <w:r w:rsidR="00AC38C0">
        <w:rPr>
          <w:rStyle w:val="CommentReference"/>
        </w:rPr>
        <w:commentReference w:id="30"/>
      </w:r>
      <w:r w:rsidR="00295949">
        <w:t xml:space="preserve"> countries increased between 1995 and 2019</w:t>
      </w:r>
      <w:r w:rsidR="002049D4">
        <w:t xml:space="preserve"> (</w:t>
      </w:r>
      <w:r w:rsidR="00E24F9E">
        <w:fldChar w:fldCharType="begin"/>
      </w:r>
      <w:r w:rsidR="00E24F9E">
        <w:instrText xml:space="preserve"> REF _Ref130886894 \h </w:instrText>
      </w:r>
      <w:r w:rsidR="00E24F9E">
        <w:fldChar w:fldCharType="separate"/>
      </w:r>
      <w:r w:rsidR="00E24F9E">
        <w:t xml:space="preserve">Figure </w:t>
      </w:r>
      <w:r w:rsidR="00E24F9E">
        <w:rPr>
          <w:noProof/>
        </w:rPr>
        <w:t>1</w:t>
      </w:r>
      <w:r w:rsidR="00E24F9E">
        <w:fldChar w:fldCharType="end"/>
      </w:r>
      <w:r w:rsidR="002049D4">
        <w:t>)</w:t>
      </w:r>
      <w:r w:rsidR="00720EC7">
        <w:t xml:space="preserve"> </w:t>
      </w:r>
      <w:r w:rsidR="00FF1352" w:rsidRPr="00FF1352">
        <w:t>along both extensive and intensive margins</w:t>
      </w:r>
      <w:r w:rsidR="00EA55AD">
        <w:t xml:space="preserve">. Especially the increased connectivity </w:t>
      </w:r>
      <w:r w:rsidR="00C96F1C">
        <w:t xml:space="preserve">along the extensive margins </w:t>
      </w:r>
      <w:r w:rsidR="00271AB2">
        <w:t>indicat</w:t>
      </w:r>
      <w:r w:rsidR="00C96F1C">
        <w:t>es</w:t>
      </w:r>
      <w:r w:rsidR="00271AB2">
        <w:t xml:space="preserve"> improved resilience of</w:t>
      </w:r>
      <w:r w:rsidR="00080227">
        <w:t xml:space="preserve"> individual countries </w:t>
      </w:r>
      <w:r w:rsidR="00A241FC">
        <w:t xml:space="preserve">against trade shocks originating from one or few trade partners </w:t>
      </w:r>
      <w:r w:rsidR="002621E9">
        <w:t>through</w:t>
      </w:r>
      <w:r w:rsidR="00C96F1C">
        <w:t xml:space="preserve"> a greater diversity of trade partners and </w:t>
      </w:r>
      <w:r w:rsidR="00457117">
        <w:t xml:space="preserve">imported </w:t>
      </w:r>
      <w:r w:rsidR="00C96F1C">
        <w:t>products</w:t>
      </w:r>
      <w:r w:rsidR="00FF1352" w:rsidRPr="00FF1352">
        <w:t>.</w:t>
      </w:r>
      <w:r w:rsidR="00A934CA">
        <w:t xml:space="preserve"> Gr</w:t>
      </w:r>
      <w:r w:rsidR="00457117">
        <w:t>e</w:t>
      </w:r>
      <w:r w:rsidR="00A934CA">
        <w:t xml:space="preserve">ater connectivity at the intensive margin implies that countries </w:t>
      </w:r>
      <w:r w:rsidR="001529B2">
        <w:t xml:space="preserve">also increased the overall value of their imports between 1995 and 2019. </w:t>
      </w:r>
      <w:r w:rsidR="00FF1352" w:rsidRPr="00FF1352">
        <w:t xml:space="preserve">In 1995, </w:t>
      </w:r>
      <w:r w:rsidR="002179D1">
        <w:t xml:space="preserve">countries in </w:t>
      </w:r>
      <w:r w:rsidR="00FF1352" w:rsidRPr="00FF1352">
        <w:t xml:space="preserve">North America, East Asia, Oceania, </w:t>
      </w:r>
      <w:r w:rsidR="00E240E3">
        <w:t xml:space="preserve">the </w:t>
      </w:r>
      <w:r w:rsidR="00FF1352" w:rsidRPr="00FF1352">
        <w:t xml:space="preserve">European Union, and partially South Africa and countries in Northern Africa were already well-connected. By 2019, the connectivity of most countries had </w:t>
      </w:r>
      <w:r w:rsidR="00C11C10">
        <w:t>increased</w:t>
      </w:r>
      <w:r w:rsidR="00FF1352" w:rsidRPr="00FF1352">
        <w:t xml:space="preserve">, particularly </w:t>
      </w:r>
      <w:r w:rsidR="00C11C10">
        <w:t>in</w:t>
      </w:r>
      <w:r w:rsidR="00C11C10" w:rsidRPr="00FF1352">
        <w:t xml:space="preserve"> </w:t>
      </w:r>
      <w:r w:rsidR="00FF1352" w:rsidRPr="00FF1352">
        <w:t xml:space="preserve">countries </w:t>
      </w:r>
      <w:r w:rsidR="00FF1352" w:rsidRPr="001529B2">
        <w:t xml:space="preserve">of the </w:t>
      </w:r>
      <w:r w:rsidR="00FF1352" w:rsidRPr="00C25FF5">
        <w:t>former Soviet Union</w:t>
      </w:r>
      <w:r w:rsidR="00FF1352" w:rsidRPr="001529B2">
        <w:t xml:space="preserve">. However, the connectivity of </w:t>
      </w:r>
      <w:r w:rsidR="005E5DC9">
        <w:t xml:space="preserve">many </w:t>
      </w:r>
      <w:r w:rsidR="00FF1352" w:rsidRPr="001529B2">
        <w:t xml:space="preserve">African countries, </w:t>
      </w:r>
      <w:r w:rsidR="005E5DC9">
        <w:t>S</w:t>
      </w:r>
      <w:r w:rsidR="005E5DC9" w:rsidRPr="001529B2">
        <w:t xml:space="preserve">mall </w:t>
      </w:r>
      <w:r w:rsidR="005E5DC9">
        <w:t>I</w:t>
      </w:r>
      <w:r w:rsidR="005E5DC9" w:rsidRPr="001529B2">
        <w:t xml:space="preserve">sland </w:t>
      </w:r>
      <w:r w:rsidR="005E5DC9">
        <w:t>D</w:t>
      </w:r>
      <w:r w:rsidR="005E5DC9" w:rsidRPr="001529B2">
        <w:t>evelop</w:t>
      </w:r>
      <w:r w:rsidR="005E5DC9">
        <w:t>ing S</w:t>
      </w:r>
      <w:r w:rsidR="00FF1352" w:rsidRPr="00FF1352">
        <w:t>tates and land</w:t>
      </w:r>
      <w:r w:rsidR="00A14BA9">
        <w:t>-</w:t>
      </w:r>
      <w:r w:rsidR="00FF1352" w:rsidRPr="00FF1352">
        <w:t>locked countries remained low along both extensive and intensive margins, and</w:t>
      </w:r>
      <w:r w:rsidR="00A14BA9">
        <w:t>,</w:t>
      </w:r>
      <w:r w:rsidR="00FF1352" w:rsidRPr="00FF1352">
        <w:t xml:space="preserve"> in general, countries</w:t>
      </w:r>
      <w:r w:rsidR="00A14BA9">
        <w:t xml:space="preserve"> in these groups</w:t>
      </w:r>
      <w:r w:rsidR="00FF1352" w:rsidRPr="00FF1352">
        <w:t xml:space="preserve"> are the least connected in the world.</w:t>
      </w:r>
      <w:r w:rsidR="006A16D8">
        <w:t xml:space="preserve"> </w:t>
      </w:r>
      <w:r w:rsidR="00665372" w:rsidRPr="00665372">
        <w:t xml:space="preserve">The overall density of the trade network increased </w:t>
      </w:r>
      <w:r w:rsidR="00665372" w:rsidRPr="008A280D">
        <w:t>from 32</w:t>
      </w:r>
      <w:r w:rsidR="00665372" w:rsidRPr="006E5F8B">
        <w:t>%</w:t>
      </w:r>
      <w:r w:rsidR="00665372" w:rsidRPr="008A280D">
        <w:t xml:space="preserve"> to 47%, indicating a higher number of countries engaging in trade with one another. </w:t>
      </w:r>
      <w:commentRangeStart w:id="31"/>
      <w:r w:rsidR="00665372" w:rsidRPr="006E5F8B">
        <w:t xml:space="preserve">The general increase in the connectivity measures of first order, both in terms of trade links and the intensity of trade, </w:t>
      </w:r>
      <w:r w:rsidR="00D33810" w:rsidRPr="006E5F8B">
        <w:t>indicates</w:t>
      </w:r>
      <w:r w:rsidR="00665372" w:rsidRPr="006E5F8B">
        <w:t xml:space="preserve"> changes in the intermediate and global connectivity of the trade network encompassing all countries, on average.</w:t>
      </w:r>
      <w:commentRangeEnd w:id="31"/>
      <w:r w:rsidR="00802621">
        <w:rPr>
          <w:rStyle w:val="CommentReference"/>
        </w:rPr>
        <w:commentReference w:id="31"/>
      </w:r>
    </w:p>
    <w:p w14:paraId="584B22CC" w14:textId="29C8D763" w:rsidR="00F946ED" w:rsidRDefault="00F946ED" w:rsidP="00F946ED">
      <w:pPr>
        <w:pStyle w:val="Caption"/>
        <w:keepNext/>
      </w:pPr>
      <w:bookmarkStart w:id="32" w:name="_Ref130886894"/>
      <w:r>
        <w:t xml:space="preserve">Figure </w:t>
      </w:r>
      <w:fldSimple w:instr=" SEQ Figure \* ARABIC ">
        <w:r w:rsidR="00EC50BF">
          <w:rPr>
            <w:noProof/>
          </w:rPr>
          <w:t>1</w:t>
        </w:r>
      </w:fldSimple>
      <w:bookmarkEnd w:id="32"/>
      <w:r>
        <w:t xml:space="preserve"> Country-level connectivity to the global food and agricultural trade network, by country, 1995 and 2019</w:t>
      </w:r>
    </w:p>
    <w:p w14:paraId="162CF640" w14:textId="74E001F3" w:rsidR="002760D5" w:rsidRDefault="002760D5" w:rsidP="005F1FBD">
      <w:r w:rsidRPr="002760D5">
        <w:rPr>
          <w:noProof/>
          <w:lang w:val="de-DE" w:eastAsia="de-DE"/>
        </w:rPr>
        <w:drawing>
          <wp:inline distT="0" distB="0" distL="0" distR="0" wp14:anchorId="7D08968A" wp14:editId="08D62FEA">
            <wp:extent cx="5943600" cy="25761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576195"/>
                    </a:xfrm>
                    <a:prstGeom prst="rect">
                      <a:avLst/>
                    </a:prstGeom>
                    <a:noFill/>
                    <a:ln>
                      <a:noFill/>
                    </a:ln>
                  </pic:spPr>
                </pic:pic>
              </a:graphicData>
            </a:graphic>
          </wp:inline>
        </w:drawing>
      </w:r>
    </w:p>
    <w:p w14:paraId="1A986D26" w14:textId="30D71083" w:rsidR="00B565C0" w:rsidRPr="00B565C0" w:rsidRDefault="00B565C0" w:rsidP="005F1FBD">
      <w:pPr>
        <w:rPr>
          <w:lang w:val="de-DE"/>
        </w:rPr>
      </w:pPr>
      <w:r w:rsidRPr="00B565C0">
        <w:rPr>
          <w:lang w:val="de-DE"/>
        </w:rPr>
        <w:t xml:space="preserve">Source: </w:t>
      </w:r>
      <w:r w:rsidR="00AE2133">
        <w:rPr>
          <w:lang w:val="de-DE"/>
        </w:rPr>
        <w:fldChar w:fldCharType="begin"/>
      </w:r>
      <w:r w:rsidR="0060464F">
        <w:rPr>
          <w:lang w:val="de-DE"/>
        </w:rPr>
        <w:instrText xml:space="preserve"> ADDIN ZOTERO_ITEM CSL_CITATION {"citationID":"vDOUz8PO","properties":{"formattedCitation":"(Jafari, Engemann and Zimmermann, 2023)","plainCitation":"(Jafari, Engemann and Zimmermann, 2023)","noteIndex":0},"citationItems":[{"id":"1qXGYDro/PjZoZzwL","uris":["http://zotero.org/users/203136/items/WQXXQCH3"],"itemData":{"id":"AMrn2D5k/JfL19xre","type":"book","event-place":"Rome","publisher":"FAO","publisher-place":"Rome","title":"The evolution of the global structure of food and agricultural trade: Evidence from network analysis. Background paper for The State of Agricultural Commodity Markets (SOCO) 2022","author":[{"family":"Jafari","given":"Yaghoob"},{"family":"Engemann","given":"Helena"},{"family":"Zimmermann","given":"Andrea"}],"issued":{"date-parts":[["2023"]]}}}],"schema":"https://github.com/citation-style-language/schema/raw/master/csl-citation.json"} </w:instrText>
      </w:r>
      <w:r w:rsidR="00AE2133">
        <w:rPr>
          <w:lang w:val="de-DE"/>
        </w:rPr>
        <w:fldChar w:fldCharType="separate"/>
      </w:r>
      <w:r w:rsidR="00AE2133" w:rsidRPr="00AE2133">
        <w:t>(Jafari, Engemann and Zimmermann, 2023)</w:t>
      </w:r>
      <w:r w:rsidR="00AE2133">
        <w:rPr>
          <w:lang w:val="de-DE"/>
        </w:rPr>
        <w:fldChar w:fldCharType="end"/>
      </w:r>
    </w:p>
    <w:p w14:paraId="7F0EA1BC" w14:textId="339172E1" w:rsidR="00ED6CF0" w:rsidRDefault="00ED6CF0" w:rsidP="00A22F09">
      <w:pPr>
        <w:pStyle w:val="Heading3"/>
      </w:pPr>
      <w:bookmarkStart w:id="33" w:name="_Toc145259450"/>
      <w:bookmarkStart w:id="34" w:name="_Toc145761458"/>
      <w:bookmarkStart w:id="35" w:name="_Toc145259451"/>
      <w:bookmarkStart w:id="36" w:name="_Toc145761459"/>
      <w:bookmarkStart w:id="37" w:name="_Toc145259452"/>
      <w:bookmarkStart w:id="38" w:name="_Toc145761460"/>
      <w:bookmarkStart w:id="39" w:name="_Toc145259453"/>
      <w:bookmarkStart w:id="40" w:name="_Toc145761461"/>
      <w:bookmarkStart w:id="41" w:name="_Toc145761462"/>
      <w:bookmarkEnd w:id="33"/>
      <w:bookmarkEnd w:id="34"/>
      <w:bookmarkEnd w:id="35"/>
      <w:bookmarkEnd w:id="36"/>
      <w:bookmarkEnd w:id="37"/>
      <w:bookmarkEnd w:id="38"/>
      <w:bookmarkEnd w:id="39"/>
      <w:bookmarkEnd w:id="40"/>
      <w:r>
        <w:t>Distribution of connectivity</w:t>
      </w:r>
      <w:bookmarkEnd w:id="41"/>
    </w:p>
    <w:p w14:paraId="1583EDC9" w14:textId="6BEB5818" w:rsidR="00D43B0F" w:rsidRDefault="002567C1" w:rsidP="00ED6CF0">
      <w:r>
        <w:t xml:space="preserve">While </w:t>
      </w:r>
      <w:r w:rsidR="00A85FA3">
        <w:t xml:space="preserve">direct connectivity of all countries increased, </w:t>
      </w:r>
      <w:r w:rsidR="00CA0001">
        <w:t xml:space="preserve">connectivity is still </w:t>
      </w:r>
      <w:r w:rsidR="00F47F7C">
        <w:t xml:space="preserve">unevenly </w:t>
      </w:r>
      <w:r w:rsidR="00CA0001">
        <w:t>distributed.</w:t>
      </w:r>
      <w:r w:rsidR="00D023CA">
        <w:t xml:space="preserve"> </w:t>
      </w:r>
      <w:r w:rsidR="00A92C08">
        <w:t>At both extensive margins</w:t>
      </w:r>
      <w:r w:rsidR="0026389D">
        <w:t xml:space="preserve"> and the intensive margin (</w:t>
      </w:r>
      <w:r w:rsidR="0026389D">
        <w:fldChar w:fldCharType="begin"/>
      </w:r>
      <w:r w:rsidR="0026389D">
        <w:instrText xml:space="preserve"> REF _Ref145764783 \h </w:instrText>
      </w:r>
      <w:r w:rsidR="0026389D">
        <w:fldChar w:fldCharType="separate"/>
      </w:r>
      <w:r w:rsidR="0026389D">
        <w:t xml:space="preserve">Figure </w:t>
      </w:r>
      <w:r w:rsidR="0026389D">
        <w:rPr>
          <w:noProof/>
        </w:rPr>
        <w:t>2</w:t>
      </w:r>
      <w:r w:rsidR="0026389D">
        <w:fldChar w:fldCharType="end"/>
      </w:r>
      <w:r w:rsidR="0026389D">
        <w:t>)</w:t>
      </w:r>
      <w:r w:rsidR="00056A69">
        <w:t>, the dist</w:t>
      </w:r>
      <w:r w:rsidR="001871AC">
        <w:t>ribution of direct connectivity across countries</w:t>
      </w:r>
      <w:r w:rsidR="0026389D">
        <w:t xml:space="preserve"> </w:t>
      </w:r>
      <w:r w:rsidR="00F528FF">
        <w:t xml:space="preserve">was strongly right-skewed in 1995 indicating a high concentration of trade </w:t>
      </w:r>
      <w:r w:rsidR="00F40229">
        <w:t xml:space="preserve">among few countries. </w:t>
      </w:r>
      <w:r w:rsidR="001F5C26">
        <w:t xml:space="preserve">Between 1995 and 2007, especially the distribution of </w:t>
      </w:r>
      <w:r w:rsidR="004C63F9">
        <w:t xml:space="preserve">connectivity by trade partner </w:t>
      </w:r>
      <w:r w:rsidR="0015771F">
        <w:t xml:space="preserve">shifted to the right and became more </w:t>
      </w:r>
      <w:r w:rsidR="00097ECA">
        <w:t>bell-shaped</w:t>
      </w:r>
      <w:r w:rsidR="00B34F70">
        <w:t xml:space="preserve"> (Panel A)</w:t>
      </w:r>
      <w:r w:rsidR="00097ECA">
        <w:t xml:space="preserve"> indicating a more balanced trade system</w:t>
      </w:r>
      <w:r w:rsidR="00BA6365">
        <w:t xml:space="preserve"> with overall lower vulnerability to trade shocks as</w:t>
      </w:r>
      <w:r w:rsidR="00E73C0B">
        <w:t xml:space="preserve"> shocks </w:t>
      </w:r>
      <w:r w:rsidR="0036624A">
        <w:t xml:space="preserve">to trade links with one or few countries in the network can be substituted with </w:t>
      </w:r>
      <w:r w:rsidR="003D54CE">
        <w:t xml:space="preserve">links with other countries. </w:t>
      </w:r>
      <w:r w:rsidR="004B380E">
        <w:t xml:space="preserve">The distributions of </w:t>
      </w:r>
      <w:r w:rsidR="00B92D07">
        <w:lastRenderedPageBreak/>
        <w:t xml:space="preserve">trade intensity and </w:t>
      </w:r>
      <w:r w:rsidR="004B380E">
        <w:t xml:space="preserve">trade links by country and product </w:t>
      </w:r>
      <w:r w:rsidR="00B92D07">
        <w:t xml:space="preserve">became flatter and less concentrated between 1995 and 2007 as well. </w:t>
      </w:r>
      <w:r w:rsidR="009417E2">
        <w:t xml:space="preserve">Nonetheless, connectivity along these dimensions remained </w:t>
      </w:r>
      <w:r w:rsidR="00C84E8E">
        <w:t xml:space="preserve">much more concentrated than </w:t>
      </w:r>
      <w:r w:rsidR="0056174F">
        <w:t xml:space="preserve">the </w:t>
      </w:r>
      <w:r w:rsidR="00C84E8E">
        <w:t xml:space="preserve">connectivity by trade partner. </w:t>
      </w:r>
      <w:r w:rsidR="00791D85">
        <w:t>O</w:t>
      </w:r>
      <w:r w:rsidR="006B5B64">
        <w:t>nly few countries possess a comparative advantage and are main exporters</w:t>
      </w:r>
      <w:r w:rsidR="00A96BE6">
        <w:t>, suggesting</w:t>
      </w:r>
      <w:r w:rsidR="006B5B64">
        <w:t xml:space="preserve"> a high dependency of other countries in the network on these key exporters</w:t>
      </w:r>
      <w:r w:rsidR="00AE2133">
        <w:t xml:space="preserve"> </w:t>
      </w:r>
      <w:r w:rsidR="002227D6">
        <w:fldChar w:fldCharType="begin"/>
      </w:r>
      <w:r w:rsidR="0060464F">
        <w:instrText xml:space="preserve"> ADDIN ZOTERO_ITEM CSL_CITATION {"citationID":"tFt76xRB","properties":{"formattedCitation":"(Bren d\\uc0\\u8217{}Amour {\\i{}et al.}, 2017; Geyik {\\i{}et al.}, 2021; Guti\\uc0\\u233{}rrez-Moya, Adenso-D\\uc0\\u237{}az and Lozano, 2021; Puma {\\i{}et al.}, 2015; Soffiantini, 2020)","plainCitation":"(Bren d’Amour et al., 2017; Geyik et al., 2021; Gutiérrez-Moya, Adenso-Díaz and Lozano, 2021; Puma et al., 2015; Soffiantini, 2020)","noteIndex":0},"citationItems":[{"id":1481,"uris":["http://zotero.org/users/12902950/items/6G33ZLRP"],"itemData":{"id":1481,"type":"article-journal","abstract":"Significance\n            Urbanization’s contribution to land use change emerges as an important sustainability concern. Here, we demonstrate that projected urban area expansion will take place on some of the world’s most productive croplands, in particular in megaurban regions in Asia and Africa. This dynamic adds pressure to potentially strained future food systems and threatens livelihoods in vulnerable regions.\n          , \n            Urban expansion often occurs on croplands. However, there is little scientific understanding of how global patterns of future urban expansion will affect the world’s cultivated areas. Here, we combine spatially explicit projections of urban expansion with datasets on global croplands and crop yields. Our results show that urban expansion will result in a 1.8–2.4% loss of global croplands by 2030, with substantial regional disparities. About 80% of global cropland loss from urban expansion will take place in Asia and Africa. In both Asia and Africa, much of the cropland that will be lost is more than twice as productive as national averages. Asia will experience the highest absolute loss in cropland, whereas African countries will experience the highest percentage loss of cropland. Globally, the croplands that are likely to be lost were responsible for 3–4% of worldwide crop production in 2000. Urban expansion is expected to take place on cropland that is 1.77 times more productive than the global average. The loss of cropland is likely to be accompanied by other sustainability risks and threatens livelihoods, with diverging characteristics for different megaurban regions. Governance of urban area expansion thus emerges as a key area for securing livelihoods in the agrarian economies of the Global South.","container-title":"Proceedings of the National Academy of Sciences","DOI":"10.1073/pnas.1606036114","ISSN":"0027-8424, 1091-6490","issue":"34","journalAbbreviation":"Proc. Natl. Acad. Sci. U.S.A.","language":"en","page":"8939-8944","source":"DOI.org (Crossref)","title":"Future urban land expansion and implications for global croplands","volume":"114","author":[{"family":"Bren d’Amour","given":"Christopher"},{"family":"Reitsma","given":"Femke"},{"family":"Baiocchi","given":"Giovanni"},{"family":"Barthel","given":"Stephan"},{"family":"Güneralp","given":"Burak"},{"family":"Erb","given":"Karl-Heinz"},{"family":"Haberl","given":"Helmut"},{"family":"Creutzig","given":"Felix"},{"family":"Seto","given":"Karen C."}],"issued":{"date-parts":[["2017",8,22]]}}},{"id":"1qXGYDro/ISmNM4Au","uris":["http://zotero.org/users/203136/items/UHWIBVYU"],"itemData":{"id":"riKav56I/RbGZqHlu","type":"article-journal","abstract":"Global food trade enables the flow of dietary nutrients between countries. However, little is known about whether trade improves nutrient supply of countries most in need. Using detailed production and bilateral trade data, we found that despite strongly connected global nutrient networks, trade did not substantively improve the nutrient adequacy of most low/lower-middle income countries (~40% of the global population), with particular concerns around vitamin A and B12. Mean imports by low/lower-middle income countries, in adequacy terms, were on average 70% lower than those of upper-middle/high income countries. Many countries with low nutrient adequacy relied upon a few major trade partners with imports dominated by cereals rather than micronutrient-rich food products. Nutrition-sensitive production and trade policies are needed to enhance global nutrition security.","container-title":"Global Food Security","DOI":"10.1016/j.gfs.2021.100490","ISSN":"2211-9124","journalAbbreviation":"Global Food Security","language":"en","page":"100490","source":"ScienceDirect","title":"Does global food trade close the dietary nutrient gap for the world's poorest nations?","volume":"28","author":[{"family":"Geyik","given":"Ozge"},{"family":"Hadjikakou","given":"Michalis"},{"family":"Karapinar","given":"Baris"},{"family":"Bryan","given":"Brett A."}],"issued":{"date-parts":[["2021",3,1]]}}},{"id":"1qXGYDro/QIBSJFGu","uris":["http://zotero.org/users/203136/items/V7A6XMTV"],"itemData":{"id":"riKav56I/0QudSpub","type":"article-journal","abstract":"Wheat is one of the three basic cereals providing the necessary calorific intake for most of the world’s population. For this reason, its trade is critical to many countries in order to fulfil their internal demand and strategic stocks. In this paper, we use complex network analysis tools to study the international wheat trade network and its evolving characteristics for the period 2009–2013. To understand the vulnerability of each country’s dependence on the imports of this crop we have performed different analyses, simulating shocks of varying intensities for the main wheat producers, and observed the population affected by the production drop. As a result, we conclude that globally the network is slightly more resilient than four years previously, although at the same time some developing countries have slipped into a vulnerable situation. We have also analysed the effects of a global shock affecting all major producers, assessing its impact on every country. Some comments on the COVID-19 outbreak and the political decisions taken by governments following the pandemic declaration are included, observing that given their capital-intensive characteristics, no negative effects should currently be expected in the wheat market.","container-title":"Food Security","DOI":"10.1007/s12571-020-01117-9","ISSN":"1876-4525","issue":"1","journalAbbreviation":"Food Sec.","language":"en","page":"113-128","source":"Springer Link","title":"Analysis and vulnerability of the international wheat trade network","volume":"13","author":[{"family":"Gutiérrez-Moya","given":"E."},{"family":"Adenso-Díaz","given":"B."},{"family":"Lozano","given":"S."}],"issued":{"date-parts":[["2021",2,1]]}}},{"id":"1qXGYDro/oLBt3Es7","uris":["http://zotero.org/users/203136/items/M3MRN5MR"],"itemData":{"id":"riKav56I/TYwo12Fy","type":"article-journal","abstract":"The world food crisis in 2008 highlighted the susceptibility of the global food system to price shocks. Here we use annual staple food production and trade data from 1992–2009 to analyse the changing properties of the global food system. Over the 18 year study period, we show that the global food system is relatively homogeneous (85% of countries have low or marginal food self-sufficiency) and increases in complexity, with the number of global wheat and rice trade connections doubling and trade flows increasing by 42 and 90%, respectively. The increased connectivity and flows within these global trade networks suggest that the global food system is vulnerable to systemic disruptions, especially considering the tendency for exporting countries to switch to non-exporting states during times of food scarcity in the global markets. To test this hypothesis, we superimpose continental-scale disruptions on the wheat and rice trade networks. We find greater absolute reductions in global wheat and rice exports along with larger losses in network connectivity as the networks evolve due to disruptions in European wheat and Asian rice production. Importantly, our findings indicate that least developed countries suffer greater import losses in more connected networks through their increased dependence on imports for staple foods (due to these large-scale disturbances): mean (median) wheat losses as percentages of staple food supply are 8.9% (3.8%) for 1992–1996, increasing to 11% (5.7%) for 2005–2009. Over the same intervals, rice losses increase from 8.2% (2.2%) to 14% (5.2%). Our work indicates that policy efforts should focus on balancing the efficiency of international trade (and its associated specialization) with increased resilience of domestic production and global demand diversity.","container-title":"Environmental Research Letters","DOI":"10.1088/1748-9326/10/2/024007","ISSN":"1748-9326","issue":"2","journalAbbreviation":"Environ. Res. Lett.","language":"en","note":"publisher: IOP Publishing","page":"024007","source":"Institute of Physics","title":"Assessing the evolving fragility of the global food system","volume":"10","author":[{"family":"Puma","given":"Michael J."},{"family":"Bose","given":"Satyajit"},{"family":"Chon","given":"So Young"},{"family":"Cook","given":"Benjamin I."}],"issued":{"date-parts":[["2015",2]]}}},{"id":1483,"uris":["http://zotero.org/users/12902950/items/WJTS5YHS"],"itemData":{"id":1483,"type":"article-journal","container-title":"Global Food Security","DOI":"10.1016/j.gfs.2020.100400","ISSN":"22119124","journalAbbreviation":"Global Food Security","language":"en","page":"100400","source":"DOI.org (Crossref)","title":"Food insecurity and political instability during the Arab Spring","volume":"26","author":[{"family":"Soffiantini","given":"Giulia"}],"issued":{"date-parts":[["2020",9]]}}}],"schema":"https://github.com/citation-style-language/schema/raw/master/csl-citation.json"} </w:instrText>
      </w:r>
      <w:r w:rsidR="002227D6">
        <w:fldChar w:fldCharType="separate"/>
      </w:r>
      <w:r w:rsidR="007D3A0F" w:rsidRPr="007D3A0F">
        <w:rPr>
          <w:rFonts w:cs="Times New Roman"/>
          <w:szCs w:val="24"/>
        </w:rPr>
        <w:t xml:space="preserve">(Bren d’Amour </w:t>
      </w:r>
      <w:r w:rsidR="007D3A0F" w:rsidRPr="007D3A0F">
        <w:rPr>
          <w:rFonts w:cs="Times New Roman"/>
          <w:i/>
          <w:iCs/>
          <w:szCs w:val="24"/>
        </w:rPr>
        <w:t>et al.</w:t>
      </w:r>
      <w:r w:rsidR="007D3A0F" w:rsidRPr="007D3A0F">
        <w:rPr>
          <w:rFonts w:cs="Times New Roman"/>
          <w:szCs w:val="24"/>
        </w:rPr>
        <w:t xml:space="preserve">, 2017; Geyik </w:t>
      </w:r>
      <w:r w:rsidR="007D3A0F" w:rsidRPr="007D3A0F">
        <w:rPr>
          <w:rFonts w:cs="Times New Roman"/>
          <w:i/>
          <w:iCs/>
          <w:szCs w:val="24"/>
        </w:rPr>
        <w:t>et al.</w:t>
      </w:r>
      <w:r w:rsidR="007D3A0F" w:rsidRPr="007D3A0F">
        <w:rPr>
          <w:rFonts w:cs="Times New Roman"/>
          <w:szCs w:val="24"/>
        </w:rPr>
        <w:t xml:space="preserve">, 2021; Gutiérrez-Moya, Adenso-Díaz and Lozano, 2021; Puma </w:t>
      </w:r>
      <w:r w:rsidR="007D3A0F" w:rsidRPr="007D3A0F">
        <w:rPr>
          <w:rFonts w:cs="Times New Roman"/>
          <w:i/>
          <w:iCs/>
          <w:szCs w:val="24"/>
        </w:rPr>
        <w:t>et al.</w:t>
      </w:r>
      <w:r w:rsidR="007D3A0F" w:rsidRPr="007D3A0F">
        <w:rPr>
          <w:rFonts w:cs="Times New Roman"/>
          <w:szCs w:val="24"/>
        </w:rPr>
        <w:t>, 2015; Soffiantini, 2020)</w:t>
      </w:r>
      <w:r w:rsidR="002227D6">
        <w:fldChar w:fldCharType="end"/>
      </w:r>
      <w:r w:rsidR="002227D6">
        <w:t>.</w:t>
      </w:r>
      <w:r w:rsidR="00E956A6">
        <w:t xml:space="preserve">This underlines economic efficiency </w:t>
      </w:r>
      <w:r w:rsidR="003E1B0E">
        <w:t xml:space="preserve">of the network but may imply low resilience to </w:t>
      </w:r>
      <w:r w:rsidR="00BE3411">
        <w:t xml:space="preserve">trade shocks </w:t>
      </w:r>
      <w:r w:rsidR="00E170E4">
        <w:t>in specific commodities and for the bulk of countries’ import value</w:t>
      </w:r>
      <w:r w:rsidR="002A466D">
        <w:t xml:space="preserve"> </w:t>
      </w:r>
      <w:r w:rsidR="002A466D">
        <w:fldChar w:fldCharType="begin"/>
      </w:r>
      <w:r w:rsidR="0060464F">
        <w:instrText xml:space="preserve"> ADDIN ZOTERO_ITEM CSL_CITATION {"citationID":"HRf5sCMJ","properties":{"formattedCitation":"(Karakoc and Konar, 2021)","plainCitation":"(Karakoc and Konar, 2021)","noteIndex":0},"citationItems":[{"id":"1qXGYDro/l8XrE3p6","uris":["http://zotero.org/users/203136/items/B6MUJTAI"],"itemData":{"id":44,"type":"article-journal","abstract":"Global food trade is crucial for food security and availability. Trade is typically optimized to promote efficiency, whereas resilience is increasingly being recognized as another important objective. However, it is not clear if prioritizing resilience comes at the expense of efficiency or if the two objectives can be promoted simultaneously. We develop a complex network framework to assess the relationship between efficiency and resilience of food trade for the last half century. There is a competitive relationship between efficiency and resilience when only network topology is considered. However, a cooperative relationship between efficiency and resilience exists when the intensity of trade connections is accounted for. Policy makers can use this framework to evaluate the relationship between efficiency and resilience in critical supply chains.","container-title":"Environmental Research Letters","DOI":"10.1088/1748-9326/ac1a9b","ISSN":"1748-9326","issue":"10","journalAbbreviation":"Environ. Res. Lett.","language":"en","note":"publisher: IOP Publishing","page":"105003","source":"Institute of Physics","title":"A complex network framework for the efficiency and resilience trade-off in global food trade","volume":"16","author":[{"family":"Karakoc","given":"Deniz Berfin"},{"family":"Konar","given":"Megan"}],"issued":{"date-parts":[["2021",9]]}}}],"schema":"https://github.com/citation-style-language/schema/raw/master/csl-citation.json"} </w:instrText>
      </w:r>
      <w:r w:rsidR="002A466D">
        <w:fldChar w:fldCharType="separate"/>
      </w:r>
      <w:r w:rsidR="002A466D" w:rsidRPr="002C0BBA">
        <w:t>(Karakoc and Konar, 2021)</w:t>
      </w:r>
      <w:r w:rsidR="002A466D">
        <w:fldChar w:fldCharType="end"/>
      </w:r>
      <w:r w:rsidR="00E170E4">
        <w:t xml:space="preserve">. </w:t>
      </w:r>
      <w:r w:rsidR="00EB376B">
        <w:t>Overall</w:t>
      </w:r>
      <w:r w:rsidR="00DC52B5">
        <w:t>,</w:t>
      </w:r>
      <w:r w:rsidR="00EB376B">
        <w:t xml:space="preserve"> the development of the patterns of direct connectivity </w:t>
      </w:r>
      <w:r w:rsidR="005625EB">
        <w:t xml:space="preserve">between 1995 and 2007 </w:t>
      </w:r>
      <w:r w:rsidR="00EB376B">
        <w:t>appear</w:t>
      </w:r>
      <w:r w:rsidR="005625EB">
        <w:t>ed</w:t>
      </w:r>
      <w:r w:rsidR="00EB376B">
        <w:t xml:space="preserve"> to </w:t>
      </w:r>
      <w:r w:rsidR="005F07CD">
        <w:t>follow</w:t>
      </w:r>
      <w:r w:rsidR="00E739A3" w:rsidRPr="00AF62C9">
        <w:t xml:space="preserve"> Pathway I, indicating higher connectivity and a more equitable contribution of countries to the overall connectivity. These findings are consistent with </w:t>
      </w:r>
      <w:r w:rsidR="002227D6">
        <w:fldChar w:fldCharType="begin"/>
      </w:r>
      <w:r w:rsidR="0060464F">
        <w:instrText xml:space="preserve"> ADDIN ZOTERO_ITEM CSL_CITATION {"citationID":"QjiuGB6Z","properties":{"formattedCitation":"(Sartori and Schiavo, 2015)","plainCitation":"(Sartori and Schiavo, 2015)","noteIndex":0},"citationItems":[{"id":"1qXGYDro/yLQbwru8","uris":["http://zotero.org/users/203136/items/ZTJKRYTM"],"itemData":{"id":"AMrn2D5k/JpVtYi3g","type":"article-journal","abstract":"We analyze the link between virtual water trade, that is, the flow of water embodied in the international trade of agricultural goods, and vulnerability to external shocks from the vantage point of network analysis. While a large body of work has shown that virtual water trade can enhance water saving on a global scale, being especially beneficial to arid countries, there are increasing concerns that openness makes countries more dependent on foreign food suppliers and, in this way, more prone to external shocks. Our evidence reveals that the increased globalization witnessed in the last three decades is not associated with the increased frequency of adverse shocks (in food production). Furthermore, building on recent advances in network analysis that connect the stability of a complex system to its topological features, we find that the world is more interconnected, but not necessarily less stable.","container-title":"Food Policy","DOI":"10.1016/j.foodpol.2015.10.004","ISSN":"0306-9192","journalAbbreviation":"Food Policy","language":"en","page":"114-127","source":"ScienceDirect","title":"Connected we stand: A network perspective on trade and global food security","title-short":"Connected we stand","volume":"57","author":[{"family":"Sartori","given":"Martina"},{"family":"Schiavo","given":"Stefano"}],"issued":{"date-parts":[["2015",11,1]]}}}],"schema":"https://github.com/citation-style-language/schema/raw/master/csl-citation.json"} </w:instrText>
      </w:r>
      <w:r w:rsidR="002227D6">
        <w:fldChar w:fldCharType="separate"/>
      </w:r>
      <w:r w:rsidR="0060464F" w:rsidRPr="0060464F">
        <w:t>(Sartori and Schiavo, 2015)</w:t>
      </w:r>
      <w:r w:rsidR="002227D6">
        <w:fldChar w:fldCharType="end"/>
      </w:r>
      <w:r w:rsidR="00E739A3" w:rsidRPr="00AF62C9">
        <w:t>and</w:t>
      </w:r>
      <w:r w:rsidR="007D3A0F">
        <w:t xml:space="preserve"> </w:t>
      </w:r>
      <w:r w:rsidR="002227D6">
        <w:fldChar w:fldCharType="begin"/>
      </w:r>
      <w:r w:rsidR="0060464F">
        <w:instrText xml:space="preserve"> ADDIN ZOTERO_ITEM CSL_CITATION {"citationID":"G90iOp4a","properties":{"formattedCitation":"(Konar {\\i{}et al.}, 2011)","plainCitation":"(Konar et al., 2011)","noteIndex":0},"citationItems":[{"id":"1qXGYDro/Qu5gDtSM","uris":["http://zotero.org/users/203136/items/38SMFD2I"],"itemData":{"id":"AMrn2D5k/dNkd5PvY","type":"article-journal","abstract":"We present a novel conceptual framework and methodology for studying virtual water trade. We utilize complex network theory to analyze the structure of the global virtual water trade associated with the international food trade. In the global virtual water trade network, the nations that participate in the international food trade correspond to the nodes, and the links represent the flows of virtual water associated with the trade of food from the country of export to the country of import. We find that the number of trade connections follows an exponential distribution, except for the case of import trade relationships, while the volume of water that each nation trades compares well with a stretched exponential distribution, indicating high heterogeneity of flows between nations. There is a power law relationship between the volume of virtual water traded and the number of trade connections of each nation. Highly connected nations are preferentially linked to poorly connected nations and exhibit low levels of clustering. However, when the volume of virtual water traded is taken into account, this structure breaks down. This indicates a global hierarchy, in which nations that trade large volumes of water are more likely to link to and cluster with other nations that trade large volumes of water, particularly when the direction of trade is considered. Nations that play a critical role in maintaining the global network architecture are highlighted. Our analysis provides the necessary framework for the development of a model of global virtual water trade aimed at applications ranging from network optimization to climate change impact evaluations.","container-title":"Water Resources Research","DOI":"https://doi.org/10.1029/2010WR010307","ISSN":"1944-7973","issue":"5","language":"en","license":"Copyright 2011 by the American Geophysical Union.","note":"_eprint: https://agupubs.onlinelibrary.wiley.com/doi/pdf/10.1029/2010WR010307","source":"Wiley Online Library","title":"Water for food: The global virtual water trade network","title-short":"Water for food","URL":"https://agupubs.onlinelibrary.wiley.com/doi/abs/10.1029/2010WR010307","volume":"47","author":[{"family":"Konar","given":"M."},{"family":"Dalin","given":"C."},{"family":"Suweis","given":"S."},{"family":"Hanasaki","given":"N."},{"family":"Rinaldo","given":"A."},{"family":"Rodriguez‐Iturbe","given":"I."}],"accessed":{"date-parts":[["2021",3,22]]},"issued":{"date-parts":[["2011"]]}}}],"schema":"https://github.com/citation-style-language/schema/raw/master/csl-citation.json"} </w:instrText>
      </w:r>
      <w:r w:rsidR="002227D6">
        <w:fldChar w:fldCharType="separate"/>
      </w:r>
      <w:r w:rsidR="0060464F" w:rsidRPr="0060464F">
        <w:rPr>
          <w:rFonts w:cs="Times New Roman"/>
          <w:szCs w:val="24"/>
        </w:rPr>
        <w:t xml:space="preserve">(Konar </w:t>
      </w:r>
      <w:r w:rsidR="0060464F" w:rsidRPr="0060464F">
        <w:rPr>
          <w:rFonts w:cs="Times New Roman"/>
          <w:i/>
          <w:iCs/>
          <w:szCs w:val="24"/>
        </w:rPr>
        <w:t>et al.</w:t>
      </w:r>
      <w:r w:rsidR="0060464F" w:rsidRPr="0060464F">
        <w:rPr>
          <w:rFonts w:cs="Times New Roman"/>
          <w:szCs w:val="24"/>
        </w:rPr>
        <w:t>, 2011)</w:t>
      </w:r>
      <w:r w:rsidR="002227D6">
        <w:fldChar w:fldCharType="end"/>
      </w:r>
      <w:r w:rsidR="00E739A3" w:rsidRPr="00AF62C9">
        <w:t xml:space="preserve">, </w:t>
      </w:r>
      <w:r w:rsidR="00E739A3">
        <w:t>who</w:t>
      </w:r>
      <w:r w:rsidR="00E739A3" w:rsidRPr="00AF62C9">
        <w:t xml:space="preserve"> also observed a rightward shift </w:t>
      </w:r>
      <w:r w:rsidR="00E739A3">
        <w:t>of</w:t>
      </w:r>
      <w:r w:rsidR="00E739A3" w:rsidRPr="00AF62C9">
        <w:t xml:space="preserve"> the distribution of first-order degree connectivity and a thinning of the distribution's tails over time.</w:t>
      </w:r>
      <w:r w:rsidR="00DC06DD">
        <w:t xml:space="preserve"> </w:t>
      </w:r>
      <w:r w:rsidR="00E32BEF">
        <w:t xml:space="preserve"> </w:t>
      </w:r>
    </w:p>
    <w:p w14:paraId="2D8F7B91" w14:textId="6A1E846C" w:rsidR="002567C1" w:rsidRDefault="00D43B0F" w:rsidP="00ED6CF0">
      <w:r>
        <w:t>Average connectivity continued to rise between 2007 and 2019, albeit at a slower pace. However</w:t>
      </w:r>
      <w:r w:rsidR="004505F3">
        <w:t>,</w:t>
      </w:r>
      <w:r>
        <w:t xml:space="preserve"> the distributions displayed an increasing trend of tail-heaviness during the period 2013-2019. Kurtosis and skewness both decreased between 1995 and 2007 but increased thereafter (Appendix, </w:t>
      </w:r>
      <w:r w:rsidRPr="00AF427F">
        <w:rPr>
          <w:highlight w:val="yellow"/>
        </w:rPr>
        <w:t>Table 4</w:t>
      </w:r>
      <w:r>
        <w:t>), suggesting a development along Pathway II: higher connectivity, yet an uneven distribution of connectivity across countries. The resilience of the food and agricultural trade network improved between 1995 and 2007 but has made limited progress ever since.</w:t>
      </w:r>
      <w:r w:rsidR="0041651B" w:rsidRPr="0060464F">
        <w:rPr>
          <w:rStyle w:val="FootnoteReference"/>
        </w:rPr>
        <w:footnoteReference w:id="6"/>
      </w:r>
      <w:r w:rsidR="00A7663B">
        <w:t xml:space="preserve"> </w:t>
      </w:r>
      <w:r w:rsidR="009417E2">
        <w:t xml:space="preserve"> </w:t>
      </w:r>
      <w:r w:rsidR="004B380E">
        <w:t xml:space="preserve"> </w:t>
      </w:r>
      <w:r w:rsidR="00B34F70">
        <w:t xml:space="preserve"> </w:t>
      </w:r>
      <w:r w:rsidR="0015771F">
        <w:t xml:space="preserve"> </w:t>
      </w:r>
      <w:r w:rsidR="001F5C26">
        <w:t xml:space="preserve"> </w:t>
      </w:r>
      <w:r w:rsidR="001871AC">
        <w:t xml:space="preserve"> </w:t>
      </w:r>
      <w:r w:rsidR="00CA0001">
        <w:t xml:space="preserve"> </w:t>
      </w:r>
    </w:p>
    <w:p w14:paraId="6BA628C5" w14:textId="01769A0D" w:rsidR="00AF62C9" w:rsidRDefault="00AF62C9" w:rsidP="00ED6CF0"/>
    <w:p w14:paraId="6B8DC63C" w14:textId="355C39FE" w:rsidR="004D7FC7" w:rsidRDefault="00271D87" w:rsidP="004D7FC7">
      <w:r>
        <w:t xml:space="preserve"> </w:t>
      </w:r>
    </w:p>
    <w:p w14:paraId="0BDAFD95" w14:textId="05322348" w:rsidR="004D7FC7" w:rsidRDefault="004D7FC7" w:rsidP="004D7FC7"/>
    <w:p w14:paraId="1FFFCC1E" w14:textId="6F8039B9" w:rsidR="00DE23B3" w:rsidRDefault="00DE23B3" w:rsidP="005F1FBD"/>
    <w:p w14:paraId="63DC2CF1" w14:textId="77777777" w:rsidR="00FD73A3" w:rsidRDefault="00FD73A3" w:rsidP="005F1FBD">
      <w:pPr>
        <w:sectPr w:rsidR="00FD73A3">
          <w:footerReference w:type="default" r:id="rId14"/>
          <w:pgSz w:w="12240" w:h="15840"/>
          <w:pgMar w:top="1440" w:right="1440" w:bottom="1440" w:left="1440" w:header="720" w:footer="720" w:gutter="0"/>
          <w:cols w:space="720"/>
          <w:docGrid w:linePitch="360"/>
        </w:sectPr>
      </w:pPr>
    </w:p>
    <w:p w14:paraId="42D778A9" w14:textId="5F3CCB87" w:rsidR="007A35DA" w:rsidRDefault="007A35DA" w:rsidP="005F1FBD"/>
    <w:p w14:paraId="4A4B1B8A" w14:textId="51FE8F67" w:rsidR="00FD2FD6" w:rsidRDefault="00FD2FD6" w:rsidP="00FD2FD6">
      <w:pPr>
        <w:pStyle w:val="Caption"/>
        <w:keepNext/>
      </w:pPr>
      <w:bookmarkStart w:id="42" w:name="_Ref145764783"/>
      <w:r>
        <w:t xml:space="preserve">Figure </w:t>
      </w:r>
      <w:fldSimple w:instr=" SEQ Figure \* ARABIC ">
        <w:r w:rsidR="00EC50BF">
          <w:rPr>
            <w:noProof/>
          </w:rPr>
          <w:t>2</w:t>
        </w:r>
      </w:fldSimple>
      <w:bookmarkEnd w:id="42"/>
      <w:r>
        <w:rPr>
          <w:noProof/>
        </w:rPr>
        <w:t>.</w:t>
      </w:r>
      <w:r>
        <w:t xml:space="preserve"> </w:t>
      </w:r>
      <w:r w:rsidRPr="0025288E">
        <w:t>Distribution of connect</w:t>
      </w:r>
      <w:r>
        <w:t xml:space="preserve">ivity </w:t>
      </w:r>
      <w:r w:rsidR="00784F0C">
        <w:t>(first-order</w:t>
      </w:r>
      <w:r w:rsidR="002E22C0">
        <w:t xml:space="preserve"> indegree</w:t>
      </w:r>
      <w:r w:rsidR="00DE37C9">
        <w:t>/instrength</w:t>
      </w:r>
      <w:r w:rsidR="00784F0C">
        <w:t>)</w:t>
      </w:r>
    </w:p>
    <w:tbl>
      <w:tblPr>
        <w:tblStyle w:val="TableGrid"/>
        <w:tblW w:w="13320" w:type="dxa"/>
        <w:tblLook w:val="04A0" w:firstRow="1" w:lastRow="0" w:firstColumn="1" w:lastColumn="0" w:noHBand="0" w:noVBand="1"/>
      </w:tblPr>
      <w:tblGrid>
        <w:gridCol w:w="4460"/>
        <w:gridCol w:w="4272"/>
        <w:gridCol w:w="4588"/>
      </w:tblGrid>
      <w:tr w:rsidR="00FD2FD6" w14:paraId="3F1C622B" w14:textId="77777777" w:rsidTr="008F162F">
        <w:tc>
          <w:tcPr>
            <w:tcW w:w="4460" w:type="dxa"/>
          </w:tcPr>
          <w:p w14:paraId="3E6C498F" w14:textId="5D54DF1C" w:rsidR="00FD2FD6" w:rsidRPr="008F057E" w:rsidRDefault="00FD2FD6" w:rsidP="008F162F">
            <w:pPr>
              <w:keepNext/>
              <w:spacing w:after="200"/>
              <w:rPr>
                <w:iCs/>
                <w:color w:val="000000" w:themeColor="text1"/>
                <w:sz w:val="20"/>
                <w:szCs w:val="18"/>
              </w:rPr>
            </w:pPr>
            <w:r w:rsidRPr="008F057E">
              <w:rPr>
                <w:iCs/>
                <w:color w:val="000000" w:themeColor="text1"/>
                <w:sz w:val="20"/>
                <w:szCs w:val="18"/>
              </w:rPr>
              <w:t>Panel A</w:t>
            </w:r>
            <w:r>
              <w:rPr>
                <w:iCs/>
                <w:color w:val="000000" w:themeColor="text1"/>
                <w:sz w:val="20"/>
                <w:szCs w:val="18"/>
              </w:rPr>
              <w:t>: Direct trade links by country</w:t>
            </w:r>
            <w:r w:rsidR="009A4A43">
              <w:rPr>
                <w:iCs/>
                <w:color w:val="000000" w:themeColor="text1"/>
                <w:sz w:val="20"/>
                <w:szCs w:val="18"/>
              </w:rPr>
              <w:t xml:space="preserve"> (extensive margin, unweighted)</w:t>
            </w:r>
          </w:p>
        </w:tc>
        <w:tc>
          <w:tcPr>
            <w:tcW w:w="4272" w:type="dxa"/>
          </w:tcPr>
          <w:p w14:paraId="5B4ED747" w14:textId="1E82D2AB" w:rsidR="00FD2FD6" w:rsidRPr="008F057E" w:rsidRDefault="00FD2FD6" w:rsidP="008F162F">
            <w:pPr>
              <w:keepNext/>
              <w:spacing w:after="200"/>
              <w:rPr>
                <w:iCs/>
                <w:color w:val="000000" w:themeColor="text1"/>
                <w:sz w:val="20"/>
                <w:szCs w:val="18"/>
              </w:rPr>
            </w:pPr>
            <w:r>
              <w:rPr>
                <w:iCs/>
                <w:color w:val="000000" w:themeColor="text1"/>
                <w:sz w:val="20"/>
                <w:szCs w:val="18"/>
              </w:rPr>
              <w:t xml:space="preserve">Panel B: </w:t>
            </w:r>
            <w:r w:rsidR="002E22C0">
              <w:rPr>
                <w:iCs/>
                <w:color w:val="000000" w:themeColor="text1"/>
                <w:sz w:val="20"/>
                <w:szCs w:val="18"/>
              </w:rPr>
              <w:t>D</w:t>
            </w:r>
            <w:r>
              <w:rPr>
                <w:iCs/>
                <w:color w:val="000000" w:themeColor="text1"/>
                <w:sz w:val="20"/>
                <w:szCs w:val="18"/>
              </w:rPr>
              <w:t xml:space="preserve">irect trade links by country </w:t>
            </w:r>
            <w:r w:rsidR="002E22C0">
              <w:rPr>
                <w:iCs/>
                <w:color w:val="000000" w:themeColor="text1"/>
                <w:sz w:val="20"/>
                <w:szCs w:val="18"/>
              </w:rPr>
              <w:t>and product</w:t>
            </w:r>
            <w:r w:rsidR="009A4A43">
              <w:rPr>
                <w:iCs/>
                <w:color w:val="000000" w:themeColor="text1"/>
                <w:sz w:val="20"/>
                <w:szCs w:val="18"/>
              </w:rPr>
              <w:t xml:space="preserve"> (extensive margin, weighted with number of products traded)</w:t>
            </w:r>
          </w:p>
        </w:tc>
        <w:tc>
          <w:tcPr>
            <w:tcW w:w="4588" w:type="dxa"/>
          </w:tcPr>
          <w:p w14:paraId="7AA5A0F2" w14:textId="79ADAE1D" w:rsidR="00FD2FD6" w:rsidRPr="008F057E" w:rsidRDefault="00FD2FD6" w:rsidP="008F162F">
            <w:pPr>
              <w:keepNext/>
              <w:spacing w:after="200"/>
              <w:rPr>
                <w:iCs/>
                <w:color w:val="000000" w:themeColor="text1"/>
                <w:sz w:val="20"/>
                <w:szCs w:val="18"/>
              </w:rPr>
            </w:pPr>
            <w:r>
              <w:rPr>
                <w:iCs/>
                <w:color w:val="000000" w:themeColor="text1"/>
                <w:sz w:val="20"/>
                <w:szCs w:val="18"/>
              </w:rPr>
              <w:t xml:space="preserve">Panel C: </w:t>
            </w:r>
            <w:r w:rsidR="009A4A43">
              <w:rPr>
                <w:iCs/>
                <w:color w:val="000000" w:themeColor="text1"/>
                <w:sz w:val="20"/>
                <w:szCs w:val="18"/>
              </w:rPr>
              <w:t>D</w:t>
            </w:r>
            <w:r>
              <w:rPr>
                <w:iCs/>
                <w:color w:val="000000" w:themeColor="text1"/>
                <w:sz w:val="20"/>
                <w:szCs w:val="18"/>
              </w:rPr>
              <w:t xml:space="preserve">irect trade </w:t>
            </w:r>
            <w:r w:rsidR="009A4A43">
              <w:rPr>
                <w:iCs/>
                <w:color w:val="000000" w:themeColor="text1"/>
                <w:sz w:val="20"/>
                <w:szCs w:val="18"/>
              </w:rPr>
              <w:t>intensity (intensive margin, weighted with trade value)</w:t>
            </w:r>
          </w:p>
        </w:tc>
      </w:tr>
      <w:tr w:rsidR="00FD2FD6" w14:paraId="4C808DE0" w14:textId="77777777" w:rsidTr="008F162F">
        <w:tc>
          <w:tcPr>
            <w:tcW w:w="4460" w:type="dxa"/>
          </w:tcPr>
          <w:p w14:paraId="3EEEE802" w14:textId="77777777" w:rsidR="00FD2FD6" w:rsidRDefault="00FD2FD6" w:rsidP="008F162F">
            <w:pPr>
              <w:keepNext/>
              <w:spacing w:after="200"/>
              <w:rPr>
                <w:b/>
                <w:iCs/>
                <w:color w:val="000000" w:themeColor="text1"/>
                <w:sz w:val="20"/>
                <w:szCs w:val="18"/>
              </w:rPr>
            </w:pPr>
            <w:r w:rsidRPr="000B0480">
              <w:rPr>
                <w:rFonts w:cs="Times New Roman"/>
                <w:noProof/>
                <w:szCs w:val="24"/>
                <w:lang w:val="de-DE" w:eastAsia="de-DE"/>
              </w:rPr>
              <w:drawing>
                <wp:inline distT="0" distB="0" distL="0" distR="0" wp14:anchorId="091857F6" wp14:editId="05F3264D">
                  <wp:extent cx="2571750" cy="1832791"/>
                  <wp:effectExtent l="0" t="0" r="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19271" cy="1866657"/>
                          </a:xfrm>
                          <a:prstGeom prst="rect">
                            <a:avLst/>
                          </a:prstGeom>
                          <a:noFill/>
                          <a:ln>
                            <a:noFill/>
                          </a:ln>
                        </pic:spPr>
                      </pic:pic>
                    </a:graphicData>
                  </a:graphic>
                </wp:inline>
              </w:drawing>
            </w:r>
          </w:p>
        </w:tc>
        <w:tc>
          <w:tcPr>
            <w:tcW w:w="4272" w:type="dxa"/>
          </w:tcPr>
          <w:p w14:paraId="6E476D24" w14:textId="16CB9D17" w:rsidR="00FD2FD6" w:rsidRDefault="005E7874" w:rsidP="008F162F">
            <w:pPr>
              <w:keepNext/>
              <w:spacing w:after="200"/>
              <w:rPr>
                <w:b/>
                <w:iCs/>
                <w:color w:val="000000" w:themeColor="text1"/>
                <w:sz w:val="20"/>
                <w:szCs w:val="18"/>
              </w:rPr>
            </w:pPr>
            <w:r w:rsidRPr="000B0480">
              <w:rPr>
                <w:rFonts w:cs="Times New Roman"/>
                <w:noProof/>
                <w:szCs w:val="24"/>
                <w:lang w:val="de-DE" w:eastAsia="de-DE"/>
              </w:rPr>
              <w:drawing>
                <wp:inline distT="0" distB="0" distL="0" distR="0" wp14:anchorId="1C5631D5" wp14:editId="31C26DE1">
                  <wp:extent cx="2343150" cy="1942607"/>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10993" cy="1998853"/>
                          </a:xfrm>
                          <a:prstGeom prst="rect">
                            <a:avLst/>
                          </a:prstGeom>
                          <a:noFill/>
                          <a:ln>
                            <a:noFill/>
                          </a:ln>
                        </pic:spPr>
                      </pic:pic>
                    </a:graphicData>
                  </a:graphic>
                </wp:inline>
              </w:drawing>
            </w:r>
          </w:p>
        </w:tc>
        <w:tc>
          <w:tcPr>
            <w:tcW w:w="4588" w:type="dxa"/>
          </w:tcPr>
          <w:p w14:paraId="4532E4CE" w14:textId="16C9EA16" w:rsidR="00FD2FD6" w:rsidRDefault="00BD66CD" w:rsidP="008F162F">
            <w:pPr>
              <w:keepNext/>
              <w:spacing w:after="200"/>
              <w:rPr>
                <w:b/>
                <w:iCs/>
                <w:color w:val="000000" w:themeColor="text1"/>
                <w:sz w:val="20"/>
                <w:szCs w:val="18"/>
              </w:rPr>
            </w:pPr>
            <w:r w:rsidRPr="000B0480">
              <w:rPr>
                <w:rFonts w:cs="Times New Roman"/>
                <w:noProof/>
                <w:szCs w:val="24"/>
                <w:lang w:val="de-DE" w:eastAsia="de-DE"/>
              </w:rPr>
              <w:drawing>
                <wp:inline distT="0" distB="0" distL="0" distR="0" wp14:anchorId="5B25FC39" wp14:editId="29BB79E0">
                  <wp:extent cx="2400300" cy="195259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50221" cy="1993202"/>
                          </a:xfrm>
                          <a:prstGeom prst="rect">
                            <a:avLst/>
                          </a:prstGeom>
                          <a:noFill/>
                          <a:ln>
                            <a:noFill/>
                          </a:ln>
                        </pic:spPr>
                      </pic:pic>
                    </a:graphicData>
                  </a:graphic>
                </wp:inline>
              </w:drawing>
            </w:r>
          </w:p>
        </w:tc>
      </w:tr>
    </w:tbl>
    <w:p w14:paraId="7ACF9872" w14:textId="77777777" w:rsidR="00FD2FD6" w:rsidRDefault="00FD2FD6" w:rsidP="00FD2FD6">
      <w:pPr>
        <w:rPr>
          <w:lang w:val="en-GB"/>
        </w:rPr>
      </w:pPr>
    </w:p>
    <w:p w14:paraId="3A58D59B" w14:textId="7D0773CC" w:rsidR="007A35DA" w:rsidRDefault="007A35DA" w:rsidP="005F1FBD"/>
    <w:p w14:paraId="21F246CE" w14:textId="77777777" w:rsidR="007A35DA" w:rsidRDefault="007A35DA" w:rsidP="005F1FBD"/>
    <w:p w14:paraId="2E19CF64" w14:textId="77777777" w:rsidR="007A35DA" w:rsidRDefault="007A35DA" w:rsidP="005F1FBD">
      <w:pPr>
        <w:sectPr w:rsidR="007A35DA" w:rsidSect="007A35DA">
          <w:pgSz w:w="15840" w:h="12240" w:orient="landscape"/>
          <w:pgMar w:top="1440" w:right="1440" w:bottom="1440" w:left="1440" w:header="720" w:footer="720" w:gutter="0"/>
          <w:cols w:space="720"/>
          <w:docGrid w:linePitch="360"/>
        </w:sectPr>
      </w:pPr>
    </w:p>
    <w:p w14:paraId="462A2373" w14:textId="77777777" w:rsidR="001C12D0" w:rsidRDefault="001C12D0" w:rsidP="00DE2C57">
      <w:pPr>
        <w:pStyle w:val="Heading2"/>
      </w:pPr>
      <w:bookmarkStart w:id="43" w:name="_Toc145259455"/>
      <w:bookmarkStart w:id="44" w:name="_Toc145761463"/>
      <w:bookmarkStart w:id="45" w:name="_Toc145259456"/>
      <w:bookmarkStart w:id="46" w:name="_Toc145761464"/>
      <w:bookmarkStart w:id="47" w:name="_Toc145259457"/>
      <w:bookmarkStart w:id="48" w:name="_Toc145761465"/>
      <w:bookmarkStart w:id="49" w:name="_Toc145761466"/>
      <w:bookmarkEnd w:id="43"/>
      <w:bookmarkEnd w:id="44"/>
      <w:bookmarkEnd w:id="45"/>
      <w:bookmarkEnd w:id="46"/>
      <w:bookmarkEnd w:id="47"/>
      <w:bookmarkEnd w:id="48"/>
      <w:r>
        <w:lastRenderedPageBreak/>
        <w:t>Shocks t</w:t>
      </w:r>
      <w:r w:rsidR="00DE2C57">
        <w:t>ransmission</w:t>
      </w:r>
      <w:r>
        <w:t>/propagation</w:t>
      </w:r>
      <w:bookmarkEnd w:id="49"/>
      <w:r w:rsidR="00DE2C57">
        <w:t xml:space="preserve"> </w:t>
      </w:r>
    </w:p>
    <w:p w14:paraId="34AA8F90" w14:textId="77777777" w:rsidR="00CE2939" w:rsidRPr="00CE2939" w:rsidRDefault="00CE2939" w:rsidP="00AF427F"/>
    <w:p w14:paraId="2FBB8424" w14:textId="0A9EF26B" w:rsidR="00AA5E76" w:rsidRDefault="00204086" w:rsidP="001C12D0">
      <w:pPr>
        <w:pStyle w:val="Heading3"/>
      </w:pPr>
      <w:bookmarkStart w:id="50" w:name="_Toc145761467"/>
      <w:r>
        <w:t>Transmission of shocks in s</w:t>
      </w:r>
      <w:r w:rsidR="00DE2C57">
        <w:t>hort- and long-run</w:t>
      </w:r>
      <w:bookmarkEnd w:id="50"/>
    </w:p>
    <w:p w14:paraId="2D1779A9" w14:textId="77777777" w:rsidR="007D3A0F" w:rsidRPr="007D3A0F" w:rsidRDefault="007D3A0F" w:rsidP="007D3A0F"/>
    <w:p w14:paraId="233D69EF" w14:textId="3587FFCB" w:rsidR="007A086E" w:rsidRPr="00013F89" w:rsidRDefault="0083181B" w:rsidP="0083181B">
      <w:r>
        <w:t>While the distribution of countries' direct connectivity reveals the immediate impact of shocks, higher order connectivity measures offer insights into the longer-term effects and their reach across a wider range of countries. Similar patterns to direct connectivity are observed for indirect connectivity. As the number of trade links between countries continues to increase, the indirect connectivity of countries, as indicated by second-order and eigenvector connectivity, also experiences growth. The distributions of indirect connectivity</w:t>
      </w:r>
      <w:r w:rsidR="00BA551A">
        <w:t xml:space="preserve"> (</w:t>
      </w:r>
      <w:r w:rsidR="00022F0B">
        <w:fldChar w:fldCharType="begin"/>
      </w:r>
      <w:r w:rsidR="00022F0B">
        <w:instrText xml:space="preserve"> REF _Ref145767884 \h </w:instrText>
      </w:r>
      <w:r w:rsidR="00022F0B">
        <w:fldChar w:fldCharType="separate"/>
      </w:r>
      <w:r w:rsidR="00022F0B">
        <w:t xml:space="preserve">Figure </w:t>
      </w:r>
      <w:r w:rsidR="00022F0B">
        <w:rPr>
          <w:noProof/>
        </w:rPr>
        <w:t>3</w:t>
      </w:r>
      <w:r w:rsidR="00022F0B">
        <w:fldChar w:fldCharType="end"/>
      </w:r>
      <w:r w:rsidR="00BA551A">
        <w:t>)</w:t>
      </w:r>
      <w:r>
        <w:t xml:space="preserve"> generally shift</w:t>
      </w:r>
      <w:r w:rsidR="009317B2">
        <w:t>ed</w:t>
      </w:r>
      <w:r>
        <w:t xml:space="preserve"> </w:t>
      </w:r>
      <w:r w:rsidR="009317B2">
        <w:t>rightwards</w:t>
      </w:r>
      <w:r>
        <w:t xml:space="preserve">, indicating an overall increase in average connectivity, particularly between 1995 and 2007. </w:t>
      </w:r>
      <w:r w:rsidR="00CF0A54">
        <w:t xml:space="preserve">Since 2007, the distribution of trade links by country at second and higher orders of connectivity has tended to exhibit left-skewness. This </w:t>
      </w:r>
      <w:r w:rsidR="00AB7833">
        <w:t xml:space="preserve">could </w:t>
      </w:r>
      <w:r w:rsidR="00CF0A54">
        <w:t>indicate a transition from a state where a small fraction of highly connected countries coexisted alongside a large number of countries with few connections to a state where only a small fraction of countries has a low level of indirect connecti</w:t>
      </w:r>
      <w:r w:rsidR="00CF0A54" w:rsidRPr="00013F89">
        <w:t>vity</w:t>
      </w:r>
      <w:r w:rsidR="00BA5F70" w:rsidRPr="00013F89">
        <w:t>.</w:t>
      </w:r>
      <w:r w:rsidR="00CF0A54" w:rsidRPr="00013F89">
        <w:t xml:space="preserve"> </w:t>
      </w:r>
      <w:r w:rsidR="00BA5F70" w:rsidRPr="00013F89">
        <w:t xml:space="preserve">However, </w:t>
      </w:r>
      <w:r w:rsidR="009636BF" w:rsidRPr="00013F89">
        <w:t xml:space="preserve">this also </w:t>
      </w:r>
      <w:r w:rsidR="009636BF" w:rsidRPr="00F31C28">
        <w:t xml:space="preserve">implies </w:t>
      </w:r>
      <w:r w:rsidR="00CF0A54" w:rsidRPr="00F31C28">
        <w:t xml:space="preserve">that some countries still lag behind in terms of </w:t>
      </w:r>
      <w:r w:rsidR="009636BF" w:rsidRPr="00F31C28">
        <w:t xml:space="preserve">indirect </w:t>
      </w:r>
      <w:r w:rsidR="00CF0A54" w:rsidRPr="00F31C28">
        <w:t>connectivity</w:t>
      </w:r>
      <w:r w:rsidR="00CF0A54" w:rsidRPr="00013F89">
        <w:t>.</w:t>
      </w:r>
      <w:r w:rsidR="00C05BE8" w:rsidRPr="00013F89">
        <w:t xml:space="preserve"> </w:t>
      </w:r>
    </w:p>
    <w:p w14:paraId="688A40BE" w14:textId="7B991BD4" w:rsidR="00DB604A" w:rsidRDefault="005B7BB9" w:rsidP="0083181B">
      <w:r w:rsidRPr="00013F89">
        <w:t>The increased higher-order connec</w:t>
      </w:r>
      <w:r>
        <w:t xml:space="preserve">tivity </w:t>
      </w:r>
      <w:r w:rsidR="00DE3298">
        <w:t>signifies a</w:t>
      </w:r>
      <w:r w:rsidR="00DD497A">
        <w:t>n overall</w:t>
      </w:r>
      <w:r>
        <w:t xml:space="preserve"> </w:t>
      </w:r>
      <w:r w:rsidR="00097AFE">
        <w:t>stronger integrat</w:t>
      </w:r>
      <w:r w:rsidR="00DE3298">
        <w:t>ion of countries</w:t>
      </w:r>
      <w:r w:rsidR="00097AFE">
        <w:t xml:space="preserve"> in the network in the sense that </w:t>
      </w:r>
      <w:r w:rsidR="0029129B">
        <w:t xml:space="preserve">trade shocks </w:t>
      </w:r>
      <w:r w:rsidR="00DD497A">
        <w:t xml:space="preserve">originating in a country A and </w:t>
      </w:r>
      <w:r w:rsidR="0029129B">
        <w:t xml:space="preserve">affecting </w:t>
      </w:r>
      <w:r w:rsidR="00DD497A">
        <w:t xml:space="preserve">its direct trade partner </w:t>
      </w:r>
      <w:r w:rsidR="0029129B">
        <w:t>country</w:t>
      </w:r>
      <w:r w:rsidR="00C41F3F">
        <w:t xml:space="preserve"> </w:t>
      </w:r>
      <w:r w:rsidR="00DD497A">
        <w:t xml:space="preserve">B </w:t>
      </w:r>
      <w:r w:rsidR="0029129B">
        <w:t xml:space="preserve">may more easily transmit to countries connected </w:t>
      </w:r>
      <w:r w:rsidR="00966D3E">
        <w:t>to country</w:t>
      </w:r>
      <w:r w:rsidR="00C41F3F">
        <w:t xml:space="preserve"> </w:t>
      </w:r>
      <w:r w:rsidR="00F6217D">
        <w:t xml:space="preserve">B but </w:t>
      </w:r>
      <w:r w:rsidR="00842611">
        <w:t>that have no direct connection to</w:t>
      </w:r>
      <w:r w:rsidR="00F6217D">
        <w:t xml:space="preserve"> country A</w:t>
      </w:r>
      <w:r w:rsidR="00966D3E">
        <w:t xml:space="preserve">. </w:t>
      </w:r>
      <w:r w:rsidR="00015A3C">
        <w:t xml:space="preserve">Shocks </w:t>
      </w:r>
      <w:r w:rsidR="00DD75F1">
        <w:t xml:space="preserve">may transmit </w:t>
      </w:r>
      <w:r w:rsidR="00CD6166">
        <w:t xml:space="preserve">to third countries </w:t>
      </w:r>
      <w:r w:rsidR="00DD75F1">
        <w:t xml:space="preserve">if </w:t>
      </w:r>
      <w:r w:rsidR="00BB0DA1">
        <w:t xml:space="preserve">reduced </w:t>
      </w:r>
      <w:r w:rsidR="00C3486D">
        <w:t xml:space="preserve">exports </w:t>
      </w:r>
      <w:r w:rsidR="00BB0DA1">
        <w:t>by country A imply reduced exports of country</w:t>
      </w:r>
      <w:r w:rsidR="00C3486D">
        <w:t xml:space="preserve"> B</w:t>
      </w:r>
      <w:r w:rsidR="00BB0DA1">
        <w:t xml:space="preserve"> to its trading partners</w:t>
      </w:r>
      <w:r w:rsidR="00F030F9">
        <w:t xml:space="preserve">. In theory, there are three pathways: (i) </w:t>
      </w:r>
      <w:r w:rsidR="00F80784">
        <w:t xml:space="preserve">exports of like products or re-exports: </w:t>
      </w:r>
      <w:r w:rsidR="00F030F9">
        <w:t xml:space="preserve">reduced imports of product X </w:t>
      </w:r>
      <w:r w:rsidR="008844CA">
        <w:t xml:space="preserve">by </w:t>
      </w:r>
      <w:r w:rsidR="00F030F9">
        <w:t xml:space="preserve">country </w:t>
      </w:r>
      <w:r w:rsidR="008844CA">
        <w:t xml:space="preserve">B </w:t>
      </w:r>
      <w:r w:rsidR="00E90DD9">
        <w:t xml:space="preserve">lead to reduced exports of product X of country </w:t>
      </w:r>
      <w:r w:rsidR="00586CB9">
        <w:t>B</w:t>
      </w:r>
      <w:r w:rsidR="00F80784">
        <w:t xml:space="preserve">; (ii) </w:t>
      </w:r>
      <w:r w:rsidR="006901EE">
        <w:t xml:space="preserve">global value chains: reduced imports of product X </w:t>
      </w:r>
      <w:r w:rsidR="00586CB9">
        <w:t xml:space="preserve">by </w:t>
      </w:r>
      <w:r w:rsidR="006901EE">
        <w:t xml:space="preserve">country </w:t>
      </w:r>
      <w:r w:rsidR="00586CB9">
        <w:t xml:space="preserve">B imply </w:t>
      </w:r>
      <w:r w:rsidR="006901EE">
        <w:t xml:space="preserve">that country </w:t>
      </w:r>
      <w:r w:rsidR="007921EF">
        <w:t xml:space="preserve">B </w:t>
      </w:r>
      <w:r w:rsidR="006901EE">
        <w:t>cannot produce</w:t>
      </w:r>
      <w:r w:rsidR="00A3225B">
        <w:t xml:space="preserve"> and export</w:t>
      </w:r>
      <w:r w:rsidR="006901EE">
        <w:t xml:space="preserve"> </w:t>
      </w:r>
      <w:r w:rsidR="000E4A63">
        <w:t>value added product X (X</w:t>
      </w:r>
      <w:r w:rsidR="00712C27">
        <w:t>+)</w:t>
      </w:r>
      <w:r w:rsidR="007A0C3B">
        <w:t xml:space="preserve">; (iii) reduced imports of product X </w:t>
      </w:r>
      <w:r w:rsidR="007921EF">
        <w:t xml:space="preserve">by </w:t>
      </w:r>
      <w:r w:rsidR="007A0C3B">
        <w:t xml:space="preserve">country </w:t>
      </w:r>
      <w:r w:rsidR="007921EF">
        <w:t xml:space="preserve">B </w:t>
      </w:r>
      <w:r w:rsidR="00557D21">
        <w:t>lead to reduced</w:t>
      </w:r>
      <w:r w:rsidR="00BA5D12">
        <w:t xml:space="preserve"> </w:t>
      </w:r>
      <w:r w:rsidR="00557D21">
        <w:t xml:space="preserve">exports of substitutes of product X </w:t>
      </w:r>
      <w:r w:rsidR="00FD1A4C">
        <w:t xml:space="preserve">from country B </w:t>
      </w:r>
      <w:r w:rsidR="00557D21">
        <w:t>(Xsubst</w:t>
      </w:r>
      <w:r w:rsidR="00BA5D12">
        <w:t>).</w:t>
      </w:r>
      <w:r w:rsidR="00F8777F">
        <w:t xml:space="preserve"> </w:t>
      </w:r>
      <w:r w:rsidR="00BA5D12">
        <w:t xml:space="preserve"> </w:t>
      </w:r>
      <w:r w:rsidR="00CD6166">
        <w:t xml:space="preserve"> </w:t>
      </w:r>
      <w:r w:rsidR="00C41F3F">
        <w:t xml:space="preserve"> </w:t>
      </w:r>
      <w:r w:rsidR="00966D3E">
        <w:t xml:space="preserve">  </w:t>
      </w:r>
    </w:p>
    <w:p w14:paraId="76CC20EE" w14:textId="59ECAC61" w:rsidR="0083181B" w:rsidRDefault="00187AB7" w:rsidP="0083181B">
      <w:r w:rsidRPr="00F31C28">
        <w:t>The distribution</w:t>
      </w:r>
      <w:r w:rsidR="005C11EB" w:rsidRPr="00F31C28">
        <w:t>s</w:t>
      </w:r>
      <w:r w:rsidRPr="00F31C28">
        <w:t xml:space="preserve"> of second-order indegree and eigenvector connectivity of trade links by country and product, as well as trade intensity (Figure </w:t>
      </w:r>
      <w:r w:rsidR="009234C1" w:rsidRPr="00F31C28">
        <w:t>3</w:t>
      </w:r>
      <w:r w:rsidRPr="00F31C28">
        <w:t xml:space="preserve">), demonstrate less skewness compared with their first-order connectivity. </w:t>
      </w:r>
      <w:r w:rsidR="00743555" w:rsidRPr="00F31C28">
        <w:t xml:space="preserve">Although </w:t>
      </w:r>
      <w:r w:rsidR="00F34E40" w:rsidRPr="00F31C28">
        <w:t>greater higher-order connectivity may increase countrie</w:t>
      </w:r>
      <w:r w:rsidR="00760CA7" w:rsidRPr="00F31C28">
        <w:t>s</w:t>
      </w:r>
      <w:r w:rsidR="00F34E40" w:rsidRPr="00F31C28">
        <w:t xml:space="preserve">’  vulnerability to </w:t>
      </w:r>
      <w:r w:rsidR="00327938" w:rsidRPr="00F31C28">
        <w:t xml:space="preserve">transmission of shocks through the network, the more balanced distributions of higher-order connectivity </w:t>
      </w:r>
      <w:r w:rsidR="00D44B9B" w:rsidRPr="00F31C28">
        <w:t xml:space="preserve">could </w:t>
      </w:r>
      <w:r w:rsidRPr="00F31C28">
        <w:t xml:space="preserve">suggest that the </w:t>
      </w:r>
      <w:r w:rsidR="00DD6538" w:rsidRPr="00F31C28">
        <w:t xml:space="preserve">high </w:t>
      </w:r>
      <w:r w:rsidRPr="00F31C28">
        <w:t xml:space="preserve">indirect connectivity </w:t>
      </w:r>
      <w:r w:rsidR="00DD6538" w:rsidRPr="00F31C28">
        <w:t xml:space="preserve">(especially </w:t>
      </w:r>
      <w:r w:rsidRPr="00F31C28">
        <w:t xml:space="preserve">of less </w:t>
      </w:r>
      <w:r w:rsidR="00DD6538" w:rsidRPr="00F31C28">
        <w:t>integrated</w:t>
      </w:r>
      <w:r w:rsidRPr="00F31C28">
        <w:t xml:space="preserve"> countries</w:t>
      </w:r>
      <w:r w:rsidR="00DD6538" w:rsidRPr="00F31C28">
        <w:t>)</w:t>
      </w:r>
      <w:r w:rsidRPr="00F31C28">
        <w:t xml:space="preserve"> may </w:t>
      </w:r>
      <w:r w:rsidR="00D44B9B" w:rsidRPr="00F31C28">
        <w:t xml:space="preserve">also </w:t>
      </w:r>
      <w:r w:rsidRPr="00F31C28">
        <w:t>contribute to reducing their vulnerability to shocks in the system</w:t>
      </w:r>
      <w:r w:rsidR="00F8102A" w:rsidRPr="00F31C28">
        <w:t xml:space="preserve"> as shocks could be buffered by substituting </w:t>
      </w:r>
      <w:r w:rsidR="00766880" w:rsidRPr="00F31C28">
        <w:t xml:space="preserve">lost trade links </w:t>
      </w:r>
      <w:r w:rsidR="004111F7" w:rsidRPr="00F31C28">
        <w:t>with alternative higher-order suppliers/products</w:t>
      </w:r>
      <w:r w:rsidRPr="00F31C28">
        <w:t>.</w:t>
      </w:r>
      <w:r w:rsidR="001D5824">
        <w:t xml:space="preserve"> </w:t>
      </w:r>
      <w:r w:rsidR="005F3806">
        <w:t>As in the case of direct connectivity</w:t>
      </w:r>
      <w:r w:rsidR="0083181B">
        <w:t>, the measures of tail-heaviness for second-order connectivity</w:t>
      </w:r>
      <w:r w:rsidR="000B0EC8">
        <w:t xml:space="preserve"> (</w:t>
      </w:r>
      <w:r w:rsidR="005F3806" w:rsidRPr="00C25FF5">
        <w:rPr>
          <w:highlight w:val="yellow"/>
        </w:rPr>
        <w:t xml:space="preserve">Appendix, </w:t>
      </w:r>
      <w:r w:rsidR="0083181B" w:rsidRPr="00C25FF5">
        <w:rPr>
          <w:highlight w:val="yellow"/>
        </w:rPr>
        <w:t>Table 4</w:t>
      </w:r>
      <w:r w:rsidR="000B0EC8">
        <w:t>)</w:t>
      </w:r>
      <w:r w:rsidR="0083181B">
        <w:t xml:space="preserve"> suggest a slight reversal of the trend towards a more evenly distributed connectivity between 2013 and 2019. </w:t>
      </w:r>
    </w:p>
    <w:p w14:paraId="10182FFE" w14:textId="303AA6FA" w:rsidR="0083181B" w:rsidRDefault="0083181B" w:rsidP="0083181B"/>
    <w:p w14:paraId="4CF85A32" w14:textId="68972310" w:rsidR="00452B16" w:rsidRDefault="00452B16" w:rsidP="0083181B"/>
    <w:p w14:paraId="3E087D3B" w14:textId="77777777" w:rsidR="00452B16" w:rsidRDefault="00452B16" w:rsidP="005F1FBD"/>
    <w:p w14:paraId="5903D098" w14:textId="77777777" w:rsidR="00293C16" w:rsidRDefault="00293C16" w:rsidP="005F1FBD">
      <w:pPr>
        <w:sectPr w:rsidR="00293C16">
          <w:pgSz w:w="12240" w:h="15840"/>
          <w:pgMar w:top="1440" w:right="1440" w:bottom="1440" w:left="1440" w:header="720" w:footer="720" w:gutter="0"/>
          <w:cols w:space="720"/>
          <w:docGrid w:linePitch="360"/>
        </w:sectPr>
      </w:pPr>
    </w:p>
    <w:p w14:paraId="678D06A4" w14:textId="2026EFFD" w:rsidR="00D8408E" w:rsidRDefault="00D8408E" w:rsidP="00D8408E">
      <w:pPr>
        <w:pStyle w:val="Caption"/>
        <w:keepNext/>
      </w:pPr>
      <w:bookmarkStart w:id="51" w:name="_Ref145767884"/>
      <w:r>
        <w:lastRenderedPageBreak/>
        <w:t xml:space="preserve">Figure </w:t>
      </w:r>
      <w:fldSimple w:instr=" SEQ Figure \* ARABIC ">
        <w:r w:rsidR="00EC50BF">
          <w:rPr>
            <w:noProof/>
          </w:rPr>
          <w:t>3</w:t>
        </w:r>
      </w:fldSimple>
      <w:bookmarkEnd w:id="51"/>
      <w:r>
        <w:rPr>
          <w:noProof/>
        </w:rPr>
        <w:t>.</w:t>
      </w:r>
      <w:r>
        <w:t xml:space="preserve"> </w:t>
      </w:r>
      <w:r w:rsidR="003877FE" w:rsidRPr="0025288E">
        <w:t xml:space="preserve">Distribution of </w:t>
      </w:r>
      <w:r w:rsidR="00E47943">
        <w:t xml:space="preserve">indirect </w:t>
      </w:r>
      <w:r w:rsidR="003877FE" w:rsidRPr="0025288E">
        <w:t>connect</w:t>
      </w:r>
      <w:r w:rsidR="003877FE">
        <w:t>ivity (second-order indegree/instrength</w:t>
      </w:r>
      <w:r w:rsidR="00A14C84">
        <w:t xml:space="preserve"> and eigenvector indegree</w:t>
      </w:r>
      <w:r w:rsidR="00572DE5">
        <w:t>/instrength</w:t>
      </w:r>
      <w:r w:rsidR="003877FE">
        <w:t>)</w:t>
      </w:r>
    </w:p>
    <w:tbl>
      <w:tblPr>
        <w:tblStyle w:val="TableGrid"/>
        <w:tblW w:w="13320" w:type="dxa"/>
        <w:tblLook w:val="04A0" w:firstRow="1" w:lastRow="0" w:firstColumn="1" w:lastColumn="0" w:noHBand="0" w:noVBand="1"/>
      </w:tblPr>
      <w:tblGrid>
        <w:gridCol w:w="4460"/>
        <w:gridCol w:w="4272"/>
        <w:gridCol w:w="4588"/>
      </w:tblGrid>
      <w:tr w:rsidR="00D8408E" w14:paraId="527E1B29" w14:textId="77777777" w:rsidTr="008F162F">
        <w:tc>
          <w:tcPr>
            <w:tcW w:w="4460" w:type="dxa"/>
          </w:tcPr>
          <w:p w14:paraId="2844B86B" w14:textId="7A73FDFA" w:rsidR="00D8408E" w:rsidRPr="008F057E" w:rsidRDefault="00D8408E" w:rsidP="008F162F">
            <w:pPr>
              <w:keepNext/>
              <w:spacing w:after="200"/>
              <w:rPr>
                <w:iCs/>
                <w:color w:val="000000" w:themeColor="text1"/>
                <w:sz w:val="20"/>
                <w:szCs w:val="18"/>
              </w:rPr>
            </w:pPr>
            <w:r w:rsidRPr="008F057E">
              <w:rPr>
                <w:iCs/>
                <w:color w:val="000000" w:themeColor="text1"/>
                <w:sz w:val="20"/>
                <w:szCs w:val="18"/>
              </w:rPr>
              <w:t>Panel A</w:t>
            </w:r>
            <w:r>
              <w:rPr>
                <w:iCs/>
                <w:color w:val="000000" w:themeColor="text1"/>
                <w:sz w:val="20"/>
                <w:szCs w:val="18"/>
              </w:rPr>
              <w:t xml:space="preserve">: </w:t>
            </w:r>
            <w:r w:rsidR="000A6B8D">
              <w:rPr>
                <w:iCs/>
                <w:color w:val="000000" w:themeColor="text1"/>
                <w:sz w:val="20"/>
                <w:szCs w:val="18"/>
              </w:rPr>
              <w:t>Ind</w:t>
            </w:r>
            <w:r>
              <w:rPr>
                <w:iCs/>
                <w:color w:val="000000" w:themeColor="text1"/>
                <w:sz w:val="20"/>
                <w:szCs w:val="18"/>
              </w:rPr>
              <w:t>irect trade links by country (</w:t>
            </w:r>
            <w:r w:rsidR="000A6B8D">
              <w:rPr>
                <w:iCs/>
                <w:color w:val="000000" w:themeColor="text1"/>
                <w:sz w:val="20"/>
                <w:szCs w:val="18"/>
              </w:rPr>
              <w:t>second</w:t>
            </w:r>
            <w:r>
              <w:rPr>
                <w:iCs/>
                <w:color w:val="000000" w:themeColor="text1"/>
                <w:sz w:val="20"/>
                <w:szCs w:val="18"/>
              </w:rPr>
              <w:t>-order indegree)</w:t>
            </w:r>
          </w:p>
        </w:tc>
        <w:tc>
          <w:tcPr>
            <w:tcW w:w="4272" w:type="dxa"/>
          </w:tcPr>
          <w:p w14:paraId="6F63977E" w14:textId="728371D5" w:rsidR="00D8408E" w:rsidRPr="008F057E" w:rsidRDefault="00D8408E" w:rsidP="008F162F">
            <w:pPr>
              <w:keepNext/>
              <w:spacing w:after="200"/>
              <w:rPr>
                <w:iCs/>
                <w:color w:val="000000" w:themeColor="text1"/>
                <w:sz w:val="20"/>
                <w:szCs w:val="18"/>
              </w:rPr>
            </w:pPr>
            <w:r>
              <w:rPr>
                <w:iCs/>
                <w:color w:val="000000" w:themeColor="text1"/>
                <w:sz w:val="20"/>
                <w:szCs w:val="18"/>
              </w:rPr>
              <w:t xml:space="preserve">Panel B: Indirect trade links by country </w:t>
            </w:r>
            <w:r w:rsidR="004877BF">
              <w:rPr>
                <w:iCs/>
                <w:color w:val="000000" w:themeColor="text1"/>
                <w:sz w:val="20"/>
                <w:szCs w:val="18"/>
              </w:rPr>
              <w:t xml:space="preserve">and product </w:t>
            </w:r>
            <w:r>
              <w:rPr>
                <w:iCs/>
                <w:color w:val="000000" w:themeColor="text1"/>
                <w:sz w:val="20"/>
                <w:szCs w:val="18"/>
              </w:rPr>
              <w:t>(second-order indegree)</w:t>
            </w:r>
          </w:p>
        </w:tc>
        <w:tc>
          <w:tcPr>
            <w:tcW w:w="4588" w:type="dxa"/>
          </w:tcPr>
          <w:p w14:paraId="5AB7A692" w14:textId="06E6A4BE" w:rsidR="00D8408E" w:rsidRPr="008F057E" w:rsidRDefault="00D8408E" w:rsidP="008F162F">
            <w:pPr>
              <w:keepNext/>
              <w:spacing w:after="200"/>
              <w:rPr>
                <w:iCs/>
                <w:color w:val="000000" w:themeColor="text1"/>
                <w:sz w:val="20"/>
                <w:szCs w:val="18"/>
              </w:rPr>
            </w:pPr>
            <w:r>
              <w:rPr>
                <w:iCs/>
                <w:color w:val="000000" w:themeColor="text1"/>
                <w:sz w:val="20"/>
                <w:szCs w:val="18"/>
              </w:rPr>
              <w:t xml:space="preserve">Panel C: Indirect trade </w:t>
            </w:r>
            <w:r w:rsidR="004877BF">
              <w:rPr>
                <w:iCs/>
                <w:color w:val="000000" w:themeColor="text1"/>
                <w:sz w:val="20"/>
                <w:szCs w:val="18"/>
              </w:rPr>
              <w:t>intensity</w:t>
            </w:r>
            <w:r>
              <w:rPr>
                <w:iCs/>
                <w:color w:val="000000" w:themeColor="text1"/>
                <w:sz w:val="20"/>
                <w:szCs w:val="18"/>
              </w:rPr>
              <w:t xml:space="preserve"> (</w:t>
            </w:r>
            <w:r w:rsidR="004877BF">
              <w:rPr>
                <w:iCs/>
                <w:color w:val="000000" w:themeColor="text1"/>
                <w:sz w:val="20"/>
                <w:szCs w:val="18"/>
              </w:rPr>
              <w:t>second-order</w:t>
            </w:r>
            <w:r>
              <w:rPr>
                <w:iCs/>
                <w:color w:val="000000" w:themeColor="text1"/>
                <w:sz w:val="20"/>
                <w:szCs w:val="18"/>
              </w:rPr>
              <w:t xml:space="preserve"> in</w:t>
            </w:r>
            <w:r w:rsidR="004877BF">
              <w:rPr>
                <w:iCs/>
                <w:color w:val="000000" w:themeColor="text1"/>
                <w:sz w:val="20"/>
                <w:szCs w:val="18"/>
              </w:rPr>
              <w:t>strength, intensive margin, weighted with trade value</w:t>
            </w:r>
            <w:r>
              <w:rPr>
                <w:iCs/>
                <w:color w:val="000000" w:themeColor="text1"/>
                <w:sz w:val="20"/>
                <w:szCs w:val="18"/>
              </w:rPr>
              <w:t>)</w:t>
            </w:r>
          </w:p>
        </w:tc>
      </w:tr>
      <w:tr w:rsidR="00D8408E" w14:paraId="24B95B6D" w14:textId="77777777" w:rsidTr="008F162F">
        <w:tc>
          <w:tcPr>
            <w:tcW w:w="4460" w:type="dxa"/>
          </w:tcPr>
          <w:p w14:paraId="4AE4D1DB" w14:textId="4795051E" w:rsidR="00D8408E" w:rsidRDefault="000A6B8D" w:rsidP="008F162F">
            <w:pPr>
              <w:keepNext/>
              <w:spacing w:after="200"/>
              <w:rPr>
                <w:b/>
                <w:iCs/>
                <w:color w:val="000000" w:themeColor="text1"/>
                <w:sz w:val="20"/>
                <w:szCs w:val="18"/>
              </w:rPr>
            </w:pPr>
            <w:r w:rsidRPr="000B0480">
              <w:rPr>
                <w:rFonts w:cs="Times New Roman"/>
                <w:noProof/>
                <w:szCs w:val="24"/>
                <w:lang w:val="de-DE" w:eastAsia="de-DE"/>
              </w:rPr>
              <w:drawing>
                <wp:inline distT="0" distB="0" distL="0" distR="0" wp14:anchorId="3AF21D60" wp14:editId="755DBEAB">
                  <wp:extent cx="2152650" cy="1751136"/>
                  <wp:effectExtent l="0" t="0" r="0" b="1905"/>
                  <wp:docPr id="31" name="Picture 3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95462" cy="1785963"/>
                          </a:xfrm>
                          <a:prstGeom prst="rect">
                            <a:avLst/>
                          </a:prstGeom>
                          <a:noFill/>
                          <a:ln>
                            <a:noFill/>
                          </a:ln>
                        </pic:spPr>
                      </pic:pic>
                    </a:graphicData>
                  </a:graphic>
                </wp:inline>
              </w:drawing>
            </w:r>
          </w:p>
        </w:tc>
        <w:tc>
          <w:tcPr>
            <w:tcW w:w="4272" w:type="dxa"/>
          </w:tcPr>
          <w:p w14:paraId="47538FDB" w14:textId="5CBF448A" w:rsidR="00D8408E" w:rsidRDefault="00C275A1" w:rsidP="008F162F">
            <w:pPr>
              <w:keepNext/>
              <w:spacing w:after="200"/>
              <w:rPr>
                <w:b/>
                <w:iCs/>
                <w:color w:val="000000" w:themeColor="text1"/>
                <w:sz w:val="20"/>
                <w:szCs w:val="18"/>
              </w:rPr>
            </w:pPr>
            <w:r w:rsidRPr="000B0480">
              <w:rPr>
                <w:rFonts w:cs="Times New Roman"/>
                <w:noProof/>
                <w:szCs w:val="24"/>
                <w:lang w:val="de-DE" w:eastAsia="de-DE"/>
              </w:rPr>
              <w:drawing>
                <wp:inline distT="0" distB="0" distL="0" distR="0" wp14:anchorId="30B55513" wp14:editId="378D85CE">
                  <wp:extent cx="2419350" cy="196809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84346" cy="2020964"/>
                          </a:xfrm>
                          <a:prstGeom prst="rect">
                            <a:avLst/>
                          </a:prstGeom>
                          <a:noFill/>
                          <a:ln>
                            <a:noFill/>
                          </a:ln>
                        </pic:spPr>
                      </pic:pic>
                    </a:graphicData>
                  </a:graphic>
                </wp:inline>
              </w:drawing>
            </w:r>
          </w:p>
        </w:tc>
        <w:tc>
          <w:tcPr>
            <w:tcW w:w="4588" w:type="dxa"/>
          </w:tcPr>
          <w:p w14:paraId="6BC2A178" w14:textId="56541A4F" w:rsidR="00D8408E" w:rsidRDefault="00BF3F86" w:rsidP="008F162F">
            <w:pPr>
              <w:keepNext/>
              <w:spacing w:after="200"/>
              <w:rPr>
                <w:b/>
                <w:iCs/>
                <w:color w:val="000000" w:themeColor="text1"/>
                <w:sz w:val="20"/>
                <w:szCs w:val="18"/>
              </w:rPr>
            </w:pPr>
            <w:r w:rsidRPr="000B0480">
              <w:rPr>
                <w:rFonts w:cs="Times New Roman"/>
                <w:noProof/>
                <w:szCs w:val="24"/>
                <w:lang w:val="de-DE" w:eastAsia="de-DE"/>
              </w:rPr>
              <w:drawing>
                <wp:inline distT="0" distB="0" distL="0" distR="0" wp14:anchorId="73823A23" wp14:editId="7D6E83DB">
                  <wp:extent cx="2581275" cy="209981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30120" cy="2139546"/>
                          </a:xfrm>
                          <a:prstGeom prst="rect">
                            <a:avLst/>
                          </a:prstGeom>
                          <a:noFill/>
                          <a:ln>
                            <a:noFill/>
                          </a:ln>
                        </pic:spPr>
                      </pic:pic>
                    </a:graphicData>
                  </a:graphic>
                </wp:inline>
              </w:drawing>
            </w:r>
          </w:p>
        </w:tc>
      </w:tr>
      <w:tr w:rsidR="00CA3DDD" w14:paraId="6D5ED78F" w14:textId="77777777" w:rsidTr="008F162F">
        <w:tc>
          <w:tcPr>
            <w:tcW w:w="4460" w:type="dxa"/>
          </w:tcPr>
          <w:p w14:paraId="44C0D2A9" w14:textId="12AEC337" w:rsidR="00CA3DDD" w:rsidRPr="00716C52" w:rsidRDefault="00F855D1" w:rsidP="008F162F">
            <w:pPr>
              <w:keepNext/>
              <w:spacing w:after="200"/>
              <w:rPr>
                <w:rFonts w:cs="Times New Roman"/>
                <w:noProof/>
                <w:szCs w:val="24"/>
                <w:lang w:eastAsia="de-DE"/>
              </w:rPr>
            </w:pPr>
            <w:r w:rsidRPr="00716C52">
              <w:rPr>
                <w:rFonts w:cs="Times New Roman"/>
                <w:noProof/>
                <w:szCs w:val="24"/>
                <w:lang w:eastAsia="de-DE"/>
              </w:rPr>
              <w:t>Panel D:</w:t>
            </w:r>
            <w:r w:rsidR="00C716EB" w:rsidRPr="00716C52">
              <w:rPr>
                <w:rFonts w:cs="Times New Roman"/>
                <w:noProof/>
                <w:szCs w:val="24"/>
                <w:lang w:eastAsia="de-DE"/>
              </w:rPr>
              <w:t xml:space="preserve"> </w:t>
            </w:r>
            <w:r w:rsidR="00C716EB">
              <w:rPr>
                <w:iCs/>
                <w:color w:val="000000" w:themeColor="text1"/>
                <w:sz w:val="20"/>
                <w:szCs w:val="18"/>
              </w:rPr>
              <w:t>Indirect trade links by country (eigenvector indegree)</w:t>
            </w:r>
          </w:p>
        </w:tc>
        <w:tc>
          <w:tcPr>
            <w:tcW w:w="4272" w:type="dxa"/>
          </w:tcPr>
          <w:p w14:paraId="345E7835" w14:textId="03189A3C" w:rsidR="00CA3DDD" w:rsidRPr="00716C52" w:rsidRDefault="00F855D1" w:rsidP="008F162F">
            <w:pPr>
              <w:keepNext/>
              <w:spacing w:after="200"/>
              <w:rPr>
                <w:rFonts w:cs="Times New Roman"/>
                <w:noProof/>
                <w:szCs w:val="24"/>
                <w:lang w:eastAsia="de-DE"/>
              </w:rPr>
            </w:pPr>
            <w:r w:rsidRPr="00716C52">
              <w:rPr>
                <w:rFonts w:cs="Times New Roman"/>
                <w:noProof/>
                <w:szCs w:val="24"/>
                <w:lang w:eastAsia="de-DE"/>
              </w:rPr>
              <w:t>Panel E:</w:t>
            </w:r>
            <w:r w:rsidR="00AA0776" w:rsidRPr="00716C52">
              <w:rPr>
                <w:rFonts w:cs="Times New Roman"/>
                <w:noProof/>
                <w:szCs w:val="24"/>
                <w:lang w:eastAsia="de-DE"/>
              </w:rPr>
              <w:t xml:space="preserve"> </w:t>
            </w:r>
            <w:r w:rsidR="00AA0776">
              <w:rPr>
                <w:iCs/>
                <w:color w:val="000000" w:themeColor="text1"/>
                <w:sz w:val="20"/>
                <w:szCs w:val="18"/>
              </w:rPr>
              <w:t>Indirect trade links by country and product (eigenvector indegree)</w:t>
            </w:r>
            <w:r w:rsidRPr="00716C52">
              <w:rPr>
                <w:rFonts w:cs="Times New Roman"/>
                <w:noProof/>
                <w:szCs w:val="24"/>
                <w:lang w:eastAsia="de-DE"/>
              </w:rPr>
              <w:t xml:space="preserve"> </w:t>
            </w:r>
          </w:p>
        </w:tc>
        <w:tc>
          <w:tcPr>
            <w:tcW w:w="4588" w:type="dxa"/>
          </w:tcPr>
          <w:p w14:paraId="273668CA" w14:textId="5826037B" w:rsidR="00CA3DDD" w:rsidRPr="00716C52" w:rsidRDefault="00F855D1" w:rsidP="008F162F">
            <w:pPr>
              <w:keepNext/>
              <w:spacing w:after="200"/>
              <w:rPr>
                <w:rFonts w:cs="Times New Roman"/>
                <w:noProof/>
                <w:szCs w:val="24"/>
                <w:lang w:eastAsia="de-DE"/>
              </w:rPr>
            </w:pPr>
            <w:r w:rsidRPr="00716C52">
              <w:rPr>
                <w:rFonts w:cs="Times New Roman"/>
                <w:noProof/>
                <w:szCs w:val="24"/>
                <w:lang w:eastAsia="de-DE"/>
              </w:rPr>
              <w:t>Panel F</w:t>
            </w:r>
            <w:r w:rsidR="008759CB" w:rsidRPr="00716C52">
              <w:rPr>
                <w:rFonts w:cs="Times New Roman"/>
                <w:noProof/>
                <w:szCs w:val="24"/>
                <w:lang w:eastAsia="de-DE"/>
              </w:rPr>
              <w:t>:</w:t>
            </w:r>
            <w:r w:rsidR="007E559E" w:rsidRPr="00716C52">
              <w:rPr>
                <w:rFonts w:cs="Times New Roman"/>
                <w:noProof/>
                <w:szCs w:val="24"/>
                <w:lang w:eastAsia="de-DE"/>
              </w:rPr>
              <w:t xml:space="preserve"> </w:t>
            </w:r>
            <w:r w:rsidR="007E559E">
              <w:rPr>
                <w:iCs/>
                <w:color w:val="000000" w:themeColor="text1"/>
                <w:sz w:val="20"/>
                <w:szCs w:val="18"/>
              </w:rPr>
              <w:t>Indirect trade intensity (eigenvector instrength, intensive margin, weighted with trade value)</w:t>
            </w:r>
            <w:r w:rsidR="008759CB" w:rsidRPr="00716C52">
              <w:rPr>
                <w:rFonts w:cs="Times New Roman"/>
                <w:noProof/>
                <w:szCs w:val="24"/>
                <w:lang w:eastAsia="de-DE"/>
              </w:rPr>
              <w:t xml:space="preserve"> </w:t>
            </w:r>
          </w:p>
        </w:tc>
      </w:tr>
      <w:tr w:rsidR="00F855D1" w14:paraId="088331F0" w14:textId="77777777" w:rsidTr="008F162F">
        <w:tc>
          <w:tcPr>
            <w:tcW w:w="4460" w:type="dxa"/>
          </w:tcPr>
          <w:p w14:paraId="55144D4B" w14:textId="7E7C9266" w:rsidR="00F855D1" w:rsidRPr="000B0480" w:rsidRDefault="00AA0776" w:rsidP="008F162F">
            <w:pPr>
              <w:keepNext/>
              <w:spacing w:after="200"/>
              <w:rPr>
                <w:rFonts w:cs="Times New Roman"/>
                <w:noProof/>
                <w:szCs w:val="24"/>
                <w:lang w:val="de-DE" w:eastAsia="de-DE"/>
              </w:rPr>
            </w:pPr>
            <w:r w:rsidRPr="000B0480">
              <w:rPr>
                <w:rFonts w:cs="Times New Roman"/>
                <w:noProof/>
                <w:szCs w:val="24"/>
                <w:lang w:val="de-DE" w:eastAsia="de-DE"/>
              </w:rPr>
              <w:drawing>
                <wp:inline distT="0" distB="0" distL="0" distR="0" wp14:anchorId="0C095330" wp14:editId="5CC8FCED">
                  <wp:extent cx="2085975" cy="16990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90966" cy="1703073"/>
                          </a:xfrm>
                          <a:prstGeom prst="rect">
                            <a:avLst/>
                          </a:prstGeom>
                          <a:noFill/>
                          <a:ln>
                            <a:noFill/>
                          </a:ln>
                        </pic:spPr>
                      </pic:pic>
                    </a:graphicData>
                  </a:graphic>
                </wp:inline>
              </w:drawing>
            </w:r>
          </w:p>
        </w:tc>
        <w:tc>
          <w:tcPr>
            <w:tcW w:w="4272" w:type="dxa"/>
          </w:tcPr>
          <w:p w14:paraId="06E619D4" w14:textId="105C01ED" w:rsidR="00F855D1" w:rsidRPr="000B0480" w:rsidRDefault="00AA0776" w:rsidP="008F162F">
            <w:pPr>
              <w:keepNext/>
              <w:spacing w:after="200"/>
              <w:rPr>
                <w:rFonts w:cs="Times New Roman"/>
                <w:noProof/>
                <w:szCs w:val="24"/>
                <w:lang w:val="de-DE" w:eastAsia="de-DE"/>
              </w:rPr>
            </w:pPr>
            <w:r w:rsidRPr="000B0480">
              <w:rPr>
                <w:rFonts w:cs="Times New Roman"/>
                <w:noProof/>
                <w:szCs w:val="24"/>
                <w:lang w:val="de-DE" w:eastAsia="de-DE"/>
              </w:rPr>
              <w:drawing>
                <wp:inline distT="0" distB="0" distL="0" distR="0" wp14:anchorId="34C29EEA" wp14:editId="29574B3B">
                  <wp:extent cx="2300436" cy="1876425"/>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20373" cy="1892687"/>
                          </a:xfrm>
                          <a:prstGeom prst="rect">
                            <a:avLst/>
                          </a:prstGeom>
                          <a:noFill/>
                          <a:ln>
                            <a:noFill/>
                          </a:ln>
                        </pic:spPr>
                      </pic:pic>
                    </a:graphicData>
                  </a:graphic>
                </wp:inline>
              </w:drawing>
            </w:r>
          </w:p>
        </w:tc>
        <w:tc>
          <w:tcPr>
            <w:tcW w:w="4588" w:type="dxa"/>
          </w:tcPr>
          <w:p w14:paraId="44799CDA" w14:textId="56BAB68D" w:rsidR="00F855D1" w:rsidRPr="000B0480" w:rsidRDefault="007E559E" w:rsidP="008F162F">
            <w:pPr>
              <w:keepNext/>
              <w:spacing w:after="200"/>
              <w:rPr>
                <w:rFonts w:cs="Times New Roman"/>
                <w:noProof/>
                <w:szCs w:val="24"/>
                <w:lang w:val="de-DE" w:eastAsia="de-DE"/>
              </w:rPr>
            </w:pPr>
            <w:r w:rsidRPr="000B0480">
              <w:rPr>
                <w:rFonts w:cs="Times New Roman"/>
                <w:noProof/>
                <w:szCs w:val="24"/>
                <w:lang w:val="de-DE" w:eastAsia="de-DE"/>
              </w:rPr>
              <w:drawing>
                <wp:inline distT="0" distB="0" distL="0" distR="0" wp14:anchorId="53FA2BA5" wp14:editId="3F692C69">
                  <wp:extent cx="2428875" cy="1978296"/>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33810" cy="1982316"/>
                          </a:xfrm>
                          <a:prstGeom prst="rect">
                            <a:avLst/>
                          </a:prstGeom>
                          <a:noFill/>
                          <a:ln>
                            <a:noFill/>
                          </a:ln>
                        </pic:spPr>
                      </pic:pic>
                    </a:graphicData>
                  </a:graphic>
                </wp:inline>
              </w:drawing>
            </w:r>
          </w:p>
        </w:tc>
      </w:tr>
    </w:tbl>
    <w:p w14:paraId="3F3B1D6B" w14:textId="43309D56" w:rsidR="005748B0" w:rsidRDefault="005748B0" w:rsidP="005F1FBD"/>
    <w:p w14:paraId="0F9FAD61" w14:textId="77777777" w:rsidR="005748B0" w:rsidRDefault="005748B0" w:rsidP="005F1FBD">
      <w:pPr>
        <w:sectPr w:rsidR="005748B0" w:rsidSect="005748B0">
          <w:pgSz w:w="15840" w:h="12240" w:orient="landscape"/>
          <w:pgMar w:top="1440" w:right="1440" w:bottom="1440" w:left="1440" w:header="720" w:footer="720" w:gutter="0"/>
          <w:cols w:space="720"/>
          <w:docGrid w:linePitch="360"/>
        </w:sectPr>
      </w:pPr>
    </w:p>
    <w:p w14:paraId="3B10D3F2" w14:textId="3FE0EEAC" w:rsidR="005748B0" w:rsidRDefault="00214ED7" w:rsidP="00566EB8">
      <w:pPr>
        <w:pStyle w:val="Heading3"/>
      </w:pPr>
      <w:bookmarkStart w:id="52" w:name="_Toc145761468"/>
      <w:r>
        <w:lastRenderedPageBreak/>
        <w:t>Mode and m</w:t>
      </w:r>
      <w:r w:rsidR="00EE23E7">
        <w:t xml:space="preserve">agnitude of </w:t>
      </w:r>
      <w:r w:rsidR="00566EB8">
        <w:t>shocks propagation</w:t>
      </w:r>
      <w:bookmarkEnd w:id="52"/>
    </w:p>
    <w:p w14:paraId="36F8630F" w14:textId="33048014" w:rsidR="0066023D" w:rsidRDefault="0066023D" w:rsidP="0066023D">
      <w:r>
        <w:t>Between 1995 and 2019, the total number of trade relationships between countries, encompassing both one-way trade links (asymmetric) and two-way trade relations (mutual), saw a notable increase</w:t>
      </w:r>
      <w:r w:rsidR="008F50A7">
        <w:t xml:space="preserve">, </w:t>
      </w:r>
      <w:r w:rsidRPr="00AF427F">
        <w:rPr>
          <w:highlight w:val="yellow"/>
        </w:rPr>
        <w:t xml:space="preserve">from 7,084 </w:t>
      </w:r>
      <w:r w:rsidR="006F60DE">
        <w:rPr>
          <w:highlight w:val="yellow"/>
        </w:rPr>
        <w:t xml:space="preserve">active trade relationships </w:t>
      </w:r>
      <w:r w:rsidRPr="00AF427F">
        <w:rPr>
          <w:highlight w:val="yellow"/>
        </w:rPr>
        <w:t>in 1995 to 10,454 in 2019</w:t>
      </w:r>
      <w:r>
        <w:t>. The most substantial change took place during the period from 1995 to 2007</w:t>
      </w:r>
      <w:r w:rsidR="0029403D">
        <w:t xml:space="preserve"> (</w:t>
      </w:r>
      <w:r w:rsidRPr="00C25FF5">
        <w:rPr>
          <w:highlight w:val="yellow"/>
        </w:rPr>
        <w:t>Table 5</w:t>
      </w:r>
      <w:r w:rsidR="0029403D">
        <w:t>)</w:t>
      </w:r>
      <w:r>
        <w:t xml:space="preserve">. </w:t>
      </w:r>
      <w:r w:rsidR="00736AB3">
        <w:t>T</w:t>
      </w:r>
      <w:r>
        <w:t>he proportion of actual trade relationships compared to the total possible trade relationships</w:t>
      </w:r>
      <w:r w:rsidR="00736AB3">
        <w:t xml:space="preserve"> grew from</w:t>
      </w:r>
      <w:r>
        <w:t xml:space="preserve"> 39 percent</w:t>
      </w:r>
      <w:r w:rsidR="00AC6E5E">
        <w:t xml:space="preserve"> in 1995 to 58 percent in</w:t>
      </w:r>
      <w:r>
        <w:t xml:space="preserve"> 2019. The majority of trade relationships </w:t>
      </w:r>
      <w:r w:rsidR="003F389D">
        <w:t xml:space="preserve">during this time period </w:t>
      </w:r>
      <w:r>
        <w:t xml:space="preserve">remained mutual, accounting for approximately 60 percent to 63 percent of all trade relationships across the years. </w:t>
      </w:r>
      <w:r w:rsidR="003F389D">
        <w:t>M</w:t>
      </w:r>
      <w:r>
        <w:t>utual trade relationships, as opposed to one-way trade, signif</w:t>
      </w:r>
      <w:r w:rsidR="003A0EF2">
        <w:t>y</w:t>
      </w:r>
      <w:r>
        <w:t xml:space="preserve"> a</w:t>
      </w:r>
      <w:r w:rsidR="003A0EF2">
        <w:t xml:space="preserve"> high</w:t>
      </w:r>
      <w:r>
        <w:t xml:space="preserve"> </w:t>
      </w:r>
      <w:r w:rsidR="001D4CCE">
        <w:t xml:space="preserve">density </w:t>
      </w:r>
      <w:r>
        <w:t xml:space="preserve">of connectivity between countries. This </w:t>
      </w:r>
      <w:r w:rsidR="001D4CCE">
        <w:t>density</w:t>
      </w:r>
      <w:r>
        <w:t xml:space="preserve"> </w:t>
      </w:r>
      <w:r w:rsidR="00CA4D8C">
        <w:t xml:space="preserve">may </w:t>
      </w:r>
      <w:r>
        <w:t xml:space="preserve">contribute to greater </w:t>
      </w:r>
      <w:r w:rsidR="001D4CCE">
        <w:t xml:space="preserve">exchange </w:t>
      </w:r>
      <w:r>
        <w:t>of goods in terms of both quantity</w:t>
      </w:r>
      <w:r w:rsidR="00405CA6">
        <w:t>/value</w:t>
      </w:r>
      <w:r>
        <w:t xml:space="preserve"> and diversity. However, it also raises the likelihood of shock propagation through a multiplier mechanism</w:t>
      </w:r>
      <w:r w:rsidR="005B0F4D">
        <w:t xml:space="preserve">: </w:t>
      </w:r>
      <w:r>
        <w:t>a shock originating in one country can affect its bilateral trading partner, and due to the bilateral trade linkages, the shock may amplify beyond its initial impact on the country where it originated.</w:t>
      </w:r>
    </w:p>
    <w:p w14:paraId="12E2AA04" w14:textId="2ED461E1" w:rsidR="0066023D" w:rsidRDefault="0066023D" w:rsidP="0066023D">
      <w:r>
        <w:t>The number of trilateral trade relationships</w:t>
      </w:r>
      <w:r w:rsidR="005F6EA9">
        <w:t xml:space="preserve"> (</w:t>
      </w:r>
      <w:r>
        <w:t>triads</w:t>
      </w:r>
      <w:r w:rsidR="005F6EA9">
        <w:t xml:space="preserve">) </w:t>
      </w:r>
      <w:r>
        <w:t xml:space="preserve">experienced significant growth. The proportion of </w:t>
      </w:r>
      <w:r w:rsidR="00393463">
        <w:t xml:space="preserve">active </w:t>
      </w:r>
      <w:r>
        <w:t xml:space="preserve">triads </w:t>
      </w:r>
      <w:r w:rsidR="00393463">
        <w:t>over</w:t>
      </w:r>
      <w:r>
        <w:t xml:space="preserve"> all possible triads, known as the intensity of triads, increased from 40 percent in 1995 to 56 percent in 2007. Subsequently, it remained stable at around 60 percent in 2013 and 2019 (Table 2). Theoretically, there are 16 different types of triads that can be formed by three countries, with 13 of them involving all three countries (see Figure A1 in Appendix A). In 1995 and 2007, the most common types of triads in the global food and agricultural trade network were intransitive triads (labelled as 201 and 111D in Figure A1, respectively), where countries interacted through intermediaries. However, in 2013 and 2019, the most frequent type of triad (labelled as 300 in Figure A1) was transitive, with reciprocal trade occurring between all three countries. In general, the share of transitive (multi-way) trade relationships increased from 19 percent in 1995 to 30 percent in 2019, while the share of intransitive trade relations decreased. This indicates stronger trade relationships between countries and larger groups of countries in 2019 compared to 1995, signifying increased connectivity. This connectivity </w:t>
      </w:r>
      <w:r w:rsidR="00FB36C0">
        <w:t xml:space="preserve">may </w:t>
      </w:r>
      <w:r>
        <w:t>strengthen the ability of countries to provide mutual support in the face of shocks. However, it also renders them more vulnerable due to the multiplier mechanism and the subsequent cascading effects of shocks.</w:t>
      </w:r>
    </w:p>
    <w:p w14:paraId="0200DAB9" w14:textId="558E34E6" w:rsidR="00A248C4" w:rsidRDefault="00A248C4" w:rsidP="005F1FBD"/>
    <w:p w14:paraId="10208214" w14:textId="77777777" w:rsidR="00A248C4" w:rsidRDefault="00A248C4" w:rsidP="00A248C4">
      <w:pPr>
        <w:pStyle w:val="Caption"/>
        <w:keepNext/>
      </w:pPr>
      <w:bookmarkStart w:id="53" w:name="_Ref110240855"/>
      <w:r>
        <w:t xml:space="preserve">Table </w:t>
      </w:r>
      <w:bookmarkEnd w:id="53"/>
      <w:r>
        <w:rPr>
          <w:noProof/>
        </w:rPr>
        <w:t>2.</w:t>
      </w:r>
      <w:r>
        <w:t xml:space="preserve"> Structure of bilateral and trilateral trade relationships</w:t>
      </w:r>
    </w:p>
    <w:p w14:paraId="4A2AEA91" w14:textId="77777777" w:rsidR="00A248C4" w:rsidRPr="004B7A5D" w:rsidRDefault="00A248C4" w:rsidP="00A248C4">
      <w:r w:rsidRPr="004B7A5D">
        <w:rPr>
          <w:noProof/>
          <w:lang w:val="de-DE" w:eastAsia="de-DE"/>
        </w:rPr>
        <w:drawing>
          <wp:inline distT="0" distB="0" distL="0" distR="0" wp14:anchorId="6B75AA72" wp14:editId="1C18B53A">
            <wp:extent cx="5522614" cy="194881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29722" cy="1951323"/>
                    </a:xfrm>
                    <a:prstGeom prst="rect">
                      <a:avLst/>
                    </a:prstGeom>
                    <a:noFill/>
                    <a:ln>
                      <a:noFill/>
                    </a:ln>
                  </pic:spPr>
                </pic:pic>
              </a:graphicData>
            </a:graphic>
          </wp:inline>
        </w:drawing>
      </w:r>
    </w:p>
    <w:p w14:paraId="51E3181A" w14:textId="77777777" w:rsidR="00A248C4" w:rsidRDefault="00A248C4" w:rsidP="005F1FBD"/>
    <w:p w14:paraId="73C6A259" w14:textId="09A7C438" w:rsidR="004477E9" w:rsidRDefault="004477E9" w:rsidP="004477E9">
      <w:pPr>
        <w:pStyle w:val="Heading3"/>
      </w:pPr>
      <w:bookmarkStart w:id="54" w:name="_Toc145761469"/>
      <w:r>
        <w:lastRenderedPageBreak/>
        <w:t>Extent of shocks propagation</w:t>
      </w:r>
      <w:bookmarkEnd w:id="54"/>
    </w:p>
    <w:p w14:paraId="1EDDD38B" w14:textId="77777777" w:rsidR="001C6E26" w:rsidRPr="001C6E26" w:rsidRDefault="001C6E26" w:rsidP="001C6E26"/>
    <w:p w14:paraId="58A5EBBF" w14:textId="73829174" w:rsidR="00242DF2" w:rsidRDefault="00B5388B" w:rsidP="00B5388B">
      <w:r>
        <w:t>By examining the core-periphery structure of the network and identifying the major hubs within it, we can gain insights into the potential impact of shocks originating from specific regions or countries. This analysis allows us to assess the vulnerability and interconnectedness of different parts of the network, enabling a better understanding of how disruptions in certain regions or countries may ripple through the global food and agricultural trade system. When examining betweenness, we observe a distribution that is heavily right-skewed for both trade links and trade values (trade intensity) (see Figure 6). This indicates that a few countries play a crucial role in the connectivity of the network. These countries act as trade hubs, connecting with numerous partners, and indirectly linking smaller partners to the global network.</w:t>
      </w:r>
      <w:r w:rsidR="00D875AE">
        <w:t xml:space="preserve"> </w:t>
      </w:r>
    </w:p>
    <w:p w14:paraId="0D2EFE0F" w14:textId="4EB255BB" w:rsidR="00D875AE" w:rsidRDefault="00D875AE" w:rsidP="00D875AE">
      <w:r>
        <w:t xml:space="preserve">Which countries are hub and which are peripheries? In this respect, the structure of the trade network has undergone significant changes due to increased connectivity, the expansion of food and agricultural trade, and the emergence of new players in global markets. Over time, there has been an increase in the number of trade hubs, and in 2019, the network relies on a greater but less dominant set of hubs compared to 1995. This suggests a diversification of hub countries and </w:t>
      </w:r>
      <w:r w:rsidR="001D6C7D">
        <w:t>declining</w:t>
      </w:r>
      <w:r>
        <w:t xml:space="preserve"> dependency on a small number of dominant hubs. </w:t>
      </w:r>
    </w:p>
    <w:p w14:paraId="5ED52D29" w14:textId="45C3AAA2" w:rsidR="00D875AE" w:rsidRDefault="00D875AE" w:rsidP="00D875AE">
      <w:r>
        <w:t>A</w:t>
      </w:r>
      <w:r w:rsidR="002D1686">
        <w:t>s</w:t>
      </w:r>
      <w:r>
        <w:t xml:space="preserve"> illustrated in Figure 7 using </w:t>
      </w:r>
      <w:r w:rsidRPr="00AF427F">
        <w:rPr>
          <w:highlight w:val="yellow"/>
        </w:rPr>
        <w:t>betweenness indices</w:t>
      </w:r>
      <w:r>
        <w:t xml:space="preserve"> and in terms of trade intensity, the United States of America held the position of the most significant hub in 1995, which remained unchanged in 2019. However, China experienced substantial growth and transitioned from a relatively minor hub in 1995 to the second-largest hub by 2019. This shift can be attributed to China's accession to the WTO in 2001 and its subsequent rapid economic expansion, propelling it from the network's periphery to a central player </w:t>
      </w:r>
      <w:r w:rsidR="002227D6">
        <w:fldChar w:fldCharType="begin"/>
      </w:r>
      <w:r w:rsidR="002227D6">
        <w:instrText xml:space="preserve"> ADDIN ZOTERO_ITEM CSL_CITATION {"citationID":"66fQ5AZX","properties":{"formattedCitation":"(Tombe and Zhu, 2019)","plainCitation":"(Tombe and Zhu, 2019)","noteIndex":0},"citationItems":[{"id":1487,"uris":["http://zotero.org/users/12902950/items/L77IN9RN"],"itemData":{"id":1487,"type":"article-journal","abstract":"We study how goods- and labor-market frictions affect aggregate labor productivity in China. Combining unique data with a general equilibrium model of internal and international trade, and migration across regions and sectors, we quantify the magnitude and consequences of trade and migration costs. The costs were high in 2000, but declined afterward. The decline accounts for 36 percent of the aggregate labor productivity growth between 2000 and 2005. Reductions in internal trade and migration costs are more important than reductions in external trade costs. Despite the decline, migration costs are still high and potential gains from further reform are large. (JEL E24, F16, J24, P23, P25, R12, R23)","container-title":"American Economic Review","DOI":"10.1257/aer.20150811","ISSN":"0002-8282","issue":"5","journalAbbreviation":"American Economic Review","language":"en","page":"1843-1872","source":"DOI.org (Crossref)","title":"Trade, Migration, and Productivity: A Quantitative Analysis of China","title-short":"Trade, Migration, and Productivity","volume":"109","author":[{"family":"Tombe","given":"Trevor"},{"family":"Zhu","given":"Xiaodong"}],"issued":{"date-parts":[["2019",5,1]]}}}],"schema":"https://github.com/citation-style-language/schema/raw/master/csl-citation.json"} </w:instrText>
      </w:r>
      <w:r w:rsidR="002227D6">
        <w:fldChar w:fldCharType="separate"/>
      </w:r>
      <w:r w:rsidR="002227D6" w:rsidRPr="002227D6">
        <w:t>(Tombe and Zhu, 2019)</w:t>
      </w:r>
      <w:r w:rsidR="002227D6">
        <w:fldChar w:fldCharType="end"/>
      </w:r>
    </w:p>
    <w:p w14:paraId="3B6909ED" w14:textId="24DEAB32" w:rsidR="00D875AE" w:rsidRDefault="00D875AE" w:rsidP="00D875AE">
      <w:r>
        <w:t xml:space="preserve">Several Northern and Western European countries that occupied top positions as hubs in 1995 saw a decline in relative importance, making way for emerging economies </w:t>
      </w:r>
      <w:r w:rsidR="00E03658">
        <w:t xml:space="preserve">such as </w:t>
      </w:r>
      <w:r>
        <w:t xml:space="preserve">India, the Russian Federation, and South Africa (Figure 7). These emerging economies not only increased their global integration but also evolved as significant regional hubs, connecting smaller countries within their respective regions to the global market </w:t>
      </w:r>
      <w:r w:rsidR="002227D6">
        <w:fldChar w:fldCharType="begin"/>
      </w:r>
      <w:r w:rsidR="007D3A0F">
        <w:instrText xml:space="preserve"> ADDIN ZOTERO_ITEM CSL_CITATION {"citationID":"SrwpHcDb","properties":{"formattedCitation":"(Chen and De Lombaerde, 2014; Iapadre and Tajoli, 2014)","plainCitation":"(Chen and De Lombaerde, 2014; Iapadre and Tajoli, 2014)","noteIndex":0},"citationItems":[{"id":1484,"uris":["http://zotero.org/users/12902950/items/5FC9WBBF"],"itemData":{"id":1484,"type":"article-journal","container-title":"Journal of Policy Modeling","DOI":"10.1016/j.jpolmod.2013.10.011","ISSN":"01618938","journalAbbreviation":"Journal of Policy Modeling","language":"en","page":"S111-S131","source":"DOI.org (Crossref)","title":"Testing the relationships between globalization, regionalization and the regional hubness of the BRICs","volume":"36","author":[{"family":"Chen","given":"Lurong"},{"family":"De Lombaerde","given":"Philippe"}],"issued":{"date-parts":[["2014"]]}}},{"id":217,"uris":["http://zotero.org/users/12902950/items/QZ49IF85"],"itemData":{"id":217,"type":"article-journal","abstract":"In this paper, the authors start from the observation of two apparently contradictory trends: the increasing regionalization of trade and the proliferation of regional trade agreements, on the one hand, and the increase of the average number of trading partners of each country and of the trading distances over time due to decreasing transportation and communication costs, on the other, pointing to more globalization. They are brought together to better understand the characteristics of the process of internationalization which is involving so many emerging countries. In particular, by considering the extent of regionalization in trade or the preferentiality of regional trade, as well as the structure of some existing trade agreements in terms of influence of individual countries on intra-regional trade flows, they address the following questions: is internationalization of emerging countries starting at a regional level and eventually evolving to make them global players? Is the growing export strength of many low- or mid-income and size economies due to their linkages to some increasingly important traders in the world market, or is it an autonomous development of their economies? The authors start from a particular specification of bilateral trade intensity indices which allows for measuring revealed trade preferences, overcoming several statistical shortcomings of traditional indicators. They then apply the tools of network analysis, in order to take into account whether local trade structures and preferential agreements affect the overall system of international trade.","collection-title":"Measuring and Modeling Regional Power and Leadership","container-title":"Journal of Policy Modeling","DOI":"10.1016/j.jpolmod.2013.10.010","ISSN":"0161-8938","journalAbbreviation":"Journal of Policy Modeling","language":"en","page":"S89-S110","source":"ScienceDirect","title":"Emerging countries and trade regionalization. A network analysis","volume":"36","author":[{"family":"Iapadre","given":"P. Lelio"},{"family":"Tajoli","given":"Lucia"}],"issued":{"date-parts":[["2014",1,1]]}}}],"schema":"https://github.com/citation-style-language/schema/raw/master/csl-citation.json"} </w:instrText>
      </w:r>
      <w:r w:rsidR="002227D6">
        <w:fldChar w:fldCharType="separate"/>
      </w:r>
      <w:r w:rsidR="007D3A0F" w:rsidRPr="007D3A0F">
        <w:t>(Chen and De Lombaerde, 2014; Iapadre and Tajoli, 2014)</w:t>
      </w:r>
      <w:r w:rsidR="002227D6">
        <w:fldChar w:fldCharType="end"/>
      </w:r>
      <w:r>
        <w:t>. In 1995, the trade network exhibited a distinct core-periphery structure, characterized by a limited number of traders in the core and numerous less-connected countries in the periphery. However, with the emergence of additional trade hubs, the structure shifted towards a more balanced arrangement, featuring smaller core-periphery sub-networks (Figure 7). Similar structural changes and a trend towards decentralization have also been identified</w:t>
      </w:r>
      <w:r w:rsidR="002227D6">
        <w:t xml:space="preserve"> by</w:t>
      </w:r>
      <w:r>
        <w:t xml:space="preserve"> </w:t>
      </w:r>
      <w:r w:rsidR="002227D6">
        <w:fldChar w:fldCharType="begin"/>
      </w:r>
      <w:r w:rsidR="0060464F">
        <w:instrText xml:space="preserve"> ADDIN ZOTERO_ITEM CSL_CITATION {"citationID":"q3sOt6CJ","properties":{"formattedCitation":"(Sartori and Schiavo, 2015)","plainCitation":"(Sartori and Schiavo, 2015)","noteIndex":0},"citationItems":[{"id":"1qXGYDro/yLQbwru8","uris":["http://zotero.org/users/203136/items/ZTJKRYTM"],"itemData":{"id":"AMrn2D5k/JpVtYi3g","type":"article-journal","abstract":"We analyze the link between virtual water trade, that is, the flow of water embodied in the international trade of agricultural goods, and vulnerability to external shocks from the vantage point of network analysis. While a large body of work has shown that virtual water trade can enhance water saving on a global scale, being especially beneficial to arid countries, there are increasing concerns that openness makes countries more dependent on foreign food suppliers and, in this way, more prone to external shocks. Our evidence reveals that the increased globalization witnessed in the last three decades is not associated with the increased frequency of adverse shocks (in food production). Furthermore, building on recent advances in network analysis that connect the stability of a complex system to its topological features, we find that the world is more interconnected, but not necessarily less stable.","container-title":"Food Policy","DOI":"10.1016/j.foodpol.2015.10.004","ISSN":"0306-9192","journalAbbreviation":"Food Policy","language":"en","page":"114-127","source":"ScienceDirect","title":"Connected we stand: A network perspective on trade and global food security","title-short":"Connected we stand","volume":"57","author":[{"family":"Sartori","given":"Martina"},{"family":"Schiavo","given":"Stefano"}],"issued":{"date-parts":[["2015",11,1]]}}}],"schema":"https://github.com/citation-style-language/schema/raw/master/csl-citation.json"} </w:instrText>
      </w:r>
      <w:r w:rsidR="002227D6">
        <w:fldChar w:fldCharType="separate"/>
      </w:r>
      <w:r w:rsidR="0060464F" w:rsidRPr="0060464F">
        <w:t>(Sartori and Schiavo, 2015)</w:t>
      </w:r>
      <w:r w:rsidR="002227D6">
        <w:fldChar w:fldCharType="end"/>
      </w:r>
      <w:r w:rsidR="002227D6">
        <w:t xml:space="preserve"> </w:t>
      </w:r>
      <w:r w:rsidR="00BE0D1A">
        <w:t xml:space="preserve">for food trade and </w:t>
      </w:r>
      <w:r w:rsidR="0060547D">
        <w:t>by</w:t>
      </w:r>
      <w:r>
        <w:t xml:space="preserve"> </w:t>
      </w:r>
      <w:r w:rsidR="002227D6">
        <w:fldChar w:fldCharType="begin"/>
      </w:r>
      <w:r w:rsidR="0060464F">
        <w:instrText xml:space="preserve"> ADDIN ZOTERO_ITEM CSL_CITATION {"citationID":"6N9VvBPG","properties":{"formattedCitation":"(Vidya, Prabheesh and Sirowa, 2020)","plainCitation":"(Vidya, Prabheesh and Sirowa, 2020)","dontUpdate":true,"noteIndex":0},"citationItems":[{"id":87,"uris":["http://zotero.org/users/12902950/items/KPH8QZK4"],"itemData":{"id":87,"type":"article-journal","abstract":"The present paper empirically analyzes the structural change in world trade over the last two decades by examining trade integration, leadership, and regionalization through a network model. We selected 50 countries encompassing both developed and developing nations and grouped them into 9 regions for 1990, 1992, 2000, 2010, and 2017. We have undertaken two principal analyses: (i) trade intensity indices and regionalization and (ii) linking trade intensity with network analysis. Therefore, this paper reaches a trade-off condition. The major findings of the study are as follows: (i) regional integration is stronger and has increased over the years; (ii) trade regionalization is primarily dominated by developed regions; (iii) trade liberalization has reduced the gap between the center and periphery; (iv) emerging Asian economies have developed as leaders and export hubs of goods in the global market; (v) trade liberalization has transformed and reshaped the world trade structure; and (vi) trade liberalization has not driven the lessening geodesic distance and transport costs from trade, and thus, there are no major gains for many countries.","container-title":"Journal of Economic Integration","ISSN":"1225-651X","issue":"1","note":"number: 1\npublisher: Center for Economic Integration, Sejong University","page":"10-38","source":"JSTOR","title":"Is Trade Integration Leading to Regionalization? Evidence from Cross-Country Network Analysis","title-short":"Is Trade Integration Leading to Regionalization?","volume":"35","author":[{"family":"Vidya","given":"C.T."},{"family":"Prabheesh","given":"K.P."},{"family":"Sirowa","given":"Saahil"}],"issued":{"date-parts":[["2020"]]}}}],"schema":"https://github.com/citation-style-language/schema/raw/master/csl-citation.json"} </w:instrText>
      </w:r>
      <w:r w:rsidR="002227D6">
        <w:fldChar w:fldCharType="separate"/>
      </w:r>
      <w:r w:rsidR="002227D6" w:rsidRPr="002227D6">
        <w:t>Vidya, Prabheesh and Sirowa,</w:t>
      </w:r>
      <w:r w:rsidR="007D3A0F">
        <w:t xml:space="preserve"> (</w:t>
      </w:r>
      <w:r w:rsidR="002227D6" w:rsidRPr="002227D6">
        <w:t xml:space="preserve"> 2020)</w:t>
      </w:r>
      <w:r w:rsidR="002227D6">
        <w:fldChar w:fldCharType="end"/>
      </w:r>
      <w:r w:rsidR="002227D6">
        <w:t xml:space="preserve"> </w:t>
      </w:r>
      <w:r w:rsidR="0060547D">
        <w:t>for all merchandise trade</w:t>
      </w:r>
      <w:r>
        <w:t>.</w:t>
      </w:r>
    </w:p>
    <w:p w14:paraId="49932982" w14:textId="093E22DF" w:rsidR="0096729E" w:rsidRDefault="0096729E" w:rsidP="0096729E">
      <w:pPr>
        <w:rPr>
          <w:lang w:val="en-GB"/>
        </w:rPr>
      </w:pPr>
    </w:p>
    <w:p w14:paraId="536D971D" w14:textId="0FF918AF" w:rsidR="00A26207" w:rsidRDefault="00A26207" w:rsidP="00A26207">
      <w:pPr>
        <w:pStyle w:val="Caption"/>
        <w:keepNext/>
      </w:pPr>
      <w:bookmarkStart w:id="55" w:name="_Ref109058967"/>
      <w:bookmarkStart w:id="56" w:name="_Ref109126461"/>
      <w:bookmarkStart w:id="57" w:name="_Ref109813822"/>
      <w:r>
        <w:lastRenderedPageBreak/>
        <w:t xml:space="preserve">Figure </w:t>
      </w:r>
      <w:fldSimple w:instr=" SEQ Figure \* ARABIC ">
        <w:r w:rsidR="00EC50BF">
          <w:rPr>
            <w:noProof/>
          </w:rPr>
          <w:t>4</w:t>
        </w:r>
      </w:fldSimple>
      <w:bookmarkEnd w:id="55"/>
      <w:bookmarkEnd w:id="56"/>
      <w:bookmarkEnd w:id="57"/>
      <w:r>
        <w:rPr>
          <w:noProof/>
        </w:rPr>
        <w:t>.</w:t>
      </w:r>
      <w:r>
        <w:t xml:space="preserve"> The food and agricultural trade network and trade hubs, 1995 and 2019</w:t>
      </w:r>
    </w:p>
    <w:p w14:paraId="2E4B1C36" w14:textId="77777777" w:rsidR="00A26207" w:rsidRPr="00AA1402" w:rsidRDefault="00A26207" w:rsidP="00A26207">
      <w:pPr>
        <w:keepNext/>
        <w:spacing w:after="200" w:line="240" w:lineRule="auto"/>
        <w:rPr>
          <w:b/>
          <w:iCs/>
          <w:color w:val="000000" w:themeColor="text1"/>
          <w:sz w:val="20"/>
          <w:szCs w:val="18"/>
        </w:rPr>
      </w:pPr>
      <w:r w:rsidRPr="00C50A6D">
        <w:rPr>
          <w:b/>
          <w:iCs/>
          <w:noProof/>
          <w:color w:val="000000" w:themeColor="text1"/>
          <w:sz w:val="20"/>
          <w:szCs w:val="18"/>
          <w:lang w:val="de-DE" w:eastAsia="de-DE"/>
        </w:rPr>
        <w:drawing>
          <wp:inline distT="0" distB="0" distL="0" distR="0" wp14:anchorId="3CB7D39A" wp14:editId="733D869F">
            <wp:extent cx="5575937" cy="3313785"/>
            <wp:effectExtent l="0" t="0" r="0" b="1270"/>
            <wp:docPr id="23" name="Picture 23" descr="C:\Users\zimmermannand\OneDrive - Food and Agriculture Organization\Commodity Markets and Development\04. SOCO\SOCO 2022\Working folder\Part 1\Data and figures\Archive2\Figure 1.7 The food and agricultural trade network and trade hubs in 1995 and 2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immermannand\OneDrive - Food and Agriculture Organization\Commodity Markets and Development\04. SOCO\SOCO 2022\Working folder\Part 1\Data and figures\Archive2\Figure 1.7 The food and agricultural trade network and trade hubs in 1995 and 2019.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19935" cy="3339933"/>
                    </a:xfrm>
                    <a:prstGeom prst="rect">
                      <a:avLst/>
                    </a:prstGeom>
                    <a:noFill/>
                    <a:ln>
                      <a:noFill/>
                    </a:ln>
                  </pic:spPr>
                </pic:pic>
              </a:graphicData>
            </a:graphic>
          </wp:inline>
        </w:drawing>
      </w:r>
    </w:p>
    <w:p w14:paraId="128613F2" w14:textId="77777777" w:rsidR="00A26207" w:rsidRDefault="00A26207" w:rsidP="00A26207">
      <w:pPr>
        <w:pStyle w:val="Source"/>
      </w:pPr>
      <w:r>
        <w:t>Note: Based on trade intensity.</w:t>
      </w:r>
    </w:p>
    <w:p w14:paraId="2FCC8095" w14:textId="77777777" w:rsidR="00A26207" w:rsidRDefault="00A26207" w:rsidP="0096729E">
      <w:pPr>
        <w:rPr>
          <w:lang w:val="en-GB"/>
        </w:rPr>
      </w:pPr>
    </w:p>
    <w:p w14:paraId="192BAB9E" w14:textId="77777777" w:rsidR="00D15F3E" w:rsidRDefault="00D15F3E" w:rsidP="005F1FBD">
      <w:pPr>
        <w:sectPr w:rsidR="00D15F3E">
          <w:pgSz w:w="12240" w:h="15840"/>
          <w:pgMar w:top="1440" w:right="1440" w:bottom="1440" w:left="1440" w:header="720" w:footer="720" w:gutter="0"/>
          <w:cols w:space="720"/>
          <w:docGrid w:linePitch="360"/>
        </w:sectPr>
      </w:pPr>
    </w:p>
    <w:p w14:paraId="170FFF41" w14:textId="2D01AC5D" w:rsidR="001F1CD1" w:rsidRDefault="001F1CD1" w:rsidP="001F1CD1">
      <w:pPr>
        <w:pStyle w:val="Caption"/>
        <w:keepNext/>
      </w:pPr>
      <w:r>
        <w:lastRenderedPageBreak/>
        <w:t xml:space="preserve">Figure </w:t>
      </w:r>
      <w:fldSimple w:instr=" SEQ Figure \* ARABIC ">
        <w:r w:rsidR="00EC50BF">
          <w:rPr>
            <w:noProof/>
          </w:rPr>
          <w:t>5</w:t>
        </w:r>
      </w:fldSimple>
      <w:r>
        <w:rPr>
          <w:noProof/>
        </w:rPr>
        <w:t>.</w:t>
      </w:r>
      <w:r>
        <w:t xml:space="preserve"> Distribution of </w:t>
      </w:r>
      <w:r w:rsidR="009E0FB3">
        <w:t>betweenness across countries</w:t>
      </w:r>
    </w:p>
    <w:tbl>
      <w:tblPr>
        <w:tblStyle w:val="TableGrid"/>
        <w:tblW w:w="13320" w:type="dxa"/>
        <w:tblLook w:val="04A0" w:firstRow="1" w:lastRow="0" w:firstColumn="1" w:lastColumn="0" w:noHBand="0" w:noVBand="1"/>
      </w:tblPr>
      <w:tblGrid>
        <w:gridCol w:w="4326"/>
        <w:gridCol w:w="4636"/>
        <w:gridCol w:w="4358"/>
      </w:tblGrid>
      <w:tr w:rsidR="001F1CD1" w14:paraId="06EDF2E5" w14:textId="77777777" w:rsidTr="008F162F">
        <w:trPr>
          <w:trHeight w:val="425"/>
        </w:trPr>
        <w:tc>
          <w:tcPr>
            <w:tcW w:w="4296" w:type="dxa"/>
          </w:tcPr>
          <w:p w14:paraId="5BC01DFA" w14:textId="5F86763F" w:rsidR="001F1CD1" w:rsidRPr="008F057E" w:rsidRDefault="001F1CD1" w:rsidP="008F162F">
            <w:pPr>
              <w:keepNext/>
              <w:spacing w:after="200"/>
              <w:rPr>
                <w:iCs/>
                <w:color w:val="000000" w:themeColor="text1"/>
                <w:sz w:val="20"/>
                <w:szCs w:val="18"/>
              </w:rPr>
            </w:pPr>
            <w:r w:rsidRPr="008F057E">
              <w:rPr>
                <w:iCs/>
                <w:color w:val="000000" w:themeColor="text1"/>
                <w:sz w:val="20"/>
                <w:szCs w:val="18"/>
              </w:rPr>
              <w:t>Panel A</w:t>
            </w:r>
            <w:r>
              <w:rPr>
                <w:iCs/>
                <w:color w:val="000000" w:themeColor="text1"/>
                <w:sz w:val="20"/>
                <w:szCs w:val="18"/>
              </w:rPr>
              <w:t xml:space="preserve">: </w:t>
            </w:r>
            <w:r w:rsidR="00A002BC">
              <w:rPr>
                <w:iCs/>
                <w:color w:val="000000" w:themeColor="text1"/>
                <w:sz w:val="20"/>
                <w:szCs w:val="18"/>
              </w:rPr>
              <w:t>Betweenness by t</w:t>
            </w:r>
            <w:r>
              <w:rPr>
                <w:iCs/>
                <w:color w:val="000000" w:themeColor="text1"/>
                <w:sz w:val="20"/>
                <w:szCs w:val="18"/>
              </w:rPr>
              <w:t xml:space="preserve">rade links by country and product </w:t>
            </w:r>
          </w:p>
        </w:tc>
        <w:tc>
          <w:tcPr>
            <w:tcW w:w="4309" w:type="dxa"/>
          </w:tcPr>
          <w:p w14:paraId="744AF6F4" w14:textId="4CCC0AAB" w:rsidR="001F1CD1" w:rsidRPr="008F057E" w:rsidRDefault="001F1CD1" w:rsidP="008F162F">
            <w:pPr>
              <w:keepNext/>
              <w:spacing w:after="200"/>
              <w:rPr>
                <w:iCs/>
                <w:color w:val="000000" w:themeColor="text1"/>
                <w:sz w:val="20"/>
                <w:szCs w:val="18"/>
              </w:rPr>
            </w:pPr>
            <w:r>
              <w:rPr>
                <w:iCs/>
                <w:color w:val="000000" w:themeColor="text1"/>
                <w:sz w:val="20"/>
                <w:szCs w:val="18"/>
              </w:rPr>
              <w:t xml:space="preserve">Panel B: </w:t>
            </w:r>
            <w:r w:rsidR="00A002BC" w:rsidRPr="00665FB9">
              <w:rPr>
                <w:iCs/>
                <w:color w:val="000000" w:themeColor="text1"/>
                <w:sz w:val="20"/>
                <w:szCs w:val="18"/>
                <w:highlight w:val="yellow"/>
              </w:rPr>
              <w:t>Betweenness by t</w:t>
            </w:r>
            <w:r w:rsidRPr="00665FB9">
              <w:rPr>
                <w:iCs/>
                <w:color w:val="000000" w:themeColor="text1"/>
                <w:sz w:val="20"/>
                <w:szCs w:val="18"/>
                <w:highlight w:val="yellow"/>
              </w:rPr>
              <w:t>rade links by country and product</w:t>
            </w:r>
            <w:r>
              <w:rPr>
                <w:iCs/>
                <w:color w:val="000000" w:themeColor="text1"/>
                <w:sz w:val="20"/>
                <w:szCs w:val="18"/>
              </w:rPr>
              <w:t xml:space="preserve"> </w:t>
            </w:r>
          </w:p>
        </w:tc>
        <w:tc>
          <w:tcPr>
            <w:tcW w:w="4715" w:type="dxa"/>
          </w:tcPr>
          <w:p w14:paraId="7AF0E77F" w14:textId="0FCF2379" w:rsidR="001F1CD1" w:rsidRPr="008F057E" w:rsidRDefault="001F1CD1" w:rsidP="008F162F">
            <w:pPr>
              <w:keepNext/>
              <w:spacing w:after="200"/>
              <w:rPr>
                <w:iCs/>
                <w:color w:val="000000" w:themeColor="text1"/>
                <w:sz w:val="20"/>
                <w:szCs w:val="18"/>
              </w:rPr>
            </w:pPr>
            <w:r>
              <w:rPr>
                <w:iCs/>
                <w:color w:val="000000" w:themeColor="text1"/>
                <w:sz w:val="20"/>
                <w:szCs w:val="18"/>
              </w:rPr>
              <w:t xml:space="preserve">Panel C: </w:t>
            </w:r>
            <w:r w:rsidR="00A002BC">
              <w:rPr>
                <w:iCs/>
                <w:color w:val="000000" w:themeColor="text1"/>
                <w:sz w:val="20"/>
                <w:szCs w:val="18"/>
              </w:rPr>
              <w:t>Betweenness by t</w:t>
            </w:r>
            <w:r>
              <w:rPr>
                <w:iCs/>
                <w:color w:val="000000" w:themeColor="text1"/>
                <w:sz w:val="20"/>
                <w:szCs w:val="18"/>
              </w:rPr>
              <w:t xml:space="preserve">rade </w:t>
            </w:r>
            <w:r w:rsidR="00A002BC">
              <w:rPr>
                <w:iCs/>
                <w:color w:val="000000" w:themeColor="text1"/>
                <w:sz w:val="20"/>
                <w:szCs w:val="18"/>
              </w:rPr>
              <w:t>intensity</w:t>
            </w:r>
          </w:p>
        </w:tc>
      </w:tr>
      <w:tr w:rsidR="001F1CD1" w14:paraId="1F673DB7" w14:textId="77777777" w:rsidTr="008F162F">
        <w:trPr>
          <w:trHeight w:val="2435"/>
        </w:trPr>
        <w:tc>
          <w:tcPr>
            <w:tcW w:w="4296" w:type="dxa"/>
          </w:tcPr>
          <w:p w14:paraId="718BE320" w14:textId="4C45B25C" w:rsidR="001F1CD1" w:rsidRDefault="00E817A9" w:rsidP="008F162F">
            <w:pPr>
              <w:keepNext/>
              <w:spacing w:after="200"/>
              <w:rPr>
                <w:b/>
                <w:iCs/>
                <w:color w:val="000000" w:themeColor="text1"/>
                <w:sz w:val="20"/>
                <w:szCs w:val="18"/>
              </w:rPr>
            </w:pPr>
            <w:r w:rsidRPr="000B0480">
              <w:rPr>
                <w:rFonts w:cs="Times New Roman"/>
                <w:noProof/>
                <w:szCs w:val="24"/>
                <w:lang w:val="de-DE" w:eastAsia="de-DE"/>
              </w:rPr>
              <w:drawing>
                <wp:inline distT="0" distB="0" distL="0" distR="0" wp14:anchorId="28D84193" wp14:editId="0B586931">
                  <wp:extent cx="2609850" cy="212305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22487" cy="2133337"/>
                          </a:xfrm>
                          <a:prstGeom prst="rect">
                            <a:avLst/>
                          </a:prstGeom>
                          <a:noFill/>
                          <a:ln>
                            <a:noFill/>
                          </a:ln>
                        </pic:spPr>
                      </pic:pic>
                    </a:graphicData>
                  </a:graphic>
                </wp:inline>
              </w:drawing>
            </w:r>
          </w:p>
        </w:tc>
        <w:tc>
          <w:tcPr>
            <w:tcW w:w="4309" w:type="dxa"/>
          </w:tcPr>
          <w:p w14:paraId="1E953BB6" w14:textId="0DF79BE2" w:rsidR="001F1CD1" w:rsidRDefault="00AE71B9" w:rsidP="008F162F">
            <w:pPr>
              <w:keepNext/>
              <w:spacing w:after="200"/>
              <w:rPr>
                <w:b/>
                <w:iCs/>
                <w:color w:val="000000" w:themeColor="text1"/>
                <w:sz w:val="20"/>
                <w:szCs w:val="18"/>
              </w:rPr>
            </w:pPr>
            <w:r w:rsidRPr="000B0480">
              <w:rPr>
                <w:rFonts w:cs="Times New Roman"/>
                <w:noProof/>
                <w:szCs w:val="24"/>
                <w:lang w:val="de-DE" w:eastAsia="de-DE"/>
              </w:rPr>
              <w:drawing>
                <wp:inline distT="0" distB="0" distL="0" distR="0" wp14:anchorId="6F23EDC3" wp14:editId="506548AD">
                  <wp:extent cx="2806976" cy="2283416"/>
                  <wp:effectExtent l="0" t="0" r="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30866" cy="2302850"/>
                          </a:xfrm>
                          <a:prstGeom prst="rect">
                            <a:avLst/>
                          </a:prstGeom>
                          <a:noFill/>
                          <a:ln>
                            <a:noFill/>
                          </a:ln>
                        </pic:spPr>
                      </pic:pic>
                    </a:graphicData>
                  </a:graphic>
                </wp:inline>
              </w:drawing>
            </w:r>
          </w:p>
        </w:tc>
        <w:tc>
          <w:tcPr>
            <w:tcW w:w="4715" w:type="dxa"/>
          </w:tcPr>
          <w:p w14:paraId="5E207CF9" w14:textId="1D89E18C" w:rsidR="001F1CD1" w:rsidRDefault="006632C3" w:rsidP="008F162F">
            <w:pPr>
              <w:keepNext/>
              <w:spacing w:after="200"/>
              <w:rPr>
                <w:b/>
                <w:iCs/>
                <w:color w:val="000000" w:themeColor="text1"/>
                <w:sz w:val="20"/>
                <w:szCs w:val="18"/>
              </w:rPr>
            </w:pPr>
            <w:r w:rsidRPr="000B0480">
              <w:rPr>
                <w:rFonts w:cs="Times New Roman"/>
                <w:noProof/>
                <w:szCs w:val="24"/>
                <w:lang w:val="de-DE" w:eastAsia="de-DE"/>
              </w:rPr>
              <w:drawing>
                <wp:inline distT="0" distB="0" distL="0" distR="0" wp14:anchorId="4D9E76A6" wp14:editId="533AA063">
                  <wp:extent cx="2552700" cy="207656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19173" cy="2130641"/>
                          </a:xfrm>
                          <a:prstGeom prst="rect">
                            <a:avLst/>
                          </a:prstGeom>
                          <a:noFill/>
                          <a:ln>
                            <a:noFill/>
                          </a:ln>
                        </pic:spPr>
                      </pic:pic>
                    </a:graphicData>
                  </a:graphic>
                </wp:inline>
              </w:drawing>
            </w:r>
          </w:p>
        </w:tc>
      </w:tr>
    </w:tbl>
    <w:p w14:paraId="56B7667A" w14:textId="77777777" w:rsidR="001F1CD1" w:rsidRDefault="001F1CD1" w:rsidP="001F1CD1"/>
    <w:p w14:paraId="6D4226EC" w14:textId="2AA9D407" w:rsidR="00D15F3E" w:rsidRDefault="00D15F3E" w:rsidP="005F1FBD"/>
    <w:p w14:paraId="0BEE05DD" w14:textId="77777777" w:rsidR="00D15F3E" w:rsidRDefault="00D15F3E" w:rsidP="005F1FBD">
      <w:pPr>
        <w:sectPr w:rsidR="00D15F3E" w:rsidSect="001F1CD1">
          <w:pgSz w:w="15840" w:h="12240" w:orient="landscape"/>
          <w:pgMar w:top="1440" w:right="1440" w:bottom="1440" w:left="1440" w:header="720" w:footer="720" w:gutter="0"/>
          <w:cols w:space="720"/>
          <w:docGrid w:linePitch="360"/>
        </w:sectPr>
      </w:pPr>
    </w:p>
    <w:p w14:paraId="5B1214EC" w14:textId="5665B078" w:rsidR="00FB5789" w:rsidRDefault="00FB5789" w:rsidP="00451318">
      <w:pPr>
        <w:pStyle w:val="Heading1"/>
      </w:pPr>
      <w:bookmarkStart w:id="58" w:name="_Toc145259462"/>
      <w:bookmarkStart w:id="59" w:name="_Toc145761470"/>
      <w:bookmarkStart w:id="60" w:name="_Toc145259463"/>
      <w:bookmarkStart w:id="61" w:name="_Toc145761471"/>
      <w:bookmarkStart w:id="62" w:name="_Toc145259464"/>
      <w:bookmarkStart w:id="63" w:name="_Toc145761472"/>
      <w:bookmarkStart w:id="64" w:name="_Toc145259465"/>
      <w:bookmarkStart w:id="65" w:name="_Toc145761473"/>
      <w:bookmarkStart w:id="66" w:name="_Toc145761475"/>
      <w:bookmarkEnd w:id="58"/>
      <w:bookmarkEnd w:id="59"/>
      <w:bookmarkEnd w:id="60"/>
      <w:bookmarkEnd w:id="61"/>
      <w:bookmarkEnd w:id="62"/>
      <w:bookmarkEnd w:id="63"/>
      <w:bookmarkEnd w:id="64"/>
      <w:bookmarkEnd w:id="65"/>
      <w:r>
        <w:lastRenderedPageBreak/>
        <w:t>Conc</w:t>
      </w:r>
      <w:r w:rsidR="00895492">
        <w:t>l</w:t>
      </w:r>
      <w:r>
        <w:t>u</w:t>
      </w:r>
      <w:r w:rsidR="00AB50A2">
        <w:t>ding remarks</w:t>
      </w:r>
      <w:bookmarkEnd w:id="66"/>
    </w:p>
    <w:p w14:paraId="2BBBCFEE" w14:textId="77777777" w:rsidR="001C6E26" w:rsidRPr="001C6E26" w:rsidRDefault="001C6E26" w:rsidP="001C6E26"/>
    <w:p w14:paraId="0300E27F" w14:textId="2542634B" w:rsidR="00BB01AF" w:rsidRDefault="0061354F" w:rsidP="00BB01AF">
      <w:r>
        <w:t>Based on</w:t>
      </w:r>
      <w:r w:rsidR="00BB01AF">
        <w:t xml:space="preserve"> network analysis</w:t>
      </w:r>
      <w:r>
        <w:t xml:space="preserve">, </w:t>
      </w:r>
      <w:r w:rsidR="005C32E8">
        <w:t>this paper</w:t>
      </w:r>
      <w:r w:rsidR="00BB01AF">
        <w:t xml:space="preserve"> </w:t>
      </w:r>
      <w:r w:rsidR="005C32E8">
        <w:t>studied</w:t>
      </w:r>
      <w:r w:rsidR="00BB01AF">
        <w:t xml:space="preserve"> the evolution of multiple dimensions of resilience </w:t>
      </w:r>
      <w:r w:rsidR="005C32E8">
        <w:t xml:space="preserve">in </w:t>
      </w:r>
      <w:r w:rsidR="00BB01AF">
        <w:t>the agricultur</w:t>
      </w:r>
      <w:r w:rsidR="005C32E8">
        <w:t>al</w:t>
      </w:r>
      <w:r w:rsidR="00BB01AF">
        <w:t xml:space="preserve"> and food trade network</w:t>
      </w:r>
      <w:r w:rsidR="005B3501">
        <w:t xml:space="preserve">. </w:t>
      </w:r>
      <w:r w:rsidR="00710196">
        <w:t xml:space="preserve"> </w:t>
      </w:r>
      <w:r w:rsidR="00BB01AF">
        <w:t>During the period 1995</w:t>
      </w:r>
      <w:r w:rsidR="00DA4A47">
        <w:t>-</w:t>
      </w:r>
      <w:r w:rsidR="00BB01AF">
        <w:t>2007, food and agricultural trade experienced rapid development in terms of establishment of direct trade link</w:t>
      </w:r>
      <w:r w:rsidR="00DA4A47">
        <w:t>s</w:t>
      </w:r>
      <w:r w:rsidR="00BB01AF">
        <w:t xml:space="preserve"> by country, by country and produ</w:t>
      </w:r>
      <w:r w:rsidR="00DA4A47">
        <w:t>c</w:t>
      </w:r>
      <w:r w:rsidR="00BB01AF">
        <w:t xml:space="preserve">t and trade intensity, leading to improved </w:t>
      </w:r>
      <w:r w:rsidR="00751E15">
        <w:t xml:space="preserve">connectivity of countries to the </w:t>
      </w:r>
      <w:r w:rsidR="00BB01AF">
        <w:t>global market</w:t>
      </w:r>
      <w:r w:rsidR="002227D6">
        <w:t xml:space="preserve">. </w:t>
      </w:r>
      <w:r w:rsidR="00751E15">
        <w:t>H</w:t>
      </w:r>
      <w:r w:rsidR="00BB01AF">
        <w:t xml:space="preserve">owever, </w:t>
      </w:r>
      <w:r w:rsidR="001026F3">
        <w:t>together with a slow</w:t>
      </w:r>
      <w:r w:rsidR="004960A6">
        <w:t xml:space="preserve">down in overall economic growth, </w:t>
      </w:r>
      <w:r w:rsidR="00FB4D70">
        <w:t xml:space="preserve">progress </w:t>
      </w:r>
      <w:r w:rsidR="004960A6">
        <w:t xml:space="preserve">in food and agricultural trade connectivity </w:t>
      </w:r>
      <w:r w:rsidR="00BB01AF">
        <w:t xml:space="preserve">has been relatively limited since </w:t>
      </w:r>
      <w:r w:rsidR="00FB4D70">
        <w:t>2007</w:t>
      </w:r>
      <w:r w:rsidR="00BB01AF">
        <w:t xml:space="preserve">. The distribution of connectivity among trade partners </w:t>
      </w:r>
      <w:r w:rsidR="007E6AC3">
        <w:t xml:space="preserve">even </w:t>
      </w:r>
      <w:r w:rsidR="00BB01AF">
        <w:t xml:space="preserve">indicates a reversal of the trend towards a more balanced trade network between 2013 and 2019, which could potentially compromise resilience if this trend persists. </w:t>
      </w:r>
      <w:r w:rsidR="00150F8A">
        <w:t>Overall,</w:t>
      </w:r>
      <w:r w:rsidR="00BB01AF">
        <w:t xml:space="preserve"> the resilience of the </w:t>
      </w:r>
      <w:r w:rsidR="00150F8A">
        <w:t xml:space="preserve">trade </w:t>
      </w:r>
      <w:r w:rsidR="00BB01AF">
        <w:t>network in terms of short</w:t>
      </w:r>
      <w:r w:rsidR="00150F8A">
        <w:t>-</w:t>
      </w:r>
      <w:r w:rsidR="00BB01AF">
        <w:t>term response to the sho</w:t>
      </w:r>
      <w:r w:rsidR="00150F8A">
        <w:t>c</w:t>
      </w:r>
      <w:r w:rsidR="00BB01AF">
        <w:t xml:space="preserve">ks </w:t>
      </w:r>
      <w:r w:rsidR="00150F8A">
        <w:t xml:space="preserve">appears to have increased </w:t>
      </w:r>
      <w:r w:rsidR="00BB01AF">
        <w:t xml:space="preserve">between 1995 and 2007, with </w:t>
      </w:r>
      <w:r w:rsidR="00373A73">
        <w:t xml:space="preserve">limited </w:t>
      </w:r>
      <w:r w:rsidR="00BB01AF">
        <w:t xml:space="preserve">progress </w:t>
      </w:r>
      <w:r w:rsidR="00373A73">
        <w:t xml:space="preserve">ever </w:t>
      </w:r>
      <w:r w:rsidR="00BB01AF">
        <w:t>since.</w:t>
      </w:r>
    </w:p>
    <w:p w14:paraId="53FDC3B4" w14:textId="5615CEAD" w:rsidR="00BB01AF" w:rsidRDefault="00BB01AF" w:rsidP="00BB01AF">
      <w:r>
        <w:t>Similar patterns to those observed for direct connectivity are found for indirect connectivity, measured as second-order and eigenvector connectivity</w:t>
      </w:r>
      <w:r w:rsidR="00BF2CA6">
        <w:t xml:space="preserve">, </w:t>
      </w:r>
      <w:r w:rsidR="00122ADF">
        <w:t>and thus for</w:t>
      </w:r>
      <w:r w:rsidR="00464CF4">
        <w:t xml:space="preserve"> the longer-term resilience of the trade network. </w:t>
      </w:r>
      <w:r w:rsidR="005D531B">
        <w:t>Moreover,</w:t>
      </w:r>
      <w:r>
        <w:t xml:space="preserve"> the distribution</w:t>
      </w:r>
      <w:r w:rsidR="00BF2CA6">
        <w:t>s</w:t>
      </w:r>
      <w:r>
        <w:t xml:space="preserve"> of indirect connectivity measures </w:t>
      </w:r>
      <w:r w:rsidR="00BF2CA6">
        <w:t xml:space="preserve">by </w:t>
      </w:r>
      <w:r>
        <w:t xml:space="preserve">trade links by country, country and product, and trade intensity </w:t>
      </w:r>
      <w:r w:rsidR="00BF2CA6">
        <w:t xml:space="preserve">are </w:t>
      </w:r>
      <w:r>
        <w:t xml:space="preserve">less skewed than their </w:t>
      </w:r>
      <w:r w:rsidR="00BF2CA6">
        <w:t xml:space="preserve">counterparts for </w:t>
      </w:r>
      <w:r>
        <w:t>direct connectivity</w:t>
      </w:r>
      <w:r w:rsidR="00771DD3">
        <w:t xml:space="preserve"> suggesting that</w:t>
      </w:r>
      <w:r>
        <w:t xml:space="preserve"> </w:t>
      </w:r>
      <w:r w:rsidR="00771DD3">
        <w:t>t</w:t>
      </w:r>
      <w:r>
        <w:t>he indirect connectivity of marginal countries could help reduce their vulnerability to shocks in the system.</w:t>
      </w:r>
    </w:p>
    <w:p w14:paraId="4949B89E" w14:textId="7B22924D" w:rsidR="00BB01AF" w:rsidRDefault="00BB01AF" w:rsidP="00BB01AF">
      <w:r>
        <w:t xml:space="preserve">Between 1995 and 2007, countries also developed closer ties at both the micro and intermediate levels. The share of two-way bilateral trade relationships increased compared to one-way trade relationships. Furthermore, trade between countries forming triads became more interconnected. </w:t>
      </w:r>
      <w:commentRangeStart w:id="67"/>
      <w:r>
        <w:t>These findings suggest that initial shocks to the trade system have a higher potential for propagation within localized areas due to increased interconnectedness.</w:t>
      </w:r>
      <w:commentRangeEnd w:id="67"/>
      <w:r w:rsidR="00B1011C">
        <w:rPr>
          <w:rStyle w:val="CommentReference"/>
        </w:rPr>
        <w:commentReference w:id="67"/>
      </w:r>
      <w:r>
        <w:t xml:space="preserve"> </w:t>
      </w:r>
    </w:p>
    <w:p w14:paraId="2C3C6948" w14:textId="6F80A543" w:rsidR="00BB01AF" w:rsidRDefault="00BB01AF" w:rsidP="00BB01AF">
      <w:r>
        <w:t>With more, though less dominant, trade hubs, there was a change to a more balanced structure, characterized by smaller core-periphery sub-networks. Emerging economies played a significant role in linking smaller and less-connected countries to the global market. Despite the emergence of new players and a more equitable distribution of connectivity worldwide, a small number of countries still accounted for a significant share of trade links and values pointing that vulnerabilities and dependencies persisted, particularly concerning specific product</w:t>
      </w:r>
      <w:r w:rsidR="00346884">
        <w:t>s</w:t>
      </w:r>
      <w:r>
        <w:t xml:space="preserve">. </w:t>
      </w:r>
    </w:p>
    <w:p w14:paraId="249FA781" w14:textId="77777777" w:rsidR="00BB01AF" w:rsidRDefault="00BB01AF" w:rsidP="00BB01AF">
      <w:r>
        <w:t xml:space="preserve">Diversifying trade partners and imported products should be pursued to enhance resilience against shocks in domestic production and international trade. While pursuing regional trade integration, countries should proactively engage in multilateral negotiations to address the global dimensions and issues of food and agricultural trade. Recent developments raise concerns about the fragmentation of global food and agricultural trade and reduced network resilience to shocks, posing risks to countries' food security and dietary diversity. Fragmentation into regional trading blocs may hinder countries from fully benefiting from trade gains and lead to less efficient outcomes in terms of production allocation and resource utilization. While regional trade agreements contribute to economic growth and regional value chains, deeper provisions in these agreements can address specific trade-offs between economic, environmental, and social interests. However, they cannot replace multilateral negotiations and approaches. Strengthening multilateralism is crucial to counteract emerging vulnerabilities in the food and agricultural trade network and ensure fairness and inclusivity in the global trading system. Deeper multilateral </w:t>
      </w:r>
      <w:r>
        <w:lastRenderedPageBreak/>
        <w:t>cooperation is also necessary to tackle global environmental externalities like greenhouse gas emissions.</w:t>
      </w:r>
    </w:p>
    <w:p w14:paraId="1BE9CA1F" w14:textId="77777777" w:rsidR="00BB01AF" w:rsidRDefault="00BB01AF" w:rsidP="00BB01AF">
      <w:r>
        <w:t xml:space="preserve">Further research could delve into the role of regional trade agreements and regional trade integration in multilateral processes. This could involve exploring the characteristics of regional trade clusters and modeling their interactions within the multi-layered system. Such analysis would provide insights into the impact of geopolitical shifts on the global food and agricultural trade network and elucidate the effects of comprehensive trade agreements on global trade integration, particularly the risks associated with excluding countries from the integration process. </w:t>
      </w:r>
    </w:p>
    <w:p w14:paraId="64364FD4" w14:textId="72FBBAF6" w:rsidR="00451318" w:rsidRDefault="00BB01AF" w:rsidP="00BB01AF">
      <w:r>
        <w:t>The multidimensionality of resilience also implies that there are trade-offs regarding the connectivity of countries to the trade network, and this trade-off depends on both the level of connectivity and the structure of connectivity. Analyzing the resilience of the food network analytically without a comprehensive resilience index is not straightforward. Future studies should consider the development of a resilience index that simultaneously takes into account both connectivity and the structure of connectivity. Relying on scale-free measures that summarize the distribution of connectivity among countries in the trade network may be a promising approach.</w:t>
      </w:r>
    </w:p>
    <w:p w14:paraId="59D9A638" w14:textId="7A811139" w:rsidR="0060464F" w:rsidRDefault="0060464F" w:rsidP="00BB01AF">
      <w:r>
        <w:fldChar w:fldCharType="begin"/>
      </w:r>
      <w:r>
        <w:instrText xml:space="preserve"> ADDIN ZOTERO_ITEM CSL_CITATION {"citationID":"L7FFmeSo","properties":{"formattedCitation":"(Vidya, Prabheesh and Sirowa, 2020)","plainCitation":"(Vidya, Prabheesh and Sirowa, 2020)","noteIndex":0},"citationItems":[{"id":87,"uris":["http://zotero.org/users/12902950/items/KPH8QZK4"],"itemData":{"id":87,"type":"article-journal","abstract":"The present paper empirically analyzes the structural change in world trade over the last two decades by examining trade integration, leadership, and regionalization through a network model. We selected 50 countries encompassing both developed and developing nations and grouped them into 9 regions for 1990, 1992, 2000, 2010, and 2017. We have undertaken two principal analyses: (i) trade intensity indices and regionalization and (ii) linking trade intensity with network analysis. Therefore, this paper reaches a trade-off condition. The major findings of the study are as follows: (i) regional integration is stronger and has increased over the years; (ii) trade regionalization is primarily dominated by developed regions; (iii) trade liberalization has reduced the gap between the center and periphery; (iv) emerging Asian economies have developed as leaders and export hubs of goods in the global market; (v) trade liberalization has transformed and reshaped the world trade structure; and (vi) trade liberalization has not driven the lessening geodesic distance and transport costs from trade, and thus, there are no major gains for many countries.","container-title":"Journal of Economic Integration","ISSN":"1225-651X","issue":"1","note":"number: 1\npublisher: Center for Economic Integration, Sejong University","page":"10-38","source":"JSTOR","title":"Is Trade Integration Leading to Regionalization? Evidence from Cross-Country Network Analysis","title-short":"Is Trade Integration Leading to Regionalization?","volume":"35","author":[{"family":"Vidya","given":"C.T."},{"family":"Prabheesh","given":"K.P."},{"family":"Sirowa","given":"Saahil"}],"issued":{"date-parts":[["2020"]]}}}],"schema":"https://github.com/citation-style-language/schema/raw/master/csl-citation.json"} </w:instrText>
      </w:r>
      <w:r>
        <w:fldChar w:fldCharType="separate"/>
      </w:r>
      <w:r w:rsidRPr="0060464F">
        <w:t>(Vidya, Prabheesh and Sirowa, 2020)</w:t>
      </w:r>
      <w:r>
        <w:fldChar w:fldCharType="end"/>
      </w:r>
    </w:p>
    <w:p w14:paraId="45C38DF6" w14:textId="77777777" w:rsidR="005F1FBD" w:rsidRPr="005F1FBD" w:rsidRDefault="005F1FBD" w:rsidP="005F1FBD"/>
    <w:p w14:paraId="05F29FBA" w14:textId="00CD59BE" w:rsidR="00A5192E" w:rsidRDefault="007E1991" w:rsidP="007E1991">
      <w:pPr>
        <w:pStyle w:val="Heading1"/>
        <w:numPr>
          <w:ilvl w:val="0"/>
          <w:numId w:val="0"/>
        </w:numPr>
        <w:ind w:left="432" w:hanging="432"/>
      </w:pPr>
      <w:bookmarkStart w:id="68" w:name="_Toc145761476"/>
      <w:r>
        <w:t>Appendix</w:t>
      </w:r>
      <w:bookmarkEnd w:id="68"/>
    </w:p>
    <w:p w14:paraId="0B27834B" w14:textId="77777777" w:rsidR="001C6E26" w:rsidRPr="001C6E26" w:rsidRDefault="001C6E26" w:rsidP="001C6E26"/>
    <w:p w14:paraId="0D2E24B9" w14:textId="162FD937" w:rsidR="007E1991" w:rsidRDefault="007E1991" w:rsidP="007E1991">
      <w:pPr>
        <w:pStyle w:val="Caption"/>
        <w:keepNext/>
      </w:pPr>
      <w:bookmarkStart w:id="69" w:name="_Ref104909471"/>
      <w:r>
        <w:t xml:space="preserve">Table </w:t>
      </w:r>
      <w:r>
        <w:rPr>
          <w:noProof/>
        </w:rPr>
        <w:fldChar w:fldCharType="begin"/>
      </w:r>
      <w:r>
        <w:rPr>
          <w:noProof/>
        </w:rPr>
        <w:instrText xml:space="preserve"> SEQ Table \* ARABIC </w:instrText>
      </w:r>
      <w:r>
        <w:rPr>
          <w:noProof/>
        </w:rPr>
        <w:fldChar w:fldCharType="separate"/>
      </w:r>
      <w:r w:rsidR="00EC50BF">
        <w:rPr>
          <w:noProof/>
        </w:rPr>
        <w:t>3</w:t>
      </w:r>
      <w:r>
        <w:rPr>
          <w:noProof/>
        </w:rPr>
        <w:fldChar w:fldCharType="end"/>
      </w:r>
      <w:bookmarkEnd w:id="69"/>
      <w:r>
        <w:rPr>
          <w:noProof/>
        </w:rPr>
        <w:t>.</w:t>
      </w:r>
      <w:r>
        <w:t xml:space="preserve"> Global connectivity measures from different perspectives of the food and agricultural trade network</w:t>
      </w:r>
    </w:p>
    <w:p w14:paraId="3E437CA3" w14:textId="77777777" w:rsidR="007E1991" w:rsidRPr="00E1152A" w:rsidRDefault="007E1991" w:rsidP="007E1991">
      <w:pPr>
        <w:spacing w:after="0"/>
      </w:pPr>
      <w:r w:rsidRPr="00BB316D">
        <w:rPr>
          <w:noProof/>
          <w:lang w:val="de-DE" w:eastAsia="de-DE"/>
        </w:rPr>
        <w:drawing>
          <wp:inline distT="0" distB="0" distL="0" distR="0" wp14:anchorId="398C732E" wp14:editId="5C2B8C11">
            <wp:extent cx="5703683" cy="971519"/>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77011" cy="1001042"/>
                    </a:xfrm>
                    <a:prstGeom prst="rect">
                      <a:avLst/>
                    </a:prstGeom>
                    <a:noFill/>
                    <a:ln>
                      <a:noFill/>
                    </a:ln>
                  </pic:spPr>
                </pic:pic>
              </a:graphicData>
            </a:graphic>
          </wp:inline>
        </w:drawing>
      </w:r>
    </w:p>
    <w:p w14:paraId="3E11523B" w14:textId="77777777" w:rsidR="007E1991" w:rsidRPr="000B0480" w:rsidRDefault="007E1991" w:rsidP="007E1991">
      <w:pPr>
        <w:pStyle w:val="Source"/>
        <w:rPr>
          <w:bCs/>
        </w:rPr>
      </w:pPr>
      <w:r w:rsidRPr="000B0480">
        <w:t>Note: Global connectivity measures are the arithmetic average of the country indicators</w:t>
      </w:r>
      <w:r>
        <w:t xml:space="preserve">. </w:t>
      </w:r>
    </w:p>
    <w:p w14:paraId="6C3D67FC" w14:textId="18B426AF" w:rsidR="00A5192E" w:rsidRDefault="00A5192E" w:rsidP="00695538"/>
    <w:p w14:paraId="471BB9FD" w14:textId="77777777" w:rsidR="000D430D" w:rsidRDefault="000D430D" w:rsidP="000D430D">
      <w:r w:rsidRPr="00C20834">
        <w:rPr>
          <w:noProof/>
          <w:lang w:val="de-DE" w:eastAsia="de-DE"/>
        </w:rPr>
        <w:drawing>
          <wp:inline distT="0" distB="0" distL="0" distR="0" wp14:anchorId="0DBAF2FC" wp14:editId="58085961">
            <wp:extent cx="5943600" cy="19189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1918970"/>
                    </a:xfrm>
                    <a:prstGeom prst="rect">
                      <a:avLst/>
                    </a:prstGeom>
                    <a:noFill/>
                    <a:ln>
                      <a:noFill/>
                    </a:ln>
                  </pic:spPr>
                </pic:pic>
              </a:graphicData>
            </a:graphic>
          </wp:inline>
        </w:drawing>
      </w:r>
    </w:p>
    <w:p w14:paraId="523CC96F" w14:textId="01089A91" w:rsidR="000D430D" w:rsidRDefault="000D430D" w:rsidP="00695538"/>
    <w:p w14:paraId="421E6E17" w14:textId="5732A64A" w:rsidR="000D430D" w:rsidRDefault="000D430D" w:rsidP="00695538"/>
    <w:p w14:paraId="4D224371" w14:textId="77777777" w:rsidR="000D430D" w:rsidRDefault="000D430D" w:rsidP="00695538"/>
    <w:p w14:paraId="1F8536FC" w14:textId="3744094D" w:rsidR="006F050C" w:rsidRDefault="006F050C" w:rsidP="006F050C">
      <w:pPr>
        <w:pStyle w:val="Caption"/>
        <w:keepNext/>
        <w:jc w:val="both"/>
      </w:pPr>
      <w:bookmarkStart w:id="70" w:name="_Ref110240439"/>
      <w:r>
        <w:t xml:space="preserve">Figure A </w:t>
      </w:r>
      <w:r>
        <w:rPr>
          <w:noProof/>
        </w:rPr>
        <w:fldChar w:fldCharType="begin"/>
      </w:r>
      <w:r>
        <w:rPr>
          <w:noProof/>
        </w:rPr>
        <w:instrText xml:space="preserve"> SEQ Figure_A \* ARABIC </w:instrText>
      </w:r>
      <w:r>
        <w:rPr>
          <w:noProof/>
        </w:rPr>
        <w:fldChar w:fldCharType="separate"/>
      </w:r>
      <w:r w:rsidR="00EC50BF">
        <w:rPr>
          <w:noProof/>
        </w:rPr>
        <w:t>1</w:t>
      </w:r>
      <w:r>
        <w:rPr>
          <w:noProof/>
        </w:rPr>
        <w:fldChar w:fldCharType="end"/>
      </w:r>
      <w:bookmarkEnd w:id="70"/>
      <w:r>
        <w:rPr>
          <w:noProof/>
        </w:rPr>
        <w:t>.</w:t>
      </w:r>
      <w:r>
        <w:t xml:space="preserve"> Triad isomorphism classes (following James Moody)</w:t>
      </w:r>
    </w:p>
    <w:p w14:paraId="549B3564" w14:textId="77777777" w:rsidR="006F050C" w:rsidRPr="00CC5645" w:rsidRDefault="006F050C" w:rsidP="006F050C">
      <w:pPr>
        <w:spacing w:after="0"/>
        <w:jc w:val="both"/>
        <w:rPr>
          <w:rFonts w:cs="Times New Roman"/>
          <w:color w:val="000000" w:themeColor="text1"/>
          <w:szCs w:val="24"/>
          <w:lang w:val="en-GB"/>
        </w:rPr>
      </w:pPr>
      <w:r w:rsidRPr="00CC5645">
        <w:rPr>
          <w:rFonts w:cs="Times New Roman"/>
          <w:noProof/>
          <w:color w:val="000000" w:themeColor="text1"/>
          <w:szCs w:val="24"/>
          <w:lang w:val="de-DE" w:eastAsia="de-DE"/>
        </w:rPr>
        <w:drawing>
          <wp:inline distT="0" distB="0" distL="0" distR="0" wp14:anchorId="525AAC50" wp14:editId="7B915200">
            <wp:extent cx="4962525" cy="3129149"/>
            <wp:effectExtent l="0" t="0" r="0"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31"/>
                    <a:stretch>
                      <a:fillRect/>
                    </a:stretch>
                  </pic:blipFill>
                  <pic:spPr>
                    <a:xfrm>
                      <a:off x="0" y="0"/>
                      <a:ext cx="4969328" cy="3133439"/>
                    </a:xfrm>
                    <a:prstGeom prst="rect">
                      <a:avLst/>
                    </a:prstGeom>
                  </pic:spPr>
                </pic:pic>
              </a:graphicData>
            </a:graphic>
          </wp:inline>
        </w:drawing>
      </w:r>
    </w:p>
    <w:p w14:paraId="615C20FB" w14:textId="77777777" w:rsidR="006F050C" w:rsidRDefault="006F050C" w:rsidP="006F050C">
      <w:pPr>
        <w:pStyle w:val="Source"/>
      </w:pPr>
      <w:r w:rsidRPr="00AD3937">
        <w:rPr>
          <w:rStyle w:val="SourceChar"/>
        </w:rPr>
        <w:t xml:space="preserve">Note: </w:t>
      </w:r>
      <w:r>
        <w:rPr>
          <w:rStyle w:val="SourceChar"/>
        </w:rPr>
        <w:t xml:space="preserve">In a triad, countries can be related in sixteen different </w:t>
      </w:r>
      <w:r w:rsidRPr="00AD3937">
        <w:rPr>
          <w:rStyle w:val="SourceChar"/>
        </w:rPr>
        <w:t xml:space="preserve">types. </w:t>
      </w:r>
      <w:r>
        <w:rPr>
          <w:rStyle w:val="SourceChar"/>
        </w:rPr>
        <w:t>Thirteen</w:t>
      </w:r>
      <w:r w:rsidRPr="00AD3937">
        <w:rPr>
          <w:rStyle w:val="SourceChar"/>
        </w:rPr>
        <w:t xml:space="preserve"> types of triads indicate some </w:t>
      </w:r>
      <w:r>
        <w:rPr>
          <w:rStyle w:val="SourceChar"/>
        </w:rPr>
        <w:t>form</w:t>
      </w:r>
      <w:r w:rsidRPr="00AD3937">
        <w:rPr>
          <w:rStyle w:val="SourceChar"/>
        </w:rPr>
        <w:t xml:space="preserve"> of connection </w:t>
      </w:r>
      <w:r>
        <w:rPr>
          <w:rStyle w:val="SourceChar"/>
        </w:rPr>
        <w:t>among</w:t>
      </w:r>
      <w:r w:rsidRPr="00AD3937">
        <w:rPr>
          <w:rStyle w:val="SourceChar"/>
        </w:rPr>
        <w:t xml:space="preserve"> the three actors, which means 13 different motifs are observed. Each type is label</w:t>
      </w:r>
      <w:r>
        <w:rPr>
          <w:rStyle w:val="SourceChar"/>
        </w:rPr>
        <w:t>l</w:t>
      </w:r>
      <w:r w:rsidRPr="00AD3937">
        <w:rPr>
          <w:rStyle w:val="SourceChar"/>
        </w:rPr>
        <w:t xml:space="preserve">ed </w:t>
      </w:r>
      <w:r>
        <w:rPr>
          <w:rStyle w:val="SourceChar"/>
        </w:rPr>
        <w:t>according to the</w:t>
      </w:r>
      <w:r w:rsidRPr="00AD3937">
        <w:rPr>
          <w:rStyle w:val="SourceChar"/>
        </w:rPr>
        <w:t xml:space="preserve"> three digits MAN scheme. The first digit shows the</w:t>
      </w:r>
      <w:r w:rsidRPr="0054525C">
        <w:t xml:space="preserve"> </w:t>
      </w:r>
      <w:r w:rsidRPr="00AD3937">
        <w:rPr>
          <w:rStyle w:val="SourceChar"/>
        </w:rPr>
        <w:t xml:space="preserve">number of observed </w:t>
      </w:r>
      <w:r>
        <w:rPr>
          <w:rStyle w:val="SourceChar"/>
        </w:rPr>
        <w:t>m</w:t>
      </w:r>
      <w:r w:rsidRPr="00AD3937">
        <w:rPr>
          <w:rStyle w:val="SourceChar"/>
        </w:rPr>
        <w:t>utual (M) trade</w:t>
      </w:r>
      <w:r w:rsidRPr="0054525C">
        <w:t xml:space="preserve"> relationships, the second digit shows the number of observed symmetric (A) trade relationships and the third one shows the number of </w:t>
      </w:r>
      <w:r>
        <w:t>n</w:t>
      </w:r>
      <w:r w:rsidRPr="0054525C">
        <w:t>ull (N) trade relationships. If two triad types have an equivalent number of dyads, the fourth digit is used to distinguish the triads further based on edge directions (U: up and D: down), cyclicity (C: cyclic), and transitivity (T: transitive).</w:t>
      </w:r>
      <w:r w:rsidRPr="0060464F">
        <w:rPr>
          <w:rStyle w:val="FootnoteReference"/>
        </w:rPr>
        <w:footnoteReference w:id="7"/>
      </w:r>
      <w:r w:rsidRPr="0054525C">
        <w:t xml:space="preserve"> </w:t>
      </w:r>
    </w:p>
    <w:p w14:paraId="266A2D5A" w14:textId="77777777" w:rsidR="006F050C" w:rsidRDefault="006F050C" w:rsidP="006F050C">
      <w:pPr>
        <w:pStyle w:val="Source"/>
      </w:pPr>
      <w:r w:rsidRPr="00115FB4">
        <w:t>Source: Moody, J. Introduction to networks: Methods and measures. Duke Network Analysis Center, Department of Sociology.</w:t>
      </w:r>
      <w:r>
        <w:t xml:space="preserve"> </w:t>
      </w:r>
    </w:p>
    <w:p w14:paraId="26AADC97" w14:textId="77777777" w:rsidR="002227D6" w:rsidRDefault="002227D6" w:rsidP="006F050C">
      <w:pPr>
        <w:pStyle w:val="Source"/>
      </w:pPr>
    </w:p>
    <w:p w14:paraId="1EF6BE6C" w14:textId="77777777" w:rsidR="001C6E26" w:rsidRDefault="001C6E26" w:rsidP="006F050C">
      <w:pPr>
        <w:pStyle w:val="Source"/>
      </w:pPr>
    </w:p>
    <w:p w14:paraId="7CF3A01A" w14:textId="77777777" w:rsidR="001C6E26" w:rsidRDefault="001C6E26" w:rsidP="006F050C">
      <w:pPr>
        <w:pStyle w:val="Source"/>
      </w:pPr>
    </w:p>
    <w:p w14:paraId="48CC98C7" w14:textId="77777777" w:rsidR="001C6E26" w:rsidRDefault="001C6E26" w:rsidP="006F050C">
      <w:pPr>
        <w:pStyle w:val="Source"/>
      </w:pPr>
    </w:p>
    <w:p w14:paraId="6D34CFAA" w14:textId="77777777" w:rsidR="001C6E26" w:rsidRDefault="001C6E26" w:rsidP="006F050C">
      <w:pPr>
        <w:pStyle w:val="Source"/>
      </w:pPr>
    </w:p>
    <w:p w14:paraId="5ACCE6B7" w14:textId="77777777" w:rsidR="001C6E26" w:rsidRDefault="001C6E26" w:rsidP="006F050C">
      <w:pPr>
        <w:pStyle w:val="Source"/>
      </w:pPr>
    </w:p>
    <w:p w14:paraId="20C6DD31" w14:textId="77777777" w:rsidR="001C6E26" w:rsidRDefault="001C6E26" w:rsidP="006F050C">
      <w:pPr>
        <w:pStyle w:val="Source"/>
      </w:pPr>
    </w:p>
    <w:p w14:paraId="5E4D8DF0" w14:textId="77777777" w:rsidR="001C6E26" w:rsidRDefault="001C6E26" w:rsidP="006F050C">
      <w:pPr>
        <w:pStyle w:val="Source"/>
      </w:pPr>
    </w:p>
    <w:p w14:paraId="3A33FB8F" w14:textId="57BB10F7" w:rsidR="001C6E26" w:rsidRDefault="001C6E26" w:rsidP="006F050C">
      <w:pPr>
        <w:pStyle w:val="Source"/>
        <w:rPr>
          <w:sz w:val="32"/>
          <w:szCs w:val="32"/>
        </w:rPr>
      </w:pPr>
      <w:r w:rsidRPr="001C6E26">
        <w:rPr>
          <w:sz w:val="32"/>
          <w:szCs w:val="32"/>
        </w:rPr>
        <w:t>R</w:t>
      </w:r>
      <w:r>
        <w:rPr>
          <w:sz w:val="32"/>
          <w:szCs w:val="32"/>
        </w:rPr>
        <w:t>eferences</w:t>
      </w:r>
      <w:r w:rsidRPr="001C6E26">
        <w:rPr>
          <w:sz w:val="32"/>
          <w:szCs w:val="32"/>
        </w:rPr>
        <w:t xml:space="preserve"> :</w:t>
      </w:r>
    </w:p>
    <w:p w14:paraId="51C8B42C" w14:textId="77777777" w:rsidR="001C6E26" w:rsidRDefault="001C6E26" w:rsidP="006F050C">
      <w:pPr>
        <w:pStyle w:val="Source"/>
        <w:rPr>
          <w:sz w:val="32"/>
          <w:szCs w:val="32"/>
        </w:rPr>
      </w:pPr>
    </w:p>
    <w:p w14:paraId="78C4F2C9" w14:textId="77777777" w:rsidR="0060464F" w:rsidRPr="0060464F" w:rsidRDefault="001C6E26" w:rsidP="0060464F">
      <w:pPr>
        <w:pStyle w:val="Bibliography"/>
      </w:pPr>
      <w:r w:rsidRPr="001C6E26">
        <w:fldChar w:fldCharType="begin"/>
      </w:r>
      <w:r w:rsidRPr="001C6E26">
        <w:instrText xml:space="preserve"> ADDIN ZOTERO_BIBL {"uncited":[],"omitted":[],"custom":[]} CSL_BIBLIOGRAPHY </w:instrText>
      </w:r>
      <w:r w:rsidRPr="001C6E26">
        <w:fldChar w:fldCharType="separate"/>
      </w:r>
      <w:r w:rsidR="0060464F" w:rsidRPr="0060464F">
        <w:rPr>
          <w:b/>
          <w:bCs/>
        </w:rPr>
        <w:t>Acemoglu, D., Carvalho, V.M., Ozdaglar, A. &amp; Tahbaz-Salehi, A.</w:t>
      </w:r>
      <w:r w:rsidR="0060464F" w:rsidRPr="0060464F">
        <w:t xml:space="preserve"> 2012a. The Network Origins of Aggregate Fluctuations. </w:t>
      </w:r>
      <w:r w:rsidR="0060464F" w:rsidRPr="0060464F">
        <w:rPr>
          <w:i/>
          <w:iCs/>
        </w:rPr>
        <w:t>Econometrica</w:t>
      </w:r>
      <w:r w:rsidR="0060464F" w:rsidRPr="0060464F">
        <w:t>, 80(5): 1977–2016. https://doi.org/10.3982/ECTA9623</w:t>
      </w:r>
    </w:p>
    <w:p w14:paraId="36A2F884" w14:textId="77777777" w:rsidR="0060464F" w:rsidRPr="0060464F" w:rsidRDefault="0060464F" w:rsidP="0060464F">
      <w:pPr>
        <w:pStyle w:val="Bibliography"/>
      </w:pPr>
      <w:r w:rsidRPr="0060464F">
        <w:rPr>
          <w:b/>
          <w:bCs/>
        </w:rPr>
        <w:t>Acemoglu, D., Carvalho, V.M., Ozdaglar, A. &amp; Tahbaz-Salehi, A.</w:t>
      </w:r>
      <w:r w:rsidRPr="0060464F">
        <w:t xml:space="preserve"> 2012b. The Network Origins of Aggregate Fluctuations. </w:t>
      </w:r>
      <w:r w:rsidRPr="0060464F">
        <w:rPr>
          <w:i/>
          <w:iCs/>
        </w:rPr>
        <w:t>Econometrica</w:t>
      </w:r>
      <w:r w:rsidRPr="0060464F">
        <w:t>, 80(5): 1977–2016. https://doi.org/10.3982/ECTA9623</w:t>
      </w:r>
    </w:p>
    <w:p w14:paraId="25249E38" w14:textId="77777777" w:rsidR="0060464F" w:rsidRPr="0060464F" w:rsidRDefault="0060464F" w:rsidP="0060464F">
      <w:pPr>
        <w:pStyle w:val="Bibliography"/>
      </w:pPr>
      <w:r w:rsidRPr="0060464F">
        <w:rPr>
          <w:b/>
          <w:bCs/>
        </w:rPr>
        <w:t>Acemoglu, D., Ozdaglar, A. &amp; Tahbaz-Salehi, A.</w:t>
      </w:r>
      <w:r w:rsidRPr="0060464F">
        <w:t xml:space="preserve"> 2015. </w:t>
      </w:r>
      <w:r w:rsidRPr="0060464F">
        <w:rPr>
          <w:i/>
          <w:iCs/>
        </w:rPr>
        <w:t>Networks, Shocks, and Systemic Risk</w:t>
      </w:r>
      <w:r w:rsidRPr="0060464F">
        <w:t>. Working Paper. Working Paper Series 20931. National Bureau of Economic Research. https://doi.org/10.3386/w20931</w:t>
      </w:r>
    </w:p>
    <w:p w14:paraId="08D6A203" w14:textId="77777777" w:rsidR="0060464F" w:rsidRPr="0060464F" w:rsidRDefault="0060464F" w:rsidP="0060464F">
      <w:pPr>
        <w:pStyle w:val="Bibliography"/>
      </w:pPr>
      <w:r w:rsidRPr="0060464F">
        <w:rPr>
          <w:b/>
          <w:bCs/>
        </w:rPr>
        <w:t>Arriola, C., Guilloux-Nefussi, S., Koh, S.-H., Kowalski, P., Rusticelli, E. &amp; Tongeren, F. van</w:t>
      </w:r>
      <w:r w:rsidRPr="0060464F">
        <w:t xml:space="preserve">. 2020. </w:t>
      </w:r>
      <w:r w:rsidRPr="0060464F">
        <w:rPr>
          <w:i/>
          <w:iCs/>
        </w:rPr>
        <w:t>Efficiency and risks in global value chains in the context of COVID-19</w:t>
      </w:r>
      <w:r w:rsidRPr="0060464F">
        <w:t>. Paris, OECD. https://doi.org/10.1787/3e4b7ecf-en</w:t>
      </w:r>
    </w:p>
    <w:p w14:paraId="2D12147F" w14:textId="77777777" w:rsidR="0060464F" w:rsidRPr="0060464F" w:rsidRDefault="0060464F" w:rsidP="0060464F">
      <w:pPr>
        <w:pStyle w:val="Bibliography"/>
      </w:pPr>
      <w:r w:rsidRPr="0060464F">
        <w:rPr>
          <w:b/>
          <w:bCs/>
        </w:rPr>
        <w:t>Beckman, J., Estrades, C., Flores, M. &amp; Aguiar, A.</w:t>
      </w:r>
      <w:r w:rsidRPr="0060464F">
        <w:t xml:space="preserve"> 2018. </w:t>
      </w:r>
      <w:r w:rsidRPr="0060464F">
        <w:rPr>
          <w:i/>
          <w:iCs/>
        </w:rPr>
        <w:t>The Impacts of Export Taxes on Agricultural Trade</w:t>
      </w:r>
      <w:r w:rsidRPr="0060464F">
        <w:t>. w24894. Cambridge, MA, National Bureau of Economic Research. https://doi.org/10.3386/w24894</w:t>
      </w:r>
    </w:p>
    <w:p w14:paraId="29A929F3" w14:textId="77777777" w:rsidR="0060464F" w:rsidRPr="0060464F" w:rsidRDefault="0060464F" w:rsidP="0060464F">
      <w:pPr>
        <w:pStyle w:val="Bibliography"/>
      </w:pPr>
      <w:r w:rsidRPr="0060464F">
        <w:rPr>
          <w:b/>
          <w:bCs/>
        </w:rPr>
        <w:t>Bren d’Amour, C., Reitsma, F., Baiocchi, G., Barthel, S., Güneralp, B., Erb, K.-H., Haberl, H., Creutzig, F. &amp; Seto, K.C.</w:t>
      </w:r>
      <w:r w:rsidRPr="0060464F">
        <w:t xml:space="preserve"> 2017. Future urban land expansion and implications for global croplands. </w:t>
      </w:r>
      <w:r w:rsidRPr="0060464F">
        <w:rPr>
          <w:i/>
          <w:iCs/>
        </w:rPr>
        <w:t>Proceedings of the National Academy of Sciences</w:t>
      </w:r>
      <w:r w:rsidRPr="0060464F">
        <w:t>, 114(34): 8939–8944. https://doi.org/10.1073/pnas.1606036114</w:t>
      </w:r>
    </w:p>
    <w:p w14:paraId="59BB12A3" w14:textId="77777777" w:rsidR="0060464F" w:rsidRPr="0060464F" w:rsidRDefault="0060464F" w:rsidP="0060464F">
      <w:pPr>
        <w:pStyle w:val="Bibliography"/>
      </w:pPr>
      <w:r w:rsidRPr="0060464F">
        <w:rPr>
          <w:b/>
          <w:bCs/>
        </w:rPr>
        <w:t>Burkholz, R. &amp; Schweitzer, F.</w:t>
      </w:r>
      <w:r w:rsidRPr="0060464F">
        <w:t xml:space="preserve"> 2019. International crop trade networks: the impact of shocks and cascades. </w:t>
      </w:r>
      <w:r w:rsidRPr="0060464F">
        <w:rPr>
          <w:i/>
          <w:iCs/>
        </w:rPr>
        <w:t>Environmental Research Letters</w:t>
      </w:r>
      <w:r w:rsidRPr="0060464F">
        <w:t>, 14(11): 114013. https://doi.org/10.1088/1748-9326/ab4864</w:t>
      </w:r>
    </w:p>
    <w:p w14:paraId="78C6DC5D" w14:textId="77777777" w:rsidR="0060464F" w:rsidRPr="0060464F" w:rsidRDefault="0060464F" w:rsidP="0060464F">
      <w:pPr>
        <w:pStyle w:val="Bibliography"/>
      </w:pPr>
      <w:r w:rsidRPr="0060464F">
        <w:rPr>
          <w:b/>
          <w:bCs/>
        </w:rPr>
        <w:t>Cadot, O., Carrère, C. &amp; Strauss-Kahn, V.</w:t>
      </w:r>
      <w:r w:rsidRPr="0060464F">
        <w:t xml:space="preserve"> 2011. Export Diversification: What’s behind the Hump? </w:t>
      </w:r>
      <w:r w:rsidRPr="0060464F">
        <w:rPr>
          <w:i/>
          <w:iCs/>
        </w:rPr>
        <w:t>Review of Economics and Statistics</w:t>
      </w:r>
      <w:r w:rsidRPr="0060464F">
        <w:t>, 93(2): 590–605. https://doi.org/10.1162/REST_a_00078</w:t>
      </w:r>
    </w:p>
    <w:p w14:paraId="0000E43C" w14:textId="77777777" w:rsidR="0060464F" w:rsidRPr="0060464F" w:rsidRDefault="0060464F" w:rsidP="0060464F">
      <w:pPr>
        <w:pStyle w:val="Bibliography"/>
      </w:pPr>
      <w:r w:rsidRPr="0060464F">
        <w:rPr>
          <w:b/>
          <w:bCs/>
        </w:rPr>
        <w:t>Chen, L. &amp; De Lombaerde, P.</w:t>
      </w:r>
      <w:r w:rsidRPr="0060464F">
        <w:t xml:space="preserve"> 2014. Testing the relationships between globalization, regionalization and the regional hubness of the BRICs. </w:t>
      </w:r>
      <w:r w:rsidRPr="0060464F">
        <w:rPr>
          <w:i/>
          <w:iCs/>
        </w:rPr>
        <w:t>Journal of Policy Modeling</w:t>
      </w:r>
      <w:r w:rsidRPr="0060464F">
        <w:t>, 36: S111–S131. https://doi.org/10.1016/j.jpolmod.2013.10.011</w:t>
      </w:r>
    </w:p>
    <w:p w14:paraId="3D407C6E" w14:textId="77777777" w:rsidR="0060464F" w:rsidRPr="0060464F" w:rsidRDefault="0060464F" w:rsidP="0060464F">
      <w:pPr>
        <w:pStyle w:val="Bibliography"/>
      </w:pPr>
      <w:r w:rsidRPr="0060464F">
        <w:rPr>
          <w:b/>
          <w:bCs/>
        </w:rPr>
        <w:t>Chung, M.G., Kapsar, K., Frank, K.A. &amp; Liu, J.</w:t>
      </w:r>
      <w:r w:rsidRPr="0060464F">
        <w:t xml:space="preserve"> 2020. The spatial and temporal dynamics of global meat trade networks. </w:t>
      </w:r>
      <w:r w:rsidRPr="0060464F">
        <w:rPr>
          <w:i/>
          <w:iCs/>
        </w:rPr>
        <w:t>Scientific Reports</w:t>
      </w:r>
      <w:r w:rsidRPr="0060464F">
        <w:t>, 10(1): 16657. https://doi.org/10.1038/s41598-020-73591-2</w:t>
      </w:r>
    </w:p>
    <w:p w14:paraId="6DF26F5C" w14:textId="77777777" w:rsidR="0060464F" w:rsidRPr="0060464F" w:rsidRDefault="0060464F" w:rsidP="0060464F">
      <w:pPr>
        <w:pStyle w:val="Bibliography"/>
      </w:pPr>
      <w:r w:rsidRPr="0060464F">
        <w:rPr>
          <w:b/>
          <w:bCs/>
        </w:rPr>
        <w:t>Cooke, R.M., Nieboer, D. &amp; Misiewicz, J.</w:t>
      </w:r>
      <w:r w:rsidRPr="0060464F">
        <w:t xml:space="preserve"> 2014. </w:t>
      </w:r>
      <w:r w:rsidRPr="0060464F">
        <w:rPr>
          <w:i/>
          <w:iCs/>
        </w:rPr>
        <w:t>Fat-Tailed Distributions: Data, Diagnostics and Dependence, Volume 1</w:t>
      </w:r>
      <w:r w:rsidRPr="0060464F">
        <w:t>. John Wiley &amp; Sons.</w:t>
      </w:r>
    </w:p>
    <w:p w14:paraId="08A71D87" w14:textId="77777777" w:rsidR="0060464F" w:rsidRPr="0060464F" w:rsidRDefault="0060464F" w:rsidP="0060464F">
      <w:pPr>
        <w:pStyle w:val="Bibliography"/>
      </w:pPr>
      <w:r w:rsidRPr="0060464F">
        <w:rPr>
          <w:b/>
          <w:bCs/>
        </w:rPr>
        <w:t>Dellink, R., Dervisholli, E. &amp; Nenci, S.</w:t>
      </w:r>
      <w:r w:rsidRPr="0060464F">
        <w:t xml:space="preserve"> 2020. A quantitative analysis of trends in agricultural and food global value chains (GVCs)</w:t>
      </w:r>
    </w:p>
    <w:p w14:paraId="0E247653" w14:textId="77777777" w:rsidR="0060464F" w:rsidRPr="0060464F" w:rsidRDefault="0060464F" w:rsidP="0060464F">
      <w:pPr>
        <w:pStyle w:val="Bibliography"/>
      </w:pPr>
      <w:r w:rsidRPr="0060464F">
        <w:rPr>
          <w:b/>
          <w:bCs/>
        </w:rPr>
        <w:t>Dupas, M.-C., Halloy, J. &amp; Chatzimpiros, P.</w:t>
      </w:r>
      <w:r w:rsidRPr="0060464F">
        <w:t xml:space="preserve"> 2019. Time dynamics and invariant subnetwork structures in the world cereals trade network. </w:t>
      </w:r>
      <w:r w:rsidRPr="0060464F">
        <w:rPr>
          <w:i/>
          <w:iCs/>
        </w:rPr>
        <w:t>PLOS ONE</w:t>
      </w:r>
      <w:r w:rsidRPr="0060464F">
        <w:t>, 14(5): e0216318. https://doi.org/10.1371/journal.pone.0216318</w:t>
      </w:r>
    </w:p>
    <w:p w14:paraId="27DBFD0F" w14:textId="77777777" w:rsidR="0060464F" w:rsidRPr="0060464F" w:rsidRDefault="0060464F" w:rsidP="0060464F">
      <w:pPr>
        <w:pStyle w:val="Bibliography"/>
      </w:pPr>
      <w:r w:rsidRPr="0060464F">
        <w:rPr>
          <w:b/>
          <w:bCs/>
        </w:rPr>
        <w:lastRenderedPageBreak/>
        <w:t>Fair, K.R., Bauch, C.T. &amp; Anand, M.</w:t>
      </w:r>
      <w:r w:rsidRPr="0060464F">
        <w:t xml:space="preserve"> 2017. Dynamics of the Global Wheat Trade Network and Resilience to Shocks. </w:t>
      </w:r>
      <w:r w:rsidRPr="0060464F">
        <w:rPr>
          <w:i/>
          <w:iCs/>
        </w:rPr>
        <w:t>Scientific Reports</w:t>
      </w:r>
      <w:r w:rsidRPr="0060464F">
        <w:t>, 7(1): 7177. https://doi.org/10.1038/s41598-017-07202-y</w:t>
      </w:r>
    </w:p>
    <w:p w14:paraId="3D87F70D" w14:textId="77777777" w:rsidR="0060464F" w:rsidRPr="0060464F" w:rsidRDefault="0060464F" w:rsidP="0060464F">
      <w:pPr>
        <w:pStyle w:val="Bibliography"/>
      </w:pPr>
      <w:r w:rsidRPr="0060464F">
        <w:rPr>
          <w:b/>
          <w:bCs/>
        </w:rPr>
        <w:t>FAO. 2020., 2020</w:t>
      </w:r>
      <w:r w:rsidRPr="0060464F">
        <w:t>. undated. The State of Agricultural Commodity Markets 2020. Agricultural markets and sustainable development: Global value chains, smallholder farmers and digital innovations. Rome,FAO.</w:t>
      </w:r>
    </w:p>
    <w:p w14:paraId="241D75F5" w14:textId="77777777" w:rsidR="0060464F" w:rsidRPr="0060464F" w:rsidRDefault="0060464F" w:rsidP="0060464F">
      <w:pPr>
        <w:pStyle w:val="Bibliography"/>
      </w:pPr>
      <w:r w:rsidRPr="0060464F">
        <w:rPr>
          <w:b/>
          <w:bCs/>
        </w:rPr>
        <w:t>Freeman, L.C.</w:t>
      </w:r>
      <w:r w:rsidRPr="0060464F">
        <w:t xml:space="preserve"> 1978. Centrality in social networks: Conceptual clarification. </w:t>
      </w:r>
      <w:r w:rsidRPr="0060464F">
        <w:rPr>
          <w:i/>
          <w:iCs/>
        </w:rPr>
        <w:t>Social Networks</w:t>
      </w:r>
      <w:r w:rsidRPr="0060464F">
        <w:t>, 1: 215–239.</w:t>
      </w:r>
    </w:p>
    <w:p w14:paraId="1942EF61" w14:textId="77777777" w:rsidR="0060464F" w:rsidRPr="0060464F" w:rsidRDefault="0060464F" w:rsidP="0060464F">
      <w:pPr>
        <w:pStyle w:val="Bibliography"/>
      </w:pPr>
      <w:r w:rsidRPr="0060464F">
        <w:rPr>
          <w:b/>
          <w:bCs/>
        </w:rPr>
        <w:t>Geyik, O., Hadjikakou, M., Karapinar, B. &amp; Bryan, B.A.</w:t>
      </w:r>
      <w:r w:rsidRPr="0060464F">
        <w:t xml:space="preserve"> 2021. Does global food trade close the dietary nutrient gap for the world’s poorest nations? </w:t>
      </w:r>
      <w:r w:rsidRPr="0060464F">
        <w:rPr>
          <w:i/>
          <w:iCs/>
        </w:rPr>
        <w:t>Global Food Security</w:t>
      </w:r>
      <w:r w:rsidRPr="0060464F">
        <w:t>, 28: 100490. https://doi.org/10.1016/j.gfs.2021.100490</w:t>
      </w:r>
    </w:p>
    <w:p w14:paraId="37E618A2" w14:textId="77777777" w:rsidR="0060464F" w:rsidRPr="0060464F" w:rsidRDefault="0060464F" w:rsidP="0060464F">
      <w:pPr>
        <w:pStyle w:val="Bibliography"/>
      </w:pPr>
      <w:r w:rsidRPr="0060464F">
        <w:rPr>
          <w:b/>
          <w:bCs/>
        </w:rPr>
        <w:t>Grassia, M., Mangioni, G., Schiavo, S. &amp; Traverso, S.</w:t>
      </w:r>
      <w:r w:rsidRPr="0060464F">
        <w:t xml:space="preserve"> 2022. Insights into countries’ exposure and vulnerability to food trade shocks from network-based simulations. </w:t>
      </w:r>
      <w:r w:rsidRPr="0060464F">
        <w:rPr>
          <w:i/>
          <w:iCs/>
        </w:rPr>
        <w:t>Scientific Reports</w:t>
      </w:r>
      <w:r w:rsidRPr="0060464F">
        <w:t>, 12(1): 4644. https://doi.org/10.1038/s41598-022-08419-2</w:t>
      </w:r>
    </w:p>
    <w:p w14:paraId="114BC1C4" w14:textId="77777777" w:rsidR="0060464F" w:rsidRPr="0060464F" w:rsidRDefault="0060464F" w:rsidP="0060464F">
      <w:pPr>
        <w:pStyle w:val="Bibliography"/>
      </w:pPr>
      <w:r w:rsidRPr="0060464F">
        <w:rPr>
          <w:b/>
          <w:bCs/>
        </w:rPr>
        <w:t>Gutiérrez-Moya, E., Adenso-Díaz, B. &amp; Lozano, S.</w:t>
      </w:r>
      <w:r w:rsidRPr="0060464F">
        <w:t xml:space="preserve"> 2021. Analysis and vulnerability of the international wheat trade network. </w:t>
      </w:r>
      <w:r w:rsidRPr="0060464F">
        <w:rPr>
          <w:i/>
          <w:iCs/>
        </w:rPr>
        <w:t>Food Security</w:t>
      </w:r>
      <w:r w:rsidRPr="0060464F">
        <w:t>, 13(1): 113–128. https://doi.org/10.1007/s12571-020-01117-9</w:t>
      </w:r>
    </w:p>
    <w:p w14:paraId="2255378C" w14:textId="77777777" w:rsidR="0060464F" w:rsidRPr="0060464F" w:rsidRDefault="0060464F" w:rsidP="0060464F">
      <w:pPr>
        <w:pStyle w:val="Bibliography"/>
      </w:pPr>
      <w:r w:rsidRPr="0060464F">
        <w:rPr>
          <w:b/>
          <w:bCs/>
        </w:rPr>
        <w:t>Gutiérrez-Moya, E., Lozano, S. &amp; Adenso-Díaz, B.</w:t>
      </w:r>
      <w:r w:rsidRPr="0060464F">
        <w:t xml:space="preserve"> 2020. Analysing the Structure of the Global Wheat Trade Network: An ERGM Approach. </w:t>
      </w:r>
      <w:r w:rsidRPr="0060464F">
        <w:rPr>
          <w:i/>
          <w:iCs/>
        </w:rPr>
        <w:t>Agronomy</w:t>
      </w:r>
      <w:r w:rsidRPr="0060464F">
        <w:t>, 10(12): 1967. https://doi.org/10.3390/agronomy10121967</w:t>
      </w:r>
    </w:p>
    <w:p w14:paraId="3A40CA4E" w14:textId="77777777" w:rsidR="0060464F" w:rsidRPr="0060464F" w:rsidRDefault="0060464F" w:rsidP="0060464F">
      <w:pPr>
        <w:pStyle w:val="Bibliography"/>
      </w:pPr>
      <w:r w:rsidRPr="0060464F">
        <w:rPr>
          <w:b/>
          <w:bCs/>
        </w:rPr>
        <w:t>Hendrik, V.D.B. &amp; Lewer, J.J.</w:t>
      </w:r>
      <w:r w:rsidRPr="0060464F">
        <w:t xml:space="preserve"> 2015. </w:t>
      </w:r>
      <w:r w:rsidRPr="0060464F">
        <w:rPr>
          <w:i/>
          <w:iCs/>
        </w:rPr>
        <w:t>International Trade and Economic Growth</w:t>
      </w:r>
      <w:r w:rsidRPr="0060464F">
        <w:t>. 0 edition. Routledge. https://doi.org/10.4324/9781315703282</w:t>
      </w:r>
    </w:p>
    <w:p w14:paraId="629DE102" w14:textId="77777777" w:rsidR="0060464F" w:rsidRPr="0060464F" w:rsidRDefault="0060464F" w:rsidP="0060464F">
      <w:pPr>
        <w:pStyle w:val="Bibliography"/>
      </w:pPr>
      <w:r w:rsidRPr="0060464F">
        <w:rPr>
          <w:b/>
          <w:bCs/>
        </w:rPr>
        <w:t>Iapadre, P.L. &amp; Tajoli, L.</w:t>
      </w:r>
      <w:r w:rsidRPr="0060464F">
        <w:t xml:space="preserve"> 2014. Emerging countries and trade regionalization. A network analysis. </w:t>
      </w:r>
      <w:r w:rsidRPr="0060464F">
        <w:rPr>
          <w:i/>
          <w:iCs/>
        </w:rPr>
        <w:t>Journal of Policy Modeling</w:t>
      </w:r>
      <w:r w:rsidRPr="0060464F">
        <w:t>, 36: S89–S110. https://doi.org/10.1016/j.jpolmod.2013.10.010</w:t>
      </w:r>
    </w:p>
    <w:p w14:paraId="5DCDFF4A" w14:textId="77777777" w:rsidR="0060464F" w:rsidRPr="0060464F" w:rsidRDefault="0060464F" w:rsidP="0060464F">
      <w:pPr>
        <w:pStyle w:val="Bibliography"/>
      </w:pPr>
      <w:r w:rsidRPr="0060464F">
        <w:rPr>
          <w:b/>
          <w:bCs/>
        </w:rPr>
        <w:t>Jafari, Y., Engemann, H. &amp; Zimmermann, A.</w:t>
      </w:r>
      <w:r w:rsidRPr="0060464F">
        <w:t xml:space="preserve"> 2023. </w:t>
      </w:r>
      <w:r w:rsidRPr="0060464F">
        <w:rPr>
          <w:i/>
          <w:iCs/>
        </w:rPr>
        <w:t>The evolution of the global structure of food and agricultural trade: Evidence from network analysis. Background paper for The State of Agricultural Commodity Markets (SOCO) 2022</w:t>
      </w:r>
      <w:r w:rsidRPr="0060464F">
        <w:t>. Rome, FAO.</w:t>
      </w:r>
    </w:p>
    <w:p w14:paraId="42C7937F" w14:textId="77777777" w:rsidR="0060464F" w:rsidRPr="0060464F" w:rsidRDefault="0060464F" w:rsidP="0060464F">
      <w:pPr>
        <w:pStyle w:val="Bibliography"/>
      </w:pPr>
      <w:r w:rsidRPr="0060464F">
        <w:rPr>
          <w:b/>
          <w:bCs/>
        </w:rPr>
        <w:t>Karakoc, D.B. &amp; Konar, M.</w:t>
      </w:r>
      <w:r w:rsidRPr="0060464F">
        <w:t xml:space="preserve"> 2021. A complex network framework for the efficiency and resilience trade-off in global food trade. </w:t>
      </w:r>
      <w:r w:rsidRPr="0060464F">
        <w:rPr>
          <w:i/>
          <w:iCs/>
        </w:rPr>
        <w:t>Environmental Research Letters</w:t>
      </w:r>
      <w:r w:rsidRPr="0060464F">
        <w:t>, 16(10): 105003. https://doi.org/10.1088/1748-9326/ac1a9b</w:t>
      </w:r>
    </w:p>
    <w:p w14:paraId="7D725243" w14:textId="77777777" w:rsidR="0060464F" w:rsidRPr="0060464F" w:rsidRDefault="0060464F" w:rsidP="0060464F">
      <w:pPr>
        <w:pStyle w:val="Bibliography"/>
      </w:pPr>
      <w:r w:rsidRPr="0060464F">
        <w:rPr>
          <w:b/>
          <w:bCs/>
        </w:rPr>
        <w:t>Konar, M., Dalin, C., Suweis, S., Hanasaki, N., Rinaldo, A. &amp; Rodriguez‐Iturbe, I.</w:t>
      </w:r>
      <w:r w:rsidRPr="0060464F">
        <w:t xml:space="preserve"> 2011. Water for food: The global virtual water trade network. </w:t>
      </w:r>
      <w:r w:rsidRPr="0060464F">
        <w:rPr>
          <w:i/>
          <w:iCs/>
        </w:rPr>
        <w:t>Water Resources Research</w:t>
      </w:r>
      <w:r w:rsidRPr="0060464F">
        <w:t>, 47(5). https://doi.org/10.1029/2010WR010307</w:t>
      </w:r>
    </w:p>
    <w:p w14:paraId="25CAE075" w14:textId="77777777" w:rsidR="0060464F" w:rsidRPr="0060464F" w:rsidRDefault="0060464F" w:rsidP="0060464F">
      <w:pPr>
        <w:pStyle w:val="Bibliography"/>
      </w:pPr>
      <w:r w:rsidRPr="0060464F">
        <w:rPr>
          <w:b/>
          <w:bCs/>
        </w:rPr>
        <w:t>Korniyenko, M.Y., Pinat, M. &amp; Dew, B.</w:t>
      </w:r>
      <w:r w:rsidRPr="0060464F">
        <w:t xml:space="preserve"> 2017. </w:t>
      </w:r>
      <w:r w:rsidRPr="0060464F">
        <w:rPr>
          <w:i/>
          <w:iCs/>
        </w:rPr>
        <w:t>Assessing the Fragility of Global Trade: The Impact of Localized Supply Shocks Using Network Analysis</w:t>
      </w:r>
      <w:r w:rsidRPr="0060464F">
        <w:t>. International Monetary Fund.</w:t>
      </w:r>
    </w:p>
    <w:p w14:paraId="7311B5C1" w14:textId="77777777" w:rsidR="0060464F" w:rsidRPr="0060464F" w:rsidRDefault="0060464F" w:rsidP="0060464F">
      <w:pPr>
        <w:pStyle w:val="Bibliography"/>
      </w:pPr>
      <w:r w:rsidRPr="0060464F">
        <w:rPr>
          <w:b/>
          <w:bCs/>
        </w:rPr>
        <w:t>Kummu, M., Kinnunen, P., Lehikoinen, E., Porkka, M., Queiroz, C., Röös, E., Troell, M. &amp; Weil, C.</w:t>
      </w:r>
      <w:r w:rsidRPr="0060464F">
        <w:t xml:space="preserve"> 2020. Interplay of trade and food system resilience: Gains on supply diversity over time at the cost of trade independency. </w:t>
      </w:r>
      <w:r w:rsidRPr="0060464F">
        <w:rPr>
          <w:i/>
          <w:iCs/>
        </w:rPr>
        <w:t>Global Food Security</w:t>
      </w:r>
      <w:r w:rsidRPr="0060464F">
        <w:t>, 24: 100360. https://doi.org/10.1016/j.gfs.2020.100360</w:t>
      </w:r>
    </w:p>
    <w:p w14:paraId="0976915F" w14:textId="77777777" w:rsidR="0060464F" w:rsidRPr="0060464F" w:rsidRDefault="0060464F" w:rsidP="0060464F">
      <w:pPr>
        <w:pStyle w:val="Bibliography"/>
      </w:pPr>
      <w:r w:rsidRPr="0060464F">
        <w:rPr>
          <w:b/>
          <w:bCs/>
        </w:rPr>
        <w:t>Lucas, R.E.</w:t>
      </w:r>
      <w:r w:rsidRPr="0060464F">
        <w:t xml:space="preserve"> 1977. Understanding business cycles. </w:t>
      </w:r>
      <w:r w:rsidRPr="0060464F">
        <w:rPr>
          <w:i/>
          <w:iCs/>
        </w:rPr>
        <w:t>Carnegie-Rochester Conference Series on Public Policy</w:t>
      </w:r>
      <w:r w:rsidRPr="0060464F">
        <w:t>, 5: 7–29. https://doi.org/10.1016/0167-2231(77)90002-1</w:t>
      </w:r>
    </w:p>
    <w:p w14:paraId="24B39E7D" w14:textId="77777777" w:rsidR="0060464F" w:rsidRPr="0060464F" w:rsidRDefault="0060464F" w:rsidP="0060464F">
      <w:pPr>
        <w:pStyle w:val="Bibliography"/>
      </w:pPr>
      <w:r w:rsidRPr="0060464F">
        <w:rPr>
          <w:b/>
          <w:bCs/>
        </w:rPr>
        <w:t>Mena, C., Karatzas, A. &amp; Hansen, C.</w:t>
      </w:r>
      <w:r w:rsidRPr="0060464F">
        <w:t xml:space="preserve"> 2022. International trade resilience and the Covid-19 pandemic. </w:t>
      </w:r>
      <w:r w:rsidRPr="0060464F">
        <w:rPr>
          <w:i/>
          <w:iCs/>
        </w:rPr>
        <w:t>Journal of Business Research</w:t>
      </w:r>
      <w:r w:rsidRPr="0060464F">
        <w:t>, 138: 77–91. https://doi.org/10.1016/j.jbusres.2021.08.064</w:t>
      </w:r>
    </w:p>
    <w:p w14:paraId="19D3E500" w14:textId="77777777" w:rsidR="0060464F" w:rsidRPr="0060464F" w:rsidRDefault="0060464F" w:rsidP="0060464F">
      <w:pPr>
        <w:pStyle w:val="Bibliography"/>
      </w:pPr>
      <w:r w:rsidRPr="0060464F">
        <w:rPr>
          <w:b/>
          <w:bCs/>
        </w:rPr>
        <w:t>Puma, M.J., Bose, S., Chon, S.Y. &amp; Cook, B.I.</w:t>
      </w:r>
      <w:r w:rsidRPr="0060464F">
        <w:t xml:space="preserve"> 2015. Assessing the evolving fragility of the global food system. </w:t>
      </w:r>
      <w:r w:rsidRPr="0060464F">
        <w:rPr>
          <w:i/>
          <w:iCs/>
        </w:rPr>
        <w:t>Environmental Research Letters</w:t>
      </w:r>
      <w:r w:rsidRPr="0060464F">
        <w:t>, 10(2): 024007. https://doi.org/10.1088/1748-9326/10/2/024007</w:t>
      </w:r>
    </w:p>
    <w:p w14:paraId="7104DE54" w14:textId="77777777" w:rsidR="0060464F" w:rsidRPr="0060464F" w:rsidRDefault="0060464F" w:rsidP="0060464F">
      <w:pPr>
        <w:pStyle w:val="Bibliography"/>
      </w:pPr>
      <w:r w:rsidRPr="0060464F">
        <w:rPr>
          <w:b/>
          <w:bCs/>
        </w:rPr>
        <w:t>Raj, S., Brinkley, C. &amp; Ulimwengu, J.</w:t>
      </w:r>
      <w:r w:rsidRPr="0060464F">
        <w:t xml:space="preserve"> 2022. Connected and extracted: Understanding how centrality in the global wheat supply chain affects global hunger using a network approach. </w:t>
      </w:r>
      <w:r w:rsidRPr="0060464F">
        <w:rPr>
          <w:i/>
          <w:iCs/>
        </w:rPr>
        <w:t>PLOS ONE</w:t>
      </w:r>
      <w:r w:rsidRPr="0060464F">
        <w:t>, 17(6): e0269891. https://doi.org/10.1371/journal.pone.0269891</w:t>
      </w:r>
    </w:p>
    <w:p w14:paraId="62D23898" w14:textId="77777777" w:rsidR="0060464F" w:rsidRPr="0060464F" w:rsidRDefault="0060464F" w:rsidP="0060464F">
      <w:pPr>
        <w:pStyle w:val="Bibliography"/>
      </w:pPr>
      <w:r w:rsidRPr="0060464F">
        <w:rPr>
          <w:b/>
          <w:bCs/>
        </w:rPr>
        <w:lastRenderedPageBreak/>
        <w:t>Rose, A.K.</w:t>
      </w:r>
      <w:r w:rsidRPr="0060464F">
        <w:t xml:space="preserve"> 2004. Do We Really Know That the WTO Increases Trade? </w:t>
      </w:r>
      <w:r w:rsidRPr="0060464F">
        <w:rPr>
          <w:i/>
          <w:iCs/>
        </w:rPr>
        <w:t>American Economic Review</w:t>
      </w:r>
      <w:r w:rsidRPr="0060464F">
        <w:t>, 94(1): 98–114. https://doi.org/10.1257/000282804322970724</w:t>
      </w:r>
    </w:p>
    <w:p w14:paraId="35D217A1" w14:textId="77777777" w:rsidR="0060464F" w:rsidRPr="0060464F" w:rsidRDefault="0060464F" w:rsidP="0060464F">
      <w:pPr>
        <w:pStyle w:val="Bibliography"/>
      </w:pPr>
      <w:r w:rsidRPr="0060464F">
        <w:rPr>
          <w:b/>
          <w:bCs/>
        </w:rPr>
        <w:t>Sartori, M. &amp; Schiavo, S.</w:t>
      </w:r>
      <w:r w:rsidRPr="0060464F">
        <w:t xml:space="preserve"> 2015. Connected we stand: A network perspective on trade and global food security. </w:t>
      </w:r>
      <w:r w:rsidRPr="0060464F">
        <w:rPr>
          <w:i/>
          <w:iCs/>
        </w:rPr>
        <w:t>Food Policy</w:t>
      </w:r>
      <w:r w:rsidRPr="0060464F">
        <w:t>, 57: 114–127. https://doi.org/10.1016/j.foodpol.2015.10.004</w:t>
      </w:r>
    </w:p>
    <w:p w14:paraId="57E1515B" w14:textId="77777777" w:rsidR="0060464F" w:rsidRPr="0060464F" w:rsidRDefault="0060464F" w:rsidP="0060464F">
      <w:pPr>
        <w:pStyle w:val="Bibliography"/>
      </w:pPr>
      <w:r w:rsidRPr="0060464F">
        <w:rPr>
          <w:b/>
          <w:bCs/>
        </w:rPr>
        <w:t>Shutters, S.T. &amp; Muneepeerakul, R.</w:t>
      </w:r>
      <w:r w:rsidRPr="0060464F">
        <w:t xml:space="preserve"> 2012. Agricultural Trade Networks and Patterns of Economic Development. </w:t>
      </w:r>
      <w:r w:rsidRPr="0060464F">
        <w:rPr>
          <w:i/>
          <w:iCs/>
        </w:rPr>
        <w:t>PLOS ONE</w:t>
      </w:r>
      <w:r w:rsidRPr="0060464F">
        <w:t>, 7(7): e39756. https://doi.org/10.1371/journal.pone.0039756</w:t>
      </w:r>
    </w:p>
    <w:p w14:paraId="79FAF00A" w14:textId="77777777" w:rsidR="0060464F" w:rsidRPr="0060464F" w:rsidRDefault="0060464F" w:rsidP="0060464F">
      <w:pPr>
        <w:pStyle w:val="Bibliography"/>
      </w:pPr>
      <w:r w:rsidRPr="0060464F">
        <w:rPr>
          <w:b/>
          <w:bCs/>
        </w:rPr>
        <w:t>Soffiantini, G.</w:t>
      </w:r>
      <w:r w:rsidRPr="0060464F">
        <w:t xml:space="preserve"> 2020. Food insecurity and political instability during the Arab Spring. </w:t>
      </w:r>
      <w:r w:rsidRPr="0060464F">
        <w:rPr>
          <w:i/>
          <w:iCs/>
        </w:rPr>
        <w:t>Global Food Security</w:t>
      </w:r>
      <w:r w:rsidRPr="0060464F">
        <w:t>, 26: 100400. https://doi.org/10.1016/j.gfs.2020.100400</w:t>
      </w:r>
    </w:p>
    <w:p w14:paraId="2AD7A3A0" w14:textId="77777777" w:rsidR="0060464F" w:rsidRPr="0060464F" w:rsidRDefault="0060464F" w:rsidP="0060464F">
      <w:pPr>
        <w:pStyle w:val="Bibliography"/>
      </w:pPr>
      <w:r w:rsidRPr="0060464F">
        <w:rPr>
          <w:b/>
          <w:bCs/>
        </w:rPr>
        <w:t>Tombe, T. &amp; Zhu, X.</w:t>
      </w:r>
      <w:r w:rsidRPr="0060464F">
        <w:t xml:space="preserve"> 2019. Trade, Migration, and Productivity: A Quantitative Analysis of China. </w:t>
      </w:r>
      <w:r w:rsidRPr="0060464F">
        <w:rPr>
          <w:i/>
          <w:iCs/>
        </w:rPr>
        <w:t>American Economic Review</w:t>
      </w:r>
      <w:r w:rsidRPr="0060464F">
        <w:t>, 109(5): 1843–1872. https://doi.org/10.1257/aer.20150811</w:t>
      </w:r>
    </w:p>
    <w:p w14:paraId="2DACEB7F" w14:textId="77777777" w:rsidR="0060464F" w:rsidRPr="0060464F" w:rsidRDefault="0060464F" w:rsidP="0060464F">
      <w:pPr>
        <w:pStyle w:val="Bibliography"/>
      </w:pPr>
      <w:r w:rsidRPr="0060464F">
        <w:rPr>
          <w:b/>
          <w:bCs/>
        </w:rPr>
        <w:t>Torreggiani, S., Mangioni, G., Puma, M.J. &amp; Fagiolo, G.</w:t>
      </w:r>
      <w:r w:rsidRPr="0060464F">
        <w:t xml:space="preserve"> 2018. Identifying the community structure of the food-trade international multi-network. </w:t>
      </w:r>
      <w:r w:rsidRPr="0060464F">
        <w:rPr>
          <w:i/>
          <w:iCs/>
        </w:rPr>
        <w:t>Environmental Research Letters</w:t>
      </w:r>
      <w:r w:rsidRPr="0060464F">
        <w:t>, 13(5): 054026. https://doi.org/10.1088/1748-9326/aabf23</w:t>
      </w:r>
    </w:p>
    <w:p w14:paraId="5DD32DB8" w14:textId="77777777" w:rsidR="0060464F" w:rsidRPr="0060464F" w:rsidRDefault="0060464F" w:rsidP="0060464F">
      <w:pPr>
        <w:pStyle w:val="Bibliography"/>
      </w:pPr>
      <w:r w:rsidRPr="0060464F">
        <w:rPr>
          <w:b/>
          <w:bCs/>
        </w:rPr>
        <w:t>UNCTAD. 2019</w:t>
      </w:r>
      <w:r w:rsidRPr="0060464F">
        <w:t>. undated. Trade and vulnerability. Note by the UNCTAD Secretariat.</w:t>
      </w:r>
    </w:p>
    <w:p w14:paraId="098DC9BC" w14:textId="77777777" w:rsidR="0060464F" w:rsidRPr="0060464F" w:rsidRDefault="0060464F" w:rsidP="0060464F">
      <w:pPr>
        <w:pStyle w:val="Bibliography"/>
      </w:pPr>
      <w:r w:rsidRPr="0060464F">
        <w:rPr>
          <w:b/>
          <w:bCs/>
        </w:rPr>
        <w:t>Vidya, C.T., Prabheesh, K.P. &amp; Sirowa, S.</w:t>
      </w:r>
      <w:r w:rsidRPr="0060464F">
        <w:t xml:space="preserve"> 2020. Is Trade Integration Leading to Regionalization? Evidence from Cross-Country Network Analysis. </w:t>
      </w:r>
      <w:r w:rsidRPr="0060464F">
        <w:rPr>
          <w:i/>
          <w:iCs/>
        </w:rPr>
        <w:t>Journal of Economic Integration</w:t>
      </w:r>
      <w:r w:rsidRPr="0060464F">
        <w:t>, 35(1): 10–38.</w:t>
      </w:r>
    </w:p>
    <w:p w14:paraId="05FFB45C" w14:textId="1DB8BAF8" w:rsidR="001C6E26" w:rsidRPr="001C6E26" w:rsidRDefault="001C6E26" w:rsidP="006F050C">
      <w:pPr>
        <w:pStyle w:val="Source"/>
        <w:rPr>
          <w:sz w:val="32"/>
          <w:szCs w:val="32"/>
        </w:rPr>
      </w:pPr>
      <w:r w:rsidRPr="001C6E26">
        <w:rPr>
          <w:sz w:val="22"/>
        </w:rPr>
        <w:fldChar w:fldCharType="end"/>
      </w:r>
    </w:p>
    <w:p w14:paraId="5C49F3E9" w14:textId="77777777" w:rsidR="002227D6" w:rsidRPr="0054525C" w:rsidRDefault="002227D6" w:rsidP="006F050C">
      <w:pPr>
        <w:pStyle w:val="Source"/>
      </w:pPr>
    </w:p>
    <w:p w14:paraId="3C686C02" w14:textId="1BBD5DF6" w:rsidR="00D34252" w:rsidRPr="00695538" w:rsidRDefault="00D34252" w:rsidP="00695538"/>
    <w:sectPr w:rsidR="00D34252" w:rsidRPr="0069553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Zimmermann, Andrea (EST)" w:date="2023-10-16T06:36:00Z" w:initials="ZA(">
    <w:p w14:paraId="63D4F809" w14:textId="77777777" w:rsidR="00683A6C" w:rsidRDefault="00683A6C" w:rsidP="000C5954">
      <w:pPr>
        <w:pStyle w:val="CommentText"/>
      </w:pPr>
      <w:r>
        <w:rPr>
          <w:rStyle w:val="CommentReference"/>
        </w:rPr>
        <w:annotationRef/>
      </w:r>
      <w:r>
        <w:t>A lot of endogeneity here, would therefor avoid a clear distinction by introducing numbering.</w:t>
      </w:r>
    </w:p>
  </w:comment>
  <w:comment w:id="3" w:author="Zimmermann, Andrea (EST)" w:date="2023-10-16T06:53:00Z" w:initials="ZA(">
    <w:p w14:paraId="37AC9B23" w14:textId="77777777" w:rsidR="00683A6C" w:rsidRDefault="00683A6C" w:rsidP="000C5954">
      <w:pPr>
        <w:pStyle w:val="CommentText"/>
      </w:pPr>
      <w:r>
        <w:rPr>
          <w:rStyle w:val="CommentReference"/>
        </w:rPr>
        <w:annotationRef/>
      </w:r>
      <w:r>
        <w:t>@Andrea: Change references</w:t>
      </w:r>
    </w:p>
  </w:comment>
  <w:comment w:id="4" w:author="Zimmermann, Andrea (EST)" w:date="2023-10-16T06:47:00Z" w:initials="ZA(">
    <w:p w14:paraId="0B190CB6" w14:textId="581B9A7B" w:rsidR="00683A6C" w:rsidRDefault="00683A6C" w:rsidP="000C5954">
      <w:pPr>
        <w:pStyle w:val="CommentText"/>
      </w:pPr>
      <w:r>
        <w:rPr>
          <w:rStyle w:val="CommentReference"/>
        </w:rPr>
        <w:annotationRef/>
      </w:r>
      <w:r>
        <w:t>Would need to be calculated differently.</w:t>
      </w:r>
    </w:p>
  </w:comment>
  <w:comment w:id="7" w:author="Zimmermann, Andrea (EST)" w:date="2023-10-28T19:00:00Z" w:initials="AZ">
    <w:p w14:paraId="58EDA861" w14:textId="77777777" w:rsidR="00683A6C" w:rsidRDefault="00683A6C" w:rsidP="000C5954">
      <w:pPr>
        <w:pStyle w:val="CommentText"/>
      </w:pPr>
      <w:r>
        <w:rPr>
          <w:rStyle w:val="CommentReference"/>
        </w:rPr>
        <w:annotationRef/>
      </w:r>
      <w:r>
        <w:t>Need to think carefully here. An even distribution would imply all countries have the same connectivity. Later we argue that a symmetric distribution is best. Can this be resolved somehow?</w:t>
      </w:r>
    </w:p>
  </w:comment>
  <w:comment w:id="16" w:author="Zimmermann, Andrea (EST)" w:date="2023-10-28T19:14:00Z" w:initials="AZ">
    <w:p w14:paraId="5F70AF35" w14:textId="77777777" w:rsidR="00683A6C" w:rsidRDefault="00683A6C" w:rsidP="000C5954">
      <w:pPr>
        <w:pStyle w:val="CommentText"/>
      </w:pPr>
      <w:r>
        <w:rPr>
          <w:rStyle w:val="CommentReference"/>
        </w:rPr>
        <w:annotationRef/>
      </w:r>
      <w:r>
        <w:t xml:space="preserve">This is why the structure of the network appears to be important. Need to see how to accommodate for that. </w:t>
      </w:r>
    </w:p>
  </w:comment>
  <w:comment w:id="18" w:author="Zimmermann, Andrea (EST)" w:date="2023-10-28T19:57:00Z" w:initials="AZ">
    <w:p w14:paraId="1C44D0F7" w14:textId="77777777" w:rsidR="00683A6C" w:rsidRDefault="00683A6C" w:rsidP="000C5954">
      <w:pPr>
        <w:pStyle w:val="CommentText"/>
      </w:pPr>
      <w:r>
        <w:rPr>
          <w:rStyle w:val="CommentReference"/>
        </w:rPr>
        <w:annotationRef/>
      </w:r>
      <w:r>
        <w:t>We need to think this together with the structure of the network. Intuitively, a higher density of the network with many transitive trade relationships shouldn't be counterproductive to resilience. But cannot pin it down at the moment.</w:t>
      </w:r>
    </w:p>
  </w:comment>
  <w:comment w:id="19" w:author="Zimmermann, Andrea (EST)" w:date="2023-10-28T20:27:00Z" w:initials="AZ">
    <w:p w14:paraId="38F6D706" w14:textId="77777777" w:rsidR="00683A6C" w:rsidRDefault="00683A6C" w:rsidP="000C5954">
      <w:pPr>
        <w:pStyle w:val="CommentText"/>
      </w:pPr>
      <w:r>
        <w:rPr>
          <w:rStyle w:val="CommentReference"/>
        </w:rPr>
        <w:annotationRef/>
      </w:r>
      <w:r>
        <w:t>This has also something to do with the direction of trade. Need to discuss more precisely, together with the points made above. Also important to keep in mind that we have the cores as core importers, not exporters.</w:t>
      </w:r>
    </w:p>
  </w:comment>
  <w:comment w:id="21" w:author="Zimmermann, Andrea (EST)" w:date="2023-10-28T20:31:00Z" w:initials="AZ">
    <w:p w14:paraId="0BEBFA33" w14:textId="77777777" w:rsidR="00683A6C" w:rsidRDefault="00683A6C" w:rsidP="000C5954">
      <w:pPr>
        <w:pStyle w:val="CommentText"/>
      </w:pPr>
      <w:r>
        <w:rPr>
          <w:rStyle w:val="CommentReference"/>
        </w:rPr>
        <w:annotationRef/>
      </w:r>
      <w:r>
        <w:t>As mentioned above, this is important. We only consider the value which can be strongly determined by prices.</w:t>
      </w:r>
    </w:p>
  </w:comment>
  <w:comment w:id="30" w:author="Zimmermann, Andrea (EST)" w:date="2023-10-28T20:44:00Z" w:initials="AZ">
    <w:p w14:paraId="26C64841" w14:textId="77777777" w:rsidR="00683A6C" w:rsidRDefault="00683A6C" w:rsidP="000C5954">
      <w:pPr>
        <w:pStyle w:val="CommentText"/>
      </w:pPr>
      <w:r>
        <w:rPr>
          <w:rStyle w:val="CommentReference"/>
        </w:rPr>
        <w:annotationRef/>
      </w:r>
      <w:r>
        <w:t>Is that true?</w:t>
      </w:r>
    </w:p>
  </w:comment>
  <w:comment w:id="31" w:author="Zimmermann, Andrea (EST)" w:date="2023-10-28T20:53:00Z" w:initials="AZ">
    <w:p w14:paraId="7948B976" w14:textId="77777777" w:rsidR="00683A6C" w:rsidRDefault="00683A6C" w:rsidP="000C5954">
      <w:pPr>
        <w:pStyle w:val="CommentText"/>
      </w:pPr>
      <w:r>
        <w:rPr>
          <w:rStyle w:val="CommentReference"/>
        </w:rPr>
        <w:annotationRef/>
      </w:r>
      <w:r>
        <w:t>Table in appdendix, or better: refer to other paper</w:t>
      </w:r>
    </w:p>
  </w:comment>
  <w:comment w:id="67" w:author="Zimmermann, Andrea (EST)" w:date="2023-10-28T21:50:00Z" w:initials="AZ">
    <w:p w14:paraId="35282437" w14:textId="77777777" w:rsidR="00683A6C" w:rsidRDefault="00683A6C" w:rsidP="000C5954">
      <w:pPr>
        <w:pStyle w:val="CommentText"/>
      </w:pPr>
      <w:r>
        <w:rPr>
          <w:rStyle w:val="CommentReference"/>
        </w:rPr>
        <w:annotationRef/>
      </w:r>
      <w:r>
        <w:t>Again, need to think this carefully. It sounds a bit counterintuitive to argue all the time how good greater connectivity is but then say the opposite when it comes to mutual connectivity. Can this be resolved?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3D4F809" w15:done="0"/>
  <w15:commentEx w15:paraId="37AC9B23" w15:done="0"/>
  <w15:commentEx w15:paraId="0B190CB6" w15:done="0"/>
  <w15:commentEx w15:paraId="58EDA861" w15:done="0"/>
  <w15:commentEx w15:paraId="5F70AF35" w15:done="0"/>
  <w15:commentEx w15:paraId="1C44D0F7" w15:done="0"/>
  <w15:commentEx w15:paraId="38F6D706" w15:done="0"/>
  <w15:commentEx w15:paraId="0BEBFA33" w15:done="0"/>
  <w15:commentEx w15:paraId="26C64841" w15:done="0"/>
  <w15:commentEx w15:paraId="7948B976" w15:done="0"/>
  <w15:commentEx w15:paraId="3528243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D75886" w16cex:dateUtc="2023-10-16T04:36:00Z"/>
  <w16cex:commentExtensible w16cex:durableId="70603320" w16cex:dateUtc="2023-10-28T17:14:00Z"/>
  <w16cex:commentExtensible w16cex:durableId="7C8F72A5" w16cex:dateUtc="2023-10-28T17:57:00Z"/>
  <w16cex:commentExtensible w16cex:durableId="31DA5118" w16cex:dateUtc="2023-10-28T18:27:00Z"/>
  <w16cex:commentExtensible w16cex:durableId="373B6221" w16cex:dateUtc="2023-10-28T18:31:00Z"/>
  <w16cex:commentExtensible w16cex:durableId="42484340" w16cex:dateUtc="2023-10-28T18:44:00Z"/>
  <w16cex:commentExtensible w16cex:durableId="10CF4604" w16cex:dateUtc="2023-10-28T18:53:00Z"/>
  <w16cex:commentExtensible w16cex:durableId="5744187F" w16cex:dateUtc="2023-10-28T19: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3D4F809" w16cid:durableId="28D75886"/>
  <w16cid:commentId w16cid:paraId="37AC9B23" w16cid:durableId="52C087B5"/>
  <w16cid:commentId w16cid:paraId="0B190CB6" w16cid:durableId="58A19C8C"/>
  <w16cid:commentId w16cid:paraId="58EDA861" w16cid:durableId="0BDFEB28"/>
  <w16cid:commentId w16cid:paraId="5F70AF35" w16cid:durableId="70603320"/>
  <w16cid:commentId w16cid:paraId="1C44D0F7" w16cid:durableId="7C8F72A5"/>
  <w16cid:commentId w16cid:paraId="38F6D706" w16cid:durableId="31DA5118"/>
  <w16cid:commentId w16cid:paraId="0BEBFA33" w16cid:durableId="373B6221"/>
  <w16cid:commentId w16cid:paraId="26C64841" w16cid:durableId="42484340"/>
  <w16cid:commentId w16cid:paraId="7948B976" w16cid:durableId="10CF4604"/>
  <w16cid:commentId w16cid:paraId="35282437" w16cid:durableId="5744187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53B3D0" w14:textId="77777777" w:rsidR="00B57843" w:rsidRDefault="00B57843" w:rsidP="00701B17">
      <w:pPr>
        <w:spacing w:after="0" w:line="240" w:lineRule="auto"/>
      </w:pPr>
      <w:r>
        <w:separator/>
      </w:r>
    </w:p>
  </w:endnote>
  <w:endnote w:type="continuationSeparator" w:id="0">
    <w:p w14:paraId="3B91ECD0" w14:textId="77777777" w:rsidR="00B57843" w:rsidRDefault="00B57843" w:rsidP="00701B17">
      <w:pPr>
        <w:spacing w:after="0" w:line="240" w:lineRule="auto"/>
      </w:pPr>
      <w:r>
        <w:continuationSeparator/>
      </w:r>
    </w:p>
  </w:endnote>
  <w:endnote w:type="continuationNotice" w:id="1">
    <w:p w14:paraId="158156CB" w14:textId="77777777" w:rsidR="00B57843" w:rsidRDefault="00B5784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1897570"/>
      <w:docPartObj>
        <w:docPartGallery w:val="Page Numbers (Bottom of Page)"/>
        <w:docPartUnique/>
      </w:docPartObj>
    </w:sdtPr>
    <w:sdtEndPr>
      <w:rPr>
        <w:noProof/>
      </w:rPr>
    </w:sdtEndPr>
    <w:sdtContent>
      <w:p w14:paraId="12957259" w14:textId="6539B34A" w:rsidR="00683A6C" w:rsidRDefault="00683A6C">
        <w:pPr>
          <w:pStyle w:val="Footer"/>
          <w:jc w:val="right"/>
        </w:pPr>
        <w:r>
          <w:fldChar w:fldCharType="begin"/>
        </w:r>
        <w:r>
          <w:instrText xml:space="preserve"> PAGE   \* MERGEFORMAT </w:instrText>
        </w:r>
        <w:r>
          <w:fldChar w:fldCharType="separate"/>
        </w:r>
        <w:r>
          <w:rPr>
            <w:noProof/>
          </w:rPr>
          <w:t>20</w:t>
        </w:r>
        <w:r>
          <w:rPr>
            <w:noProof/>
          </w:rPr>
          <w:fldChar w:fldCharType="end"/>
        </w:r>
      </w:p>
    </w:sdtContent>
  </w:sdt>
  <w:p w14:paraId="572BD462" w14:textId="77777777" w:rsidR="00683A6C" w:rsidRDefault="00683A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E34FB5" w14:textId="77777777" w:rsidR="00B57843" w:rsidRDefault="00B57843" w:rsidP="00701B17">
      <w:pPr>
        <w:spacing w:after="0" w:line="240" w:lineRule="auto"/>
      </w:pPr>
      <w:r>
        <w:separator/>
      </w:r>
    </w:p>
  </w:footnote>
  <w:footnote w:type="continuationSeparator" w:id="0">
    <w:p w14:paraId="19DA5660" w14:textId="77777777" w:rsidR="00B57843" w:rsidRDefault="00B57843" w:rsidP="00701B17">
      <w:pPr>
        <w:spacing w:after="0" w:line="240" w:lineRule="auto"/>
      </w:pPr>
      <w:r>
        <w:continuationSeparator/>
      </w:r>
    </w:p>
  </w:footnote>
  <w:footnote w:type="continuationNotice" w:id="1">
    <w:p w14:paraId="2226669A" w14:textId="77777777" w:rsidR="00B57843" w:rsidRDefault="00B57843">
      <w:pPr>
        <w:spacing w:after="0" w:line="240" w:lineRule="auto"/>
      </w:pPr>
    </w:p>
  </w:footnote>
  <w:footnote w:id="2">
    <w:p w14:paraId="7C82CAEA" w14:textId="357D6E3F" w:rsidR="00683A6C" w:rsidRPr="005C26FA" w:rsidRDefault="00683A6C" w:rsidP="00766806">
      <w:pPr>
        <w:pStyle w:val="FootnoteText"/>
        <w:rPr>
          <w:lang w:val="en-GB"/>
        </w:rPr>
      </w:pPr>
      <w:r w:rsidRPr="0060464F">
        <w:rPr>
          <w:rStyle w:val="FootnoteReference"/>
        </w:rPr>
        <w:footnoteRef/>
      </w:r>
      <w:r>
        <w:rPr>
          <w:rStyle w:val="FootnoteReference"/>
        </w:rPr>
        <w:footnoteRef/>
      </w:r>
      <w:r w:rsidRPr="005C26FA">
        <w:rPr>
          <w:lang w:val="en-GB"/>
        </w:rPr>
        <w:t xml:space="preserve"> </w:t>
      </w:r>
      <w:r w:rsidR="005C26FA" w:rsidRPr="005C26FA">
        <w:rPr>
          <w:lang w:val="en-GB"/>
        </w:rPr>
        <w:t>Maintaining a constant network size eliminates the necessity to normalize individual country-level measures based on the star network. This is because the connectivity of the star network would remain consistent across years for each connectivity measure.</w:t>
      </w:r>
    </w:p>
  </w:footnote>
  <w:footnote w:id="3">
    <w:p w14:paraId="7143679D" w14:textId="2DCA604D" w:rsidR="005C26FA" w:rsidRPr="005C26FA" w:rsidRDefault="005C26FA" w:rsidP="005C26FA">
      <w:pPr>
        <w:pStyle w:val="FootnoteText"/>
        <w:rPr>
          <w:rFonts w:ascii="Times New Roman" w:hAnsi="Times New Roman" w:cs="Times New Roman"/>
          <w:sz w:val="22"/>
          <w:szCs w:val="24"/>
          <w:lang w:val="en-GB"/>
        </w:rPr>
      </w:pPr>
      <w:r w:rsidRPr="0060464F">
        <w:rPr>
          <w:rStyle w:val="FootnoteReference"/>
        </w:rPr>
        <w:footnoteRef/>
      </w:r>
      <w:r w:rsidRPr="009D4A42">
        <w:rPr>
          <w:lang w:val="en-GB"/>
        </w:rPr>
        <w:t xml:space="preserve"> </w:t>
      </w:r>
      <w:r w:rsidRPr="005C26FA">
        <w:rPr>
          <w:rFonts w:ascii="Times New Roman" w:hAnsi="Times New Roman" w:cs="Times New Roman"/>
          <w:sz w:val="22"/>
          <w:szCs w:val="24"/>
          <w:lang w:val="en-GB"/>
        </w:rPr>
        <w:t xml:space="preserve">Our calculation of Obesity index is based on 10,000 random samples of four observations draw from the all observations. Our index is based on 10,000 random samples of four observations. </w:t>
      </w:r>
      <w:r w:rsidRPr="005C26FA">
        <w:rPr>
          <w:rFonts w:ascii="Times New Roman" w:hAnsi="Times New Roman" w:cs="Times New Roman"/>
          <w:sz w:val="22"/>
          <w:szCs w:val="24"/>
        </w:rPr>
        <w:t xml:space="preserve">The obesity index is </w:t>
      </w:r>
      <w:r w:rsidRPr="005C26FA">
        <w:rPr>
          <w:rFonts w:ascii="Times New Roman" w:hAnsi="Times New Roman" w:cs="Times New Roman"/>
          <w:sz w:val="22"/>
          <w:szCs w:val="24"/>
          <w:lang w:val="en-GB"/>
        </w:rPr>
        <w:t xml:space="preserve"> computed as </w:t>
      </w:r>
      <m:oMath>
        <m:r>
          <w:rPr>
            <w:rFonts w:ascii="Cambria Math" w:hAnsi="Cambria Math" w:cs="Times New Roman"/>
            <w:sz w:val="22"/>
            <w:szCs w:val="24"/>
            <w:lang w:val="en-GB"/>
          </w:rPr>
          <m:t>OB</m:t>
        </m:r>
        <m:d>
          <m:dPr>
            <m:ctrlPr>
              <w:rPr>
                <w:rFonts w:ascii="Cambria Math" w:hAnsi="Cambria Math" w:cs="Times New Roman"/>
                <w:sz w:val="22"/>
                <w:szCs w:val="24"/>
                <w:lang w:val="en-GB"/>
              </w:rPr>
            </m:ctrlPr>
          </m:dPr>
          <m:e>
            <m:r>
              <w:rPr>
                <w:rFonts w:ascii="Cambria Math" w:hAnsi="Cambria Math" w:cs="Times New Roman"/>
                <w:sz w:val="22"/>
                <w:szCs w:val="24"/>
                <w:lang w:val="en-GB"/>
              </w:rPr>
              <m:t>X</m:t>
            </m:r>
          </m:e>
        </m:d>
        <m:r>
          <m:rPr>
            <m:sty m:val="p"/>
          </m:rPr>
          <w:rPr>
            <w:rFonts w:ascii="Cambria Math" w:hAnsi="Cambria Math" w:cs="Times New Roman"/>
            <w:sz w:val="22"/>
            <w:szCs w:val="24"/>
            <w:lang w:val="en-GB"/>
          </w:rPr>
          <m:t>=</m:t>
        </m:r>
        <m:r>
          <w:rPr>
            <w:rFonts w:ascii="Cambria Math" w:hAnsi="Cambria Math" w:cs="Times New Roman"/>
            <w:sz w:val="22"/>
            <w:szCs w:val="24"/>
            <w:lang w:val="en-GB"/>
          </w:rPr>
          <m:t>P</m:t>
        </m:r>
        <m:r>
          <m:rPr>
            <m:sty m:val="p"/>
          </m:rPr>
          <w:rPr>
            <w:rFonts w:ascii="Cambria Math" w:hAnsi="Cambria Math" w:cs="Times New Roman"/>
            <w:sz w:val="22"/>
            <w:szCs w:val="24"/>
            <w:lang w:val="en-GB"/>
          </w:rPr>
          <m:t>(X1+X4 &gt;X2+ X3|</m:t>
        </m:r>
        <m:r>
          <w:rPr>
            <w:rFonts w:ascii="Cambria Math" w:hAnsi="Cambria Math" w:cs="Times New Roman"/>
            <w:sz w:val="22"/>
            <w:szCs w:val="24"/>
            <w:lang w:val="en-GB"/>
          </w:rPr>
          <m:t>X</m:t>
        </m:r>
        <m:r>
          <m:rPr>
            <m:sty m:val="p"/>
          </m:rPr>
          <w:rPr>
            <w:rFonts w:ascii="Cambria Math" w:hAnsi="Cambria Math" w:cs="Times New Roman"/>
            <w:sz w:val="22"/>
            <w:szCs w:val="24"/>
            <w:lang w:val="en-GB"/>
          </w:rPr>
          <m:t>1≤</m:t>
        </m:r>
        <m:r>
          <w:rPr>
            <w:rFonts w:ascii="Cambria Math" w:hAnsi="Cambria Math" w:cs="Times New Roman"/>
            <w:sz w:val="22"/>
            <w:szCs w:val="24"/>
            <w:lang w:val="en-GB"/>
          </w:rPr>
          <m:t>X</m:t>
        </m:r>
        <m:r>
          <m:rPr>
            <m:sty m:val="p"/>
          </m:rPr>
          <w:rPr>
            <w:rFonts w:ascii="Cambria Math" w:hAnsi="Cambria Math" w:cs="Times New Roman"/>
            <w:sz w:val="22"/>
            <w:szCs w:val="24"/>
            <w:lang w:val="en-GB"/>
          </w:rPr>
          <m:t>2≤</m:t>
        </m:r>
        <m:r>
          <w:rPr>
            <w:rFonts w:ascii="Cambria Math" w:hAnsi="Cambria Math" w:cs="Times New Roman"/>
            <w:sz w:val="22"/>
            <w:szCs w:val="24"/>
            <w:lang w:val="en-GB"/>
          </w:rPr>
          <m:t>X</m:t>
        </m:r>
        <m:r>
          <m:rPr>
            <m:sty m:val="p"/>
          </m:rPr>
          <w:rPr>
            <w:rFonts w:ascii="Cambria Math" w:hAnsi="Cambria Math" w:cs="Times New Roman"/>
            <w:sz w:val="22"/>
            <w:szCs w:val="24"/>
            <w:lang w:val="en-GB"/>
          </w:rPr>
          <m:t>3≤</m:t>
        </m:r>
        <m:r>
          <w:rPr>
            <w:rFonts w:ascii="Cambria Math" w:hAnsi="Cambria Math" w:cs="Times New Roman"/>
            <w:sz w:val="22"/>
            <w:szCs w:val="24"/>
            <w:lang w:val="en-GB"/>
          </w:rPr>
          <m:t>x</m:t>
        </m:r>
        <m:r>
          <m:rPr>
            <m:sty m:val="p"/>
          </m:rPr>
          <w:rPr>
            <w:rFonts w:ascii="Cambria Math" w:hAnsi="Cambria Math" w:cs="Times New Roman"/>
            <w:sz w:val="22"/>
            <w:szCs w:val="24"/>
            <w:lang w:val="en-GB"/>
          </w:rPr>
          <m:t>4)</m:t>
        </m:r>
      </m:oMath>
    </w:p>
  </w:footnote>
  <w:footnote w:id="4">
    <w:p w14:paraId="059A852D" w14:textId="77777777" w:rsidR="005C26FA" w:rsidRDefault="005C26FA" w:rsidP="005C26FA">
      <w:pPr>
        <w:pStyle w:val="NormalWeb"/>
      </w:pPr>
      <w:r w:rsidRPr="0060464F">
        <w:rPr>
          <w:rStyle w:val="FootnoteReference"/>
        </w:rPr>
        <w:footnoteRef/>
      </w:r>
      <w:r w:rsidRPr="005C26FA">
        <w:rPr>
          <w:lang w:val="en-GB"/>
        </w:rPr>
        <w:t xml:space="preserve"> </w:t>
      </w:r>
      <w:r>
        <w:t>In a trade network, betweenness holds significance concerning the direct importance of countries for the exchange of commodities and intermediate inputs. However, it's essential to note that this index doesn't exclusively indicate the importance of commodity transactions. In scenarios where there are no commodity transactions, a high betweenness measure implies that countries with significant betweenness are central in financial flows among countries. Therefore, a shock in these countries can significantly impact the rest of the network.</w:t>
      </w:r>
    </w:p>
    <w:p w14:paraId="074BCA6D" w14:textId="2A4A75EB" w:rsidR="005C26FA" w:rsidRPr="005C26FA" w:rsidRDefault="005C26FA">
      <w:pPr>
        <w:pStyle w:val="FootnoteText"/>
        <w:rPr>
          <w:lang w:val="en-US"/>
        </w:rPr>
      </w:pPr>
    </w:p>
  </w:footnote>
  <w:footnote w:id="5">
    <w:p w14:paraId="607B1CDA" w14:textId="463A5630" w:rsidR="00DA4A57" w:rsidRPr="004454FA" w:rsidRDefault="00DA4A57" w:rsidP="00DA4A57">
      <w:pPr>
        <w:pStyle w:val="FootnoteText"/>
        <w:rPr>
          <w:lang w:val="en-GB"/>
        </w:rPr>
      </w:pPr>
      <w:r w:rsidRPr="0060464F">
        <w:rPr>
          <w:rStyle w:val="FootnoteReference"/>
        </w:rPr>
        <w:footnoteRef/>
      </w:r>
      <w:r w:rsidRPr="004454FA">
        <w:rPr>
          <w:lang w:val="en-GB"/>
        </w:rPr>
        <w:t xml:space="preserve">FAOSTAT is source of official statistics pertaining to global food and agriculture, encompassing bilateral trade matrices. While not utilized for comparison in this particular context, FAOSTAT trade data elements align with other FAOSTAT domains and are easily accessible. Consequently, FAOSTAT trade data holds significant appeal as a preferred resource for examining worldwide agricultural trade. Recent </w:t>
      </w:r>
      <w:r>
        <w:rPr>
          <w:lang w:val="en-GB"/>
        </w:rPr>
        <w:t>examples</w:t>
      </w:r>
      <w:r w:rsidRPr="004454FA">
        <w:rPr>
          <w:lang w:val="en-GB"/>
        </w:rPr>
        <w:t xml:space="preserve"> using FAOSTAT trade data for network analysis include </w:t>
      </w:r>
      <w:r w:rsidRPr="00D9790C">
        <w:fldChar w:fldCharType="begin"/>
      </w:r>
      <w:r w:rsidR="0060464F">
        <w:rPr>
          <w:lang w:val="en-GB"/>
        </w:rPr>
        <w:instrText xml:space="preserve"> ADDIN ZOTERO_ITEM CSL_CITATION {"citationID":"5uZOHo7G","properties":{"formattedCitation":"(Burkholz and Schweitzer, 2019; Chung {\\i{}et al.}, 2020; Dupas, Halloy and Chatzimpiros, 2019; Fair, Bauch and Anand, 2017; Grassia {\\i{}et al.}, 2022; Guti\\uc0\\u233{}rrez-Moya, Adenso-D\\uc0\\u237{}az and Lozano, 2021; Guti\\uc0\\u233{}rrez-Moya, Lozano and Adenso-D\\uc0\\u237{}az, 2020; Konar {\\i{}et al.}, 2011; Puma {\\i{}et al.}, 2015; Sartori and Schiavo, 2015; Shutters and Muneepeerakul, 2012; Torreggiani {\\i{}et al.}, 2018)","plainCitation":"(Burkholz and Schweitzer, 2019; Chung et al., 2020; Dupas, Halloy and Chatzimpiros, 2019; Fair, Bauch and Anand, 2017; Grassia et al., 2022; Gutiérrez-Moya, Adenso-Díaz and Lozano, 2021; Gutiérrez-Moya, Lozano and Adenso-Díaz, 2020; Konar et al., 2011; Puma et al., 2015; Sartori and Schiavo, 2015; Shutters and Muneepeerakul, 2012; Torreggiani et al., 2018)","noteIndex":4},"citationItems":[{"id":"1qXGYDro/A1kFUgAA","uris":["http://zotero.org/users/203136/items/TA82ZGJA"],"itemData":{"id":6350,"type":"article-journal","abstract":"Analyzing available FAO data from 176 countries over 21 years, we observe an increase of complexity in the international trade of maize, rice, soy, and wheat. A larger number of countries play a role as producers or intermediaries, either for trade or food processing. In consequence, we find that the trade networks become more prone to failure cascades caused by exogenous shocks. In our model, countries compensate for demand deficits by imposing export restrictions. To capture these, we construct higher-order trade dependency networks for the different crops and years. These networks reveal hidden dependencies between countries and provide an estimate of necessary stock reserves to protect countries from cascading export restrictions. They differ substantially from first-order networks that do not take cascading effects into account. We find rice trade most prone to cascading export restrictions. A great number of Asian and African countries are most exposed to cascades. Noticeably, the main suppliers are similar for most of the crops: USA, Canada, Argentina, Brazil, and India. While shocks in the USA mainly affect South America and several Asian countries, the south of Africa is primarily dependent on American and Asian exporters. The north of Africa depends strongly on Europe, in particular via wheat imports.","container-title":"Environmental Research Letters","DOI":"10.1088/1748-9326/ab4864","ISSN":"1748-9326","issue":"11","journalAbbreviation":"Environ. Res. Lett.","language":"en","note":"publisher: IOP Publishing","page":"114013","source":"Institute of Physics","title":"International crop trade networks: the impact of shocks and cascades","title-short":"International crop trade networks","volume":"14","author":[{"family":"Burkholz","given":"Rebekka"},{"family":"Schweitzer","given":"Frank"}],"issued":{"date-parts":[["2019",10]]}}},{"id":"1qXGYDro/OUwMLooL","uris":["http://zotero.org/users/203136/items/BC7E7N42"],"itemData":{"id":1220,"type":"article-journal","abstract":"Rapid increases in meat trade generate complex global networks across countries. However, there has been little research quantifying the dynamics of meat trade networks and the underlying forces that structure them. Using longitudinal network data for 134 countries from 1995 to 2015, we combined network modeling and cluster analysis to simultaneously identify the structural changes in meat trade networks and the factors that influence the networks themselves. The integrated network approach uncovers a general consolidation of global meat trade networks over time, although some global events may have weakened this consolidation both regionally and globally. In consolidated networks, the presence of trade agreements and short geographic distances between pairs of countries are associated with increases in meat trade. Countries with rapid population and income growth greatly depend on meat imports. Furthermore, countries with high food availability import large quantities of meat products to satisfy their various meat preferences. The findings from this network approach provide key insights that can be used to better understand the social and environmental consequences of increasing global meat trade.","container-title":"Scientific Reports","DOI":"10.1038/s41598-020-73591-2","ISSN":"2045-2322","issue":"1","language":"en","license":"2020 The Author(s)","note":"number: 1\npublisher: Nature Publishing Group","page":"16657","source":"www.nature.com","title":"The spatial and temporal dynamics of global meat trade networks","volume":"10","author":[{"family":"Chung","given":"Min Gon"},{"family":"Kapsar","given":"Kelly"},{"family":"Frank","given":"Kenneth A."},{"family":"Liu","given":"Jianguo"}],"issued":{"date-parts":[["2020",10,7]]}}},{"id":"1qXGYDro/YZ5AbkBU","uris":["http://zotero.org/users/203136/items/IAMVIYHG"],"itemData":{"id":1669,"type":"article-journal","abstract":"The development of industrial agriculture has enabled a sharp increase in food trade at the global scale. Worldwide trade underpins food security by distributing food surpluses to food deficient countries. The study of agricultural product flows can provide insights on the complex interactions between exporting and importing countries and the resulting network structures. Commercial partnerships between countries can be modelled using a complex network approach. Based on the detailed trade matrices from FAO covering the period from 1986 to 2013, we present an analysis of the world cereal trade in terms of weighted and directed networks. The network nodes are the countries and the links are the trades of agricultural products in mass. We reveal the changing topology and degree distribution of the world network during the studied period. We distinguish three entangled subnetwork structures when considering the temporal stability of the trades. The three subnetworks display distinct properties and a differential contribution in total trade. Trades of uninterrupted activity over the 28-year study period compose the backbone network which accounts for two thirds of all traded mass and is scale-free. Inversely, two thirds of the trades only have one or two consecutive years of activity and define the transient subnetwork which displays random growth and accounts for very little traded mass. The trades of intermediate duration display an exponential growth both in numbers and in traded mass and define the intermediate subnetwork. The topology of each subnetwork is a time invariant. The identification of invariant structures is a useful basis for developing prospective agri-food network modelling to assess their resilience to perturbations and shocks.","container-title":"PLOS ONE","DOI":"10.1371/journal.pone.0216318","ISSN":"1932-6203","issue":"5","journalAbbreviation":"PLOS ONE","language":"en","note":"publisher: Public Library of Science","page":"e0216318","source":"PLoS Journals","title":"Time dynamics and invariant subnetwork structures in the world cereals trade network","volume":"14","author":[{"family":"Dupas","given":"Marie-Cécile"},{"family":"Halloy","given":"José"},{"family":"Chatzimpiros","given":"Petros"}],"issued":{"date-parts":[["2019",5,22]]}}},{"id":"1qXGYDro/g4RiZ9Lp","uris":["http://zotero.org/users/203136/items/Y94QWW39"],"itemData":{"id":43,"type":"article-journal","abstract":"Agri-food trade networks are increasingly vital to human well-being in a globalising world. Models can help us gain insights into trade network dynamics and predict how they might respond to future disturbances such as extreme weather events. Here we develop a preferential attachment (PA) network model of the global wheat trade network. We find that the PA model can replicate the time evolution of crucial wheat trade network metrics from 1986 to 2011. We use the calibrated PA model to predict the response of wheat trade network metrics to shocks of differing length and severity, including both attacks (outward edge removal on high degree nodes) and errors (outward edge removal on randomly selected nodes). We predict that the network will become less vulnerable to attacks but will continue to exhibit low resilience until 2050. Even short-term shocks strongly increase link diversity and cause long-term structural changes that influence the network’s response to subsequent shocks. Attacks have a greater impact than errors. However, with repeated attacks, each attack has a lesser impact than the previous attack. We conclude that dynamic models of multi-annual, commodity-specific networks should be further developed to gain insight into possible futures of global agri-food trade networks.","container-title":"Scientific Reports","DOI":"10.1038/s41598-017-07202-y","ISSN":"2045-2322","issue":"1","journalAbbreviation":"Sci Rep","language":"en","license":"2017 The Author(s)","note":"number: 1\npublisher: Nature Publishing Group","page":"7177","source":"www.nature.com","title":"Dynamics of the Global Wheat Trade Network and Resilience to Shocks","volume":"7","author":[{"family":"Fair","given":"Kathyrn R."},{"family":"Bauch","given":"Chris T."},{"family":"Anand","given":"Madhur"}],"issued":{"date-parts":[["2017",8,3]]}}},{"id":"1qXGYDro/N5eDz5ci","uris":["http://zotero.org/users/203136/items/2JMZX898"],"itemData":{"id":6218,"type":"article-journal","abstract":"In the context of a global food system, the dynamics associated to international food trade have become key determinants of food security. In this paper, we resort to a diffusion model to simulate how shocks to domestic food production propagate through the international food trade network and study the relationship between trade openness and vulnerability. The results of our simulations suggest that low-income and food insecure countries tend to be the more exposed to external shocks and, at the same time, they are usually not in a position to take full advantage of international food trade when it comes to shield themselves from shocks to domestic production. We also study and discuss how nodes characteristics are associated with the propagation dynamics and with countries’ vulnerability, finding that simple centrality measures can significantly predict the magnitude of the shock experienced by individual countries.","container-title":"Scientific Reports","DOI":"10.1038/s41598-022-08419-2","ISSN":"2045-2322","issue":"1","journalAbbreviation":"Sci Rep","language":"en","license":"2022 The Author(s)","note":"number: 1\npublisher: Nature Publishing Group","page":"4644","source":"www.nature.com","title":"Insights into countries’ exposure and vulnerability to food trade shocks from network-based simulations","volume":"12","author":[{"family":"Grassia","given":"Marco"},{"family":"Mangioni","given":"Giuseppe"},{"family":"Schiavo","given":"Stefano"},{"family":"Traverso","given":"Silvio"}],"issued":{"date-parts":[["2022",3,17]]}}},{"id":"1qXGYDro/QIBSJFGu","uris":["http://zotero.org/users/203136/items/V7A6XMTV"],"itemData":{"id":1222,"type":"article-journal","abstract":"Wheat is one of the three basic cereals providing the necessary calorific intake for most of the world’s population. For this reason, its trade is critical to many countries in order to fulfil their internal demand and strategic stocks. In this paper, we use complex network analysis tools to study the international wheat trade network and its evolving characteristics for the period 2009–2013. To understand the vulnerability of each country’s dependence on the imports of this crop we have performed different analyses, simulating shocks of varying intensities for the main wheat producers, and observed the population affected by the production drop. As a result, we conclude that globally the network is slightly more resilient than four years previously, although at the same time some developing countries have slipped into a vulnerable situation. We have also analysed the effects of a global shock affecting all major producers, assessing its impact on every country. Some comments on the COVID-19 outbreak and the political decisions taken by governments following the pandemic declaration are included, observing that given their capital-intensive characteristics, no negative effects should currently be expected in the wheat market.","container-title":"Food Security","DOI":"10.1007/s12571-020-01117-9","ISSN":"1876-4525","issue":"1","journalAbbreviation":"Food Sec.","language":"en","page":"113-128","source":"Springer Link","title":"Analysis and vulnerability of the international wheat trade network","volume":"13","author":[{"family":"Gutiérrez-Moya","given":"E."},{"family":"Adenso-Díaz","given":"B."},{"family":"Lozano","given":"S."}],"issued":{"date-parts":[["2021",2,1]]}}},{"id":"1qXGYDro/oHB9lgWB","uris":["http://zotero.org/users/203136/items/4ZPIYRPD"],"itemData":{"id":1221,"type":"article-journal","abstract":"This paper studies the relationship between wheat trading countries using both descriptive and statistical inference methods for complex networks. The global Wheat Trade Network (WTN) and its evolving topological characteristics is analysed for the periods 2009&amp;ndash;2013 and 2014&amp;ndash;2018, using the Food and Agriculture Organization (FAO) data. The network characterisation measures in both periods are rather stable. There are some differences, however, in the magnitude of some measures (e.g., connectivity or disassortativity), and a higher degree of inequality in the distribution of the number of partners and the distribution of trade volume in the period 2014&amp;ndash;2018. An Exponential Random Graph Model (ERGM) has been applied to identify significant determinants associated with the presence/absence of trade links between countries. The results indicate that wheat trade links are driven mainly by country openness, reciprocity (mutual importer-exporter relationship), whether the exporting country is US or Canada and the geographical location of importer and exporter. Other factors, such as the economic size of the importing country, if the importing country is US or Canada and the land surface of the exporting country also contribute less to capture interlinkages of WTN.","container-title":"Agronomy","DOI":"10.3390/agronomy10121967","issue":"12","language":"en","license":"http://creativecommons.org/licenses/by/3.0/","note":"number: 12\npublisher: Multidisciplinary Digital Publishing Institute","page":"1967","source":"www.mdpi.com","title":"Analysing the Structure of the Global Wheat Trade Network: An ERGM Approach","title-short":"Analysing the Structure of the Global Wheat Trade Network","volume":"10","author":[{"family":"Gutiérrez-Moya","given":"Ester"},{"family":"Lozano","given":"Sebastián"},{"family":"Adenso-Díaz","given":"Belarmino"}],"issued":{"date-parts":[["2020",12]]}}},{"id":"1qXGYDro/Qu5gDtSM","uris":["http://zotero.org/users/203136/items/38SMFD2I"],"itemData":{"id":1224,"type":"article-journal","abstract":"We present a novel conceptual framework and methodology for studying virtual water trade. We utilize complex network theory to analyze the structure of the global virtual water trade associated with the international food trade. In the global virtual water trade network, the nations that participate in the international food trade correspond to the nodes, and the links represent the flows of virtual water associated with the trade of food from the country of export to the country of import. We find that the number of trade connections follows an exponential distribution, except for the case of import trade relationships, while the volume of water that each nation trades compares well with a stretched exponential distribution, indicating high heterogeneity of flows between nations. There is a power law relationship between the volume of virtual water traded and the number of trade connections of each nation. Highly connected nations are preferentially linked to poorly connected nations and exhibit low levels of clustering. However, when the volume of virtual water traded is taken into account, this structure breaks down. This indicates a global hierarchy, in which nations that trade large volumes of water are more likely to link to and cluster with other nations that trade large volumes of water, particularly when the direction of trade is considered. Nations that play a critical role in maintaining the global network architecture are highlighted. Our analysis provides the necessary framework for the development of a model of global virtual water trade aimed at applications ranging from network optimization to climate change impact evaluations.","container-title":"Water Resources Research","DOI":"https://doi.org/10.1029/2010WR010307","ISSN":"1944-7973","issue":"5","language":"en","license":"Copyright 2011 by the American Geophysical Union.","note":"_eprint: https://agupubs.onlinelibrary.wiley.com/doi/pdf/10.1029/2010WR010307","source":"Wiley Online Library","title":"Water for food: The global virtual water trade network","title-short":"Water for food","URL":"https://agupubs.onlinelibrary.wiley.com/doi/abs/10.1029/2010WR010307","volume":"47","author":[{"family":"Konar","given":"M."},{"family":"Dalin","given":"C."},{"family":"Suweis","given":"S."},{"family":"Hanasaki","given":"N."},{"family":"Rinaldo","given":"A."},{"family":"Rodriguez‐Iturbe","given":"I."}],"accessed":{"date-parts":[["2021",3,22]]},"issued":{"date-parts":[["2011"]]}}},{"id":"1qXGYDro/oLBt3Es7","uris":["http://zotero.org/users/203136/items/M3MRN5MR"],"itemData":{"id":45,"type":"article-journal","abstract":"The world food crisis in 2008 highlighted the susceptibility of the global food system to price shocks. Here we use annual staple food production and trade data from 1992–2009 to analyse the changing properties of the global food system. Over the 18 year study period, we show that the global food system is relatively homogeneous (85% of countries have low or marginal food self-sufficiency) and increases in complexity, with the number of global wheat and rice trade connections doubling and trade flows increasing by 42 and 90%, respectively. The increased connectivity and flows within these global trade networks suggest that the global food system is vulnerable to systemic disruptions, especially considering the tendency for exporting countries to switch to non-exporting states during times of food scarcity in the global markets. To test this hypothesis, we superimpose continental-scale disruptions on the wheat and rice trade networks. We find greater absolute reductions in global wheat and rice exports along with larger losses in network connectivity as the networks evolve due to disruptions in European wheat and Asian rice production. Importantly, our findings indicate that least developed countries suffer greater import losses in more connected networks through their increased dependence on imports for staple foods (due to these large-scale disturbances): mean (median) wheat losses as percentages of staple food supply are 8.9% (3.8%) for 1992–1996, increasing to 11% (5.7%) for 2005–2009. Over the same intervals, rice losses increase from 8.2% (2.2%) to 14% (5.2%). Our work indicates that policy efforts should focus on balancing the efficiency of international trade (and its associated specialization) with increased resilience of domestic production and global demand diversity.","container-title":"Environmental Research Letters","DOI":"10.1088/1748-9326/10/2/024007","ISSN":"1748-9326","issue":"2","journalAbbreviation":"Environ. Res. Lett.","language":"en","note":"publisher: IOP Publishing","page":"024007","source":"Institute of Physics","title":"Assessing the evolving fragility of the global food system","volume":"10","author":[{"family":"Puma","given":"Michael J."},{"family":"Bose","given":"Satyajit"},{"family":"Chon","given":"So Young"},{"family":"Cook","given":"Benjamin I."}],"issued":{"date-parts":[["2015",2]]}}},{"id":"1qXGYDro/yLQbwru8","uris":["http://zotero.org/users/203136/items/ZTJKRYTM"],"itemData":{"id":1226,"type":"article-journal","abstract":"We analyze the link between virtual water trade, that is, the flow of water embodied in the international trade of agricultural goods, and vulnerability to external shocks from the vantage point of network analysis. While a large body of work has shown that virtual water trade can enhance water saving on a global scale, being especially beneficial to arid countries, there are increasing concerns that openness makes countries more dependent on foreign food suppliers and, in this way, more prone to external shocks. Our evidence reveals that the increased globalization witnessed in the last three decades is not associated with the increased frequency of adverse shocks (in food production). Furthermore, building on recent advances in network analysis that connect the stability of a complex system to its topological features, we find that the world is more interconnected, but not necessarily less stable.","container-title":"Food Policy","DOI":"10.1016/j.foodpol.2015.10.004","ISSN":"0306-9192","journalAbbreviation":"Food Policy","language":"en","page":"114-127","source":"ScienceDirect","title":"Connected we stand: A network perspective on trade and global food security","title-short":"Connected we stand","volume":"57","author":[{"family":"Sartori","given":"Martina"},{"family":"Schiavo","given":"Stefano"}],"issued":{"date-parts":[["2015",11,1]]}}},{"id":"1qXGYDro/vYkL0uiE","uris":["http://zotero.org/users/203136/items/D7TDSVVE"],"itemData":{"id":1234,"type":"article-journal","abstract":"International trade networks are manifestations of a complex combination of diverse underlying factors, both natural and social. Here we apply social network analytics to the international trade network of agricultural products to better understand the nature of this network and its relation to patterns of international development. Using a network tool known as triadic analysis we develop triad significance profiles for a series of agricultural commodities traded among countries. Results reveal a novel network “superfamily” combining properties of biological information processing networks and human social networks. To better understand this unique network signature, we examine in more detail the degree and triadic distributions within the trade network by country and commodity. Our results show that countries fall into two very distinct classes based on their triadic frequencies. Roughly 165 countries fall into one class while 18, all highly isolated with respect to international agricultural trade, fall into the other. Only Vietnam stands out as a unique case. Finally, we show that as a country becomes less isolated with respect to number of trading partners, the country's triadic signature follows a predictable trajectory that may correspond to a trajectory of development.","container-title":"PLOS ONE","DOI":"10.1371/journal.pone.0039756","ISSN":"1932-6203","issue":"7","journalAbbreviation":"PLOS ONE","language":"en","note":"publisher: Public Library of Science","page":"e39756","source":"PLoS Journals","title":"Agricultural Trade Networks and Patterns of Economic Development","volume":"7","author":[{"family":"Shutters","given":"Shade T."},{"family":"Muneepeerakul","given":"Rachata"}],"issued":{"date-parts":[["2012",7,2]]}}},{"id":"1qXGYDro/vU268qTN","uris":["http://zotero.org/users/203136/items/QBR2CECV"],"itemData":{"id":1592,"type":"article-journal","abstract":"Achieving international food security requires improved understanding of how international trade networks connect countries around the world through the import-export flows of food commodities. The properties of international food trade networks are still poorly documented, especially from a multi-network perspective. In particular, nothing is known about the multi-network’s community structure. Here we find that the individual crop-specific layers of the multi-network have densely connected trading groups, a consistent characteristic over the period 2001–2011. Further, the multi-network is characterized by low variability over this period but with substantial heterogeneity across layers in each year. In particular, the layers are mostly assortative: more-intensively connected countries tend to import from and export to countries that are themselves more connected. We also fit econometric models to identify social, economic and geographic factors explaining the probability that any two countries are co-present in the same community. Our estimates indicate that the probability of country pairs belonging to the same food trade community depends more on geopolitical and economic factors—such as geographical proximity and trade-agreement co-membership—than on country economic size and/or income. These community-structure findings of the multi-network are especially valuable for efforts to understand past and emerging dynamics in the global food system, especially those that examine potential ‘shocks’ to global food trade.","container-title":"Environmental Research Letters","DOI":"10.1088/1748-9326/aabf23","ISSN":"1748-9326","issue":"5","journalAbbreviation":"Environ. Res. Lett.","language":"en","note":"publisher: IOP Publishing","page":"054026","source":"Institute of Physics","title":"Identifying the community structure of the food-trade international multi-network","volume":"13","author":[{"family":"Torreggiani","given":"S."},{"family":"Mangioni","given":"G."},{"family":"Puma","given":"M. J."},{"family":"Fagiolo","given":"G."}],"issued":{"date-parts":[["2018",5]]}}}],"schema":"https://github.com/citation-style-language/schema/raw/master/csl-citation.json"} </w:instrText>
      </w:r>
      <w:r w:rsidRPr="00D9790C">
        <w:fldChar w:fldCharType="separate"/>
      </w:r>
      <w:r w:rsidR="00AE2133" w:rsidRPr="00AE2133">
        <w:rPr>
          <w:rFonts w:cs="Times New Roman"/>
          <w:szCs w:val="24"/>
        </w:rPr>
        <w:t xml:space="preserve">(Burkholz and Schweitzer, 2019; Chung </w:t>
      </w:r>
      <w:r w:rsidR="00AE2133" w:rsidRPr="00AE2133">
        <w:rPr>
          <w:rFonts w:cs="Times New Roman"/>
          <w:i/>
          <w:iCs/>
          <w:szCs w:val="24"/>
        </w:rPr>
        <w:t>et al.</w:t>
      </w:r>
      <w:r w:rsidR="00AE2133" w:rsidRPr="00AE2133">
        <w:rPr>
          <w:rFonts w:cs="Times New Roman"/>
          <w:szCs w:val="24"/>
        </w:rPr>
        <w:t xml:space="preserve">, 2020; Dupas, Halloy and Chatzimpiros, 2019; Fair, Bauch and Anand, 2017; Grassia </w:t>
      </w:r>
      <w:r w:rsidR="00AE2133" w:rsidRPr="00AE2133">
        <w:rPr>
          <w:rFonts w:cs="Times New Roman"/>
          <w:i/>
          <w:iCs/>
          <w:szCs w:val="24"/>
        </w:rPr>
        <w:t>et al.</w:t>
      </w:r>
      <w:r w:rsidR="00AE2133" w:rsidRPr="00AE2133">
        <w:rPr>
          <w:rFonts w:cs="Times New Roman"/>
          <w:szCs w:val="24"/>
        </w:rPr>
        <w:t xml:space="preserve">, 2022; Gutiérrez-Moya, Adenso-Díaz and Lozano, 2021; Gutiérrez-Moya, Lozano and Adenso-Díaz, 2020; Konar </w:t>
      </w:r>
      <w:r w:rsidR="00AE2133" w:rsidRPr="00AE2133">
        <w:rPr>
          <w:rFonts w:cs="Times New Roman"/>
          <w:i/>
          <w:iCs/>
          <w:szCs w:val="24"/>
        </w:rPr>
        <w:t>et al.</w:t>
      </w:r>
      <w:r w:rsidR="00AE2133" w:rsidRPr="00AE2133">
        <w:rPr>
          <w:rFonts w:cs="Times New Roman"/>
          <w:szCs w:val="24"/>
        </w:rPr>
        <w:t xml:space="preserve">, 2011; Puma </w:t>
      </w:r>
      <w:r w:rsidR="00AE2133" w:rsidRPr="00AE2133">
        <w:rPr>
          <w:rFonts w:cs="Times New Roman"/>
          <w:i/>
          <w:iCs/>
          <w:szCs w:val="24"/>
        </w:rPr>
        <w:t>et al.</w:t>
      </w:r>
      <w:r w:rsidR="00AE2133" w:rsidRPr="00AE2133">
        <w:rPr>
          <w:rFonts w:cs="Times New Roman"/>
          <w:szCs w:val="24"/>
        </w:rPr>
        <w:t xml:space="preserve">, 2015; Sartori and Schiavo, 2015; Shutters and Muneepeerakul, 2012; Torreggiani </w:t>
      </w:r>
      <w:r w:rsidR="00AE2133" w:rsidRPr="00AE2133">
        <w:rPr>
          <w:rFonts w:cs="Times New Roman"/>
          <w:i/>
          <w:iCs/>
          <w:szCs w:val="24"/>
        </w:rPr>
        <w:t>et al.</w:t>
      </w:r>
      <w:r w:rsidR="00AE2133" w:rsidRPr="00AE2133">
        <w:rPr>
          <w:rFonts w:cs="Times New Roman"/>
          <w:szCs w:val="24"/>
        </w:rPr>
        <w:t>, 2018)</w:t>
      </w:r>
      <w:r w:rsidRPr="00D9790C">
        <w:fldChar w:fldCharType="end"/>
      </w:r>
    </w:p>
  </w:footnote>
  <w:footnote w:id="6">
    <w:p w14:paraId="6EABE1A2" w14:textId="47D86E07" w:rsidR="00683A6C" w:rsidRPr="00C25FF5" w:rsidRDefault="00683A6C">
      <w:pPr>
        <w:pStyle w:val="FootnoteText"/>
        <w:rPr>
          <w:lang w:val="en-US"/>
        </w:rPr>
      </w:pPr>
      <w:r w:rsidRPr="0060464F">
        <w:rPr>
          <w:rStyle w:val="FootnoteReference"/>
        </w:rPr>
        <w:footnoteRef/>
      </w:r>
      <w:r w:rsidRPr="00C25FF5">
        <w:rPr>
          <w:lang w:val="en-US"/>
        </w:rPr>
        <w:t xml:space="preserve"> Statistical tests were conducted to assess the significance of mean differences of the different connectivity measures over the years (using the Kruskal-</w:t>
      </w:r>
      <w:proofErr w:type="gramStart"/>
      <w:r w:rsidRPr="00C25FF5">
        <w:rPr>
          <w:lang w:val="en-US"/>
        </w:rPr>
        <w:t>Wallis</w:t>
      </w:r>
      <w:proofErr w:type="gramEnd"/>
      <w:r w:rsidRPr="00C25FF5">
        <w:rPr>
          <w:lang w:val="en-US"/>
        </w:rPr>
        <w:t xml:space="preserve"> test) and differences in mean connectivity between each consecutive year (utilizing the Kolmogorov-Smirnov and the Wilcoxon-rank tests). These tests provide further support to the aforementioned results. Additionally, the statistical tests also reject the hypothesis of stochastic equality of distributions across the years (using the Friedman test) and between each consecutive year (using the Kolmogorov-Smirnov test). </w:t>
      </w:r>
      <w:r w:rsidRPr="00C25FF5">
        <w:rPr>
          <w:highlight w:val="yellow"/>
          <w:lang w:val="en-US"/>
        </w:rPr>
        <w:t>Tables A5- A7 provide the detailed results of these statistical tests.</w:t>
      </w:r>
    </w:p>
  </w:footnote>
  <w:footnote w:id="7">
    <w:p w14:paraId="645C644C" w14:textId="47809771" w:rsidR="001C6E26" w:rsidRPr="001C6E26" w:rsidRDefault="00683A6C" w:rsidP="001C6E26">
      <w:pPr>
        <w:spacing w:after="0" w:line="240" w:lineRule="auto"/>
        <w:jc w:val="both"/>
        <w:rPr>
          <w:sz w:val="20"/>
          <w:szCs w:val="20"/>
        </w:rPr>
      </w:pPr>
      <w:r w:rsidRPr="0060464F">
        <w:rPr>
          <w:rStyle w:val="FootnoteReference"/>
        </w:rPr>
        <w:footnoteRef/>
      </w:r>
      <w:r w:rsidRPr="00716C52">
        <w:rPr>
          <w:rStyle w:val="FootnoteTextChar"/>
          <w:lang w:val="en-US"/>
        </w:rPr>
        <w:t xml:space="preserve"> A triple of nodes </w:t>
      </w:r>
      <w:proofErr w:type="spellStart"/>
      <w:r w:rsidRPr="00716C52">
        <w:rPr>
          <w:rStyle w:val="FootnoteTextChar"/>
          <w:i/>
          <w:lang w:val="en-US"/>
        </w:rPr>
        <w:t>i</w:t>
      </w:r>
      <w:proofErr w:type="spellEnd"/>
      <m:oMath>
        <m:r>
          <w:rPr>
            <w:rStyle w:val="FootnoteTextChar"/>
            <w:rFonts w:ascii="Cambria Math" w:hAnsi="Cambria Math"/>
            <w:lang w:val="en-US"/>
          </w:rPr>
          <m:t>,</m:t>
        </m:r>
        <m:r>
          <w:rPr>
            <w:rStyle w:val="FootnoteTextChar"/>
            <w:rFonts w:ascii="Cambria Math" w:hAnsi="Cambria Math"/>
          </w:rPr>
          <m:t>j</m:t>
        </m:r>
        <m:r>
          <w:rPr>
            <w:rStyle w:val="FootnoteTextChar"/>
            <w:rFonts w:ascii="Cambria Math" w:hAnsi="Cambria Math"/>
            <w:lang w:val="en-US"/>
          </w:rPr>
          <m:t xml:space="preserve">, </m:t>
        </m:r>
        <m:r>
          <w:rPr>
            <w:rStyle w:val="FootnoteTextChar"/>
            <w:rFonts w:ascii="Cambria Math" w:hAnsi="Cambria Math"/>
          </w:rPr>
          <m:t>k</m:t>
        </m:r>
      </m:oMath>
      <w:r w:rsidRPr="00716C52">
        <w:rPr>
          <w:rStyle w:val="FootnoteTextChar"/>
          <w:lang w:val="en-US"/>
        </w:rPr>
        <w:t xml:space="preserve"> is cyclic if  </w:t>
      </w:r>
      <m:oMath>
        <m:r>
          <w:rPr>
            <w:rStyle w:val="FootnoteTextChar"/>
            <w:rFonts w:ascii="Cambria Math" w:hAnsi="Cambria Math"/>
          </w:rPr>
          <m:t>i</m:t>
        </m:r>
        <m:r>
          <w:rPr>
            <w:rStyle w:val="FootnoteTextChar"/>
            <w:rFonts w:ascii="Cambria Math" w:hAnsi="Cambria Math"/>
            <w:lang w:val="en-US"/>
          </w:rPr>
          <m:t>→</m:t>
        </m:r>
        <m:r>
          <w:rPr>
            <w:rStyle w:val="FootnoteTextChar"/>
            <w:rFonts w:ascii="Cambria Math" w:hAnsi="Cambria Math"/>
          </w:rPr>
          <m:t>j</m:t>
        </m:r>
      </m:oMath>
      <w:r w:rsidRPr="00716C52">
        <w:rPr>
          <w:rStyle w:val="FootnoteTextChar"/>
          <w:lang w:val="en-US"/>
        </w:rPr>
        <w:t xml:space="preserve">, </w:t>
      </w:r>
      <m:oMath>
        <m:r>
          <w:rPr>
            <w:rStyle w:val="FootnoteTextChar"/>
            <w:rFonts w:ascii="Cambria Math" w:hAnsi="Cambria Math"/>
          </w:rPr>
          <m:t>j</m:t>
        </m:r>
        <m:r>
          <w:rPr>
            <w:rStyle w:val="FootnoteTextChar"/>
            <w:rFonts w:ascii="Cambria Math" w:hAnsi="Cambria Math"/>
            <w:lang w:val="en-US"/>
          </w:rPr>
          <m:t>→</m:t>
        </m:r>
        <m:r>
          <w:rPr>
            <w:rStyle w:val="FootnoteTextChar"/>
            <w:rFonts w:ascii="Cambria Math" w:hAnsi="Cambria Math"/>
          </w:rPr>
          <m:t>k</m:t>
        </m:r>
      </m:oMath>
      <w:r w:rsidRPr="00716C52">
        <w:rPr>
          <w:rStyle w:val="FootnoteTextChar"/>
          <w:lang w:val="en-US"/>
        </w:rPr>
        <w:t xml:space="preserve">, </w:t>
      </w:r>
      <m:oMath>
        <m:r>
          <w:rPr>
            <w:rStyle w:val="FootnoteTextChar"/>
            <w:rFonts w:ascii="Cambria Math" w:hAnsi="Cambria Math"/>
          </w:rPr>
          <m:t>k</m:t>
        </m:r>
        <m:r>
          <w:rPr>
            <w:rStyle w:val="FootnoteTextChar"/>
            <w:rFonts w:ascii="Cambria Math" w:hAnsi="Cambria Math"/>
            <w:lang w:val="en-US"/>
          </w:rPr>
          <m:t>→</m:t>
        </m:r>
        <m:r>
          <w:rPr>
            <w:rStyle w:val="FootnoteTextChar"/>
            <w:rFonts w:ascii="Cambria Math" w:hAnsi="Cambria Math"/>
          </w:rPr>
          <m:t>i</m:t>
        </m:r>
      </m:oMath>
      <w:r w:rsidRPr="00716C52">
        <w:rPr>
          <w:rStyle w:val="FootnoteTextChar"/>
          <w:lang w:val="en-US"/>
        </w:rPr>
        <w:t xml:space="preserve">; it </w:t>
      </w:r>
      <m:oMath>
        <m:r>
          <w:rPr>
            <w:rStyle w:val="FootnoteTextChar"/>
            <w:rFonts w:ascii="Cambria Math" w:hAnsi="Cambria Math"/>
            <w:lang w:val="en-US"/>
          </w:rPr>
          <m:t xml:space="preserve"> </m:t>
        </m:r>
      </m:oMath>
      <w:r w:rsidRPr="00716C52">
        <w:rPr>
          <w:rStyle w:val="FootnoteTextChar"/>
          <w:lang w:val="en-US"/>
        </w:rPr>
        <w:t xml:space="preserve">is transitive if </w:t>
      </w:r>
      <m:oMath>
        <m:r>
          <w:rPr>
            <w:rStyle w:val="FootnoteTextChar"/>
            <w:rFonts w:ascii="Cambria Math" w:hAnsi="Cambria Math"/>
          </w:rPr>
          <m:t>i</m:t>
        </m:r>
        <m:r>
          <w:rPr>
            <w:rStyle w:val="FootnoteTextChar"/>
            <w:rFonts w:ascii="Cambria Math" w:hAnsi="Cambria Math"/>
            <w:lang w:val="en-US"/>
          </w:rPr>
          <m:t>→</m:t>
        </m:r>
        <m:r>
          <w:rPr>
            <w:rStyle w:val="FootnoteTextChar"/>
            <w:rFonts w:ascii="Cambria Math" w:hAnsi="Cambria Math"/>
          </w:rPr>
          <m:t>j</m:t>
        </m:r>
        <m:r>
          <w:rPr>
            <w:rStyle w:val="FootnoteTextChar"/>
            <w:rFonts w:ascii="Cambria Math" w:hAnsi="Cambria Math"/>
            <w:lang w:val="en-US"/>
          </w:rPr>
          <m:t xml:space="preserve"> </m:t>
        </m:r>
      </m:oMath>
      <w:r w:rsidRPr="00716C52">
        <w:rPr>
          <w:rStyle w:val="FootnoteTextChar"/>
          <w:lang w:val="en-US"/>
        </w:rPr>
        <w:t xml:space="preserve">and </w:t>
      </w:r>
      <m:oMath>
        <m:r>
          <w:rPr>
            <w:rStyle w:val="FootnoteTextChar"/>
            <w:rFonts w:ascii="Cambria Math" w:hAnsi="Cambria Math"/>
          </w:rPr>
          <m:t>j</m:t>
        </m:r>
        <m:r>
          <w:rPr>
            <w:rStyle w:val="FootnoteTextChar"/>
            <w:rFonts w:ascii="Cambria Math" w:hAnsi="Cambria Math"/>
            <w:lang w:val="en-US"/>
          </w:rPr>
          <m:t>→</m:t>
        </m:r>
        <m:r>
          <w:rPr>
            <w:rStyle w:val="FootnoteTextChar"/>
            <w:rFonts w:ascii="Cambria Math" w:hAnsi="Cambria Math"/>
          </w:rPr>
          <m:t>k</m:t>
        </m:r>
      </m:oMath>
      <w:r w:rsidRPr="00716C52">
        <w:rPr>
          <w:rStyle w:val="FootnoteTextChar"/>
          <w:lang w:val="en-US"/>
        </w:rPr>
        <w:t xml:space="preserve"> implies </w:t>
      </w:r>
      <m:oMath>
        <m:r>
          <w:rPr>
            <w:rStyle w:val="FootnoteTextChar"/>
            <w:rFonts w:ascii="Cambria Math" w:hAnsi="Cambria Math"/>
          </w:rPr>
          <m:t>i</m:t>
        </m:r>
        <m:r>
          <w:rPr>
            <w:rStyle w:val="FootnoteTextChar"/>
            <w:rFonts w:ascii="Cambria Math" w:hAnsi="Cambria Math"/>
            <w:lang w:val="en-US"/>
          </w:rPr>
          <m:t>→</m:t>
        </m:r>
        <m:r>
          <w:rPr>
            <w:rStyle w:val="FootnoteTextChar"/>
            <w:rFonts w:ascii="Cambria Math" w:hAnsi="Cambria Math"/>
          </w:rPr>
          <m:t>k</m:t>
        </m:r>
      </m:oMath>
      <w:r w:rsidRPr="00716C52">
        <w:rPr>
          <w:rStyle w:val="FootnoteTextChar"/>
          <w:lang w:val="en-US"/>
        </w:rPr>
        <w:t xml:space="preserve">; </w:t>
      </w:r>
      <w:proofErr w:type="gramStart"/>
      <w:r w:rsidRPr="00716C52">
        <w:rPr>
          <w:rStyle w:val="FootnoteTextChar"/>
          <w:lang w:val="en-US"/>
        </w:rPr>
        <w:t>and  intransitive</w:t>
      </w:r>
      <w:proofErr w:type="gramEnd"/>
      <w:r w:rsidRPr="00716C52">
        <w:rPr>
          <w:rStyle w:val="FootnoteTextChar"/>
          <w:lang w:val="en-US"/>
        </w:rPr>
        <w:t xml:space="preserve"> if </w:t>
      </w:r>
      <m:oMath>
        <m:r>
          <w:rPr>
            <w:rStyle w:val="FootnoteTextChar"/>
            <w:rFonts w:ascii="Cambria Math" w:hAnsi="Cambria Math"/>
          </w:rPr>
          <m:t>i</m:t>
        </m:r>
        <m:r>
          <w:rPr>
            <w:rStyle w:val="FootnoteTextChar"/>
            <w:rFonts w:ascii="Cambria Math" w:hAnsi="Cambria Math"/>
            <w:lang w:val="en-US"/>
          </w:rPr>
          <m:t>→</m:t>
        </m:r>
        <m:r>
          <w:rPr>
            <w:rStyle w:val="FootnoteTextChar"/>
            <w:rFonts w:ascii="Cambria Math" w:hAnsi="Cambria Math"/>
          </w:rPr>
          <m:t>j</m:t>
        </m:r>
        <m:r>
          <w:rPr>
            <w:rStyle w:val="FootnoteTextChar"/>
            <w:rFonts w:ascii="Cambria Math" w:hAnsi="Cambria Math"/>
            <w:lang w:val="en-US"/>
          </w:rPr>
          <m:t xml:space="preserve"> </m:t>
        </m:r>
      </m:oMath>
      <w:r w:rsidRPr="00716C52">
        <w:rPr>
          <w:rStyle w:val="FootnoteTextChar"/>
          <w:lang w:val="en-US"/>
        </w:rPr>
        <w:t xml:space="preserve">and </w:t>
      </w:r>
      <m:oMath>
        <m:r>
          <w:rPr>
            <w:rStyle w:val="FootnoteTextChar"/>
            <w:rFonts w:ascii="Cambria Math" w:hAnsi="Cambria Math"/>
          </w:rPr>
          <m:t>j</m:t>
        </m:r>
        <m:r>
          <w:rPr>
            <w:rStyle w:val="FootnoteTextChar"/>
            <w:rFonts w:ascii="Cambria Math" w:hAnsi="Cambria Math"/>
            <w:lang w:val="en-US"/>
          </w:rPr>
          <m:t>→</m:t>
        </m:r>
        <m:r>
          <w:rPr>
            <w:rStyle w:val="FootnoteTextChar"/>
            <w:rFonts w:ascii="Cambria Math" w:hAnsi="Cambria Math"/>
          </w:rPr>
          <m:t>k</m:t>
        </m:r>
      </m:oMath>
      <w:r w:rsidRPr="00716C52">
        <w:rPr>
          <w:rStyle w:val="FootnoteTextChar"/>
          <w:lang w:val="en-US"/>
        </w:rPr>
        <w:t xml:space="preserve"> but </w:t>
      </w:r>
      <m:oMath>
        <m:r>
          <w:rPr>
            <w:rStyle w:val="FootnoteTextChar"/>
            <w:rFonts w:ascii="Cambria Math" w:hAnsi="Cambria Math"/>
          </w:rPr>
          <m:t>i</m:t>
        </m:r>
        <m:r>
          <w:rPr>
            <w:rStyle w:val="FootnoteTextChar"/>
            <w:rFonts w:ascii="Cambria Math" w:hAnsi="Cambria Math"/>
            <w:lang w:val="en-US"/>
          </w:rPr>
          <m:t>↛</m:t>
        </m:r>
        <m:r>
          <w:rPr>
            <w:rStyle w:val="FootnoteTextChar"/>
            <w:rFonts w:ascii="Cambria Math" w:hAnsi="Cambria Math"/>
          </w:rPr>
          <m:t>k</m:t>
        </m:r>
      </m:oMath>
      <w:r w:rsidRPr="00716C52">
        <w:rPr>
          <w:rStyle w:val="FootnoteTextChar"/>
          <w:lang w:val="en-US"/>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E3E08"/>
    <w:multiLevelType w:val="hybridMultilevel"/>
    <w:tmpl w:val="8280CF70"/>
    <w:lvl w:ilvl="0" w:tplc="A60CC9B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CE0384"/>
    <w:multiLevelType w:val="hybridMultilevel"/>
    <w:tmpl w:val="987A0E54"/>
    <w:lvl w:ilvl="0" w:tplc="6AF6C588">
      <w:numFmt w:val="bullet"/>
      <w:lvlText w:val=""/>
      <w:lvlJc w:val="left"/>
      <w:pPr>
        <w:ind w:left="720" w:hanging="360"/>
      </w:pPr>
      <w:rPr>
        <w:rFonts w:ascii="Wingdings" w:eastAsiaTheme="majorEastAsia" w:hAnsi="Wingdings"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B80F8A"/>
    <w:multiLevelType w:val="hybridMultilevel"/>
    <w:tmpl w:val="83060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4F5A99"/>
    <w:multiLevelType w:val="hybridMultilevel"/>
    <w:tmpl w:val="C7D27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2160D7"/>
    <w:multiLevelType w:val="hybridMultilevel"/>
    <w:tmpl w:val="E4E00EB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 w15:restartNumberingAfterBreak="0">
    <w:nsid w:val="6004412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576666513">
    <w:abstractNumId w:val="5"/>
  </w:num>
  <w:num w:numId="2" w16cid:durableId="1394818749">
    <w:abstractNumId w:val="4"/>
  </w:num>
  <w:num w:numId="3" w16cid:durableId="979581217">
    <w:abstractNumId w:val="1"/>
  </w:num>
  <w:num w:numId="4" w16cid:durableId="1933312898">
    <w:abstractNumId w:val="0"/>
  </w:num>
  <w:num w:numId="5" w16cid:durableId="460155067">
    <w:abstractNumId w:val="3"/>
  </w:num>
  <w:num w:numId="6" w16cid:durableId="50436626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immermann, Andrea (EST)">
    <w15:presenceInfo w15:providerId="AD" w15:userId="S::Andrea.Zimmermann@fao.org::6085cbbc-192b-4c2f-a7b3-69e8480b2f8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TY0MjMxNrYwNjIC8pR0lIJTi4sz8/NACkxrAWNtipcsAAAA"/>
  </w:docVars>
  <w:rsids>
    <w:rsidRoot w:val="00695538"/>
    <w:rsid w:val="00003EDB"/>
    <w:rsid w:val="000074D7"/>
    <w:rsid w:val="000079DE"/>
    <w:rsid w:val="00010DC3"/>
    <w:rsid w:val="00013EA4"/>
    <w:rsid w:val="00013F89"/>
    <w:rsid w:val="00015A3C"/>
    <w:rsid w:val="00016455"/>
    <w:rsid w:val="00016B13"/>
    <w:rsid w:val="0002189C"/>
    <w:rsid w:val="00021F66"/>
    <w:rsid w:val="00022220"/>
    <w:rsid w:val="00022F0B"/>
    <w:rsid w:val="000306D1"/>
    <w:rsid w:val="00031E1E"/>
    <w:rsid w:val="00033C82"/>
    <w:rsid w:val="00036BB1"/>
    <w:rsid w:val="0004342B"/>
    <w:rsid w:val="000436C0"/>
    <w:rsid w:val="00047C25"/>
    <w:rsid w:val="0005502C"/>
    <w:rsid w:val="000554B6"/>
    <w:rsid w:val="00056A69"/>
    <w:rsid w:val="00063BF2"/>
    <w:rsid w:val="000657CE"/>
    <w:rsid w:val="00070028"/>
    <w:rsid w:val="00070038"/>
    <w:rsid w:val="00070476"/>
    <w:rsid w:val="000749F4"/>
    <w:rsid w:val="00075DA4"/>
    <w:rsid w:val="00076D02"/>
    <w:rsid w:val="00077EF2"/>
    <w:rsid w:val="00080227"/>
    <w:rsid w:val="00080288"/>
    <w:rsid w:val="0008240F"/>
    <w:rsid w:val="00082D2B"/>
    <w:rsid w:val="00084132"/>
    <w:rsid w:val="000910E9"/>
    <w:rsid w:val="00091AF0"/>
    <w:rsid w:val="00091E88"/>
    <w:rsid w:val="00096F01"/>
    <w:rsid w:val="00097AFE"/>
    <w:rsid w:val="00097ECA"/>
    <w:rsid w:val="000A3F9A"/>
    <w:rsid w:val="000A6B8D"/>
    <w:rsid w:val="000A7E00"/>
    <w:rsid w:val="000B0EC8"/>
    <w:rsid w:val="000B4312"/>
    <w:rsid w:val="000B4E73"/>
    <w:rsid w:val="000B7834"/>
    <w:rsid w:val="000B7B64"/>
    <w:rsid w:val="000C1420"/>
    <w:rsid w:val="000C4940"/>
    <w:rsid w:val="000C5954"/>
    <w:rsid w:val="000D430D"/>
    <w:rsid w:val="000D4D92"/>
    <w:rsid w:val="000D63F5"/>
    <w:rsid w:val="000D79CF"/>
    <w:rsid w:val="000E0E39"/>
    <w:rsid w:val="000E4A63"/>
    <w:rsid w:val="000E6334"/>
    <w:rsid w:val="000E7132"/>
    <w:rsid w:val="000F11C2"/>
    <w:rsid w:val="000F1C77"/>
    <w:rsid w:val="000F381E"/>
    <w:rsid w:val="000F461A"/>
    <w:rsid w:val="000F6554"/>
    <w:rsid w:val="001001FF"/>
    <w:rsid w:val="001026F3"/>
    <w:rsid w:val="001039BE"/>
    <w:rsid w:val="00103D20"/>
    <w:rsid w:val="00105582"/>
    <w:rsid w:val="0010638D"/>
    <w:rsid w:val="00106F43"/>
    <w:rsid w:val="0011059D"/>
    <w:rsid w:val="00113893"/>
    <w:rsid w:val="00114017"/>
    <w:rsid w:val="00114045"/>
    <w:rsid w:val="001146B8"/>
    <w:rsid w:val="001159FA"/>
    <w:rsid w:val="001160F7"/>
    <w:rsid w:val="00116784"/>
    <w:rsid w:val="001173AE"/>
    <w:rsid w:val="0012179A"/>
    <w:rsid w:val="00122ADF"/>
    <w:rsid w:val="00123BEA"/>
    <w:rsid w:val="00126C8E"/>
    <w:rsid w:val="0013177A"/>
    <w:rsid w:val="00131B30"/>
    <w:rsid w:val="00132112"/>
    <w:rsid w:val="00133E41"/>
    <w:rsid w:val="001344F0"/>
    <w:rsid w:val="00135435"/>
    <w:rsid w:val="0013556B"/>
    <w:rsid w:val="00135ACB"/>
    <w:rsid w:val="00135CA4"/>
    <w:rsid w:val="00140461"/>
    <w:rsid w:val="001435A9"/>
    <w:rsid w:val="0014363C"/>
    <w:rsid w:val="001503BB"/>
    <w:rsid w:val="00150F8A"/>
    <w:rsid w:val="001518AE"/>
    <w:rsid w:val="001529B2"/>
    <w:rsid w:val="00152A9E"/>
    <w:rsid w:val="0015771F"/>
    <w:rsid w:val="00157A45"/>
    <w:rsid w:val="00160158"/>
    <w:rsid w:val="001603B7"/>
    <w:rsid w:val="0016681B"/>
    <w:rsid w:val="00174E09"/>
    <w:rsid w:val="0017530F"/>
    <w:rsid w:val="00175E68"/>
    <w:rsid w:val="001763D6"/>
    <w:rsid w:val="00176FB4"/>
    <w:rsid w:val="001803FE"/>
    <w:rsid w:val="001870C2"/>
    <w:rsid w:val="001871AC"/>
    <w:rsid w:val="0018737D"/>
    <w:rsid w:val="00187AB7"/>
    <w:rsid w:val="00187E9E"/>
    <w:rsid w:val="001940BD"/>
    <w:rsid w:val="001A4450"/>
    <w:rsid w:val="001A4D85"/>
    <w:rsid w:val="001A63AE"/>
    <w:rsid w:val="001A781E"/>
    <w:rsid w:val="001B0FDA"/>
    <w:rsid w:val="001B2BD5"/>
    <w:rsid w:val="001B66A5"/>
    <w:rsid w:val="001B71D8"/>
    <w:rsid w:val="001C12D0"/>
    <w:rsid w:val="001C18FF"/>
    <w:rsid w:val="001C25C8"/>
    <w:rsid w:val="001C5D9D"/>
    <w:rsid w:val="001C63CB"/>
    <w:rsid w:val="001C676E"/>
    <w:rsid w:val="001C6E26"/>
    <w:rsid w:val="001C703B"/>
    <w:rsid w:val="001D068C"/>
    <w:rsid w:val="001D1385"/>
    <w:rsid w:val="001D4CCE"/>
    <w:rsid w:val="001D5824"/>
    <w:rsid w:val="001D5A03"/>
    <w:rsid w:val="001D6C7D"/>
    <w:rsid w:val="001D7503"/>
    <w:rsid w:val="001E0676"/>
    <w:rsid w:val="001E2401"/>
    <w:rsid w:val="001E28A8"/>
    <w:rsid w:val="001F0998"/>
    <w:rsid w:val="001F1CD1"/>
    <w:rsid w:val="001F4141"/>
    <w:rsid w:val="001F5C26"/>
    <w:rsid w:val="001F6CCA"/>
    <w:rsid w:val="00203129"/>
    <w:rsid w:val="00204086"/>
    <w:rsid w:val="002049D4"/>
    <w:rsid w:val="00211B4E"/>
    <w:rsid w:val="00214ED7"/>
    <w:rsid w:val="00216316"/>
    <w:rsid w:val="002176A8"/>
    <w:rsid w:val="002176C2"/>
    <w:rsid w:val="002179D1"/>
    <w:rsid w:val="00221457"/>
    <w:rsid w:val="002227D6"/>
    <w:rsid w:val="00222A02"/>
    <w:rsid w:val="00222D01"/>
    <w:rsid w:val="002264A8"/>
    <w:rsid w:val="0023036F"/>
    <w:rsid w:val="002312CD"/>
    <w:rsid w:val="00231F7B"/>
    <w:rsid w:val="00232795"/>
    <w:rsid w:val="0023337F"/>
    <w:rsid w:val="002342A0"/>
    <w:rsid w:val="002357BB"/>
    <w:rsid w:val="002410DF"/>
    <w:rsid w:val="00242D08"/>
    <w:rsid w:val="00242DF2"/>
    <w:rsid w:val="00242E64"/>
    <w:rsid w:val="00243B76"/>
    <w:rsid w:val="0024598C"/>
    <w:rsid w:val="0025346E"/>
    <w:rsid w:val="00256662"/>
    <w:rsid w:val="002567C1"/>
    <w:rsid w:val="00260683"/>
    <w:rsid w:val="002621E9"/>
    <w:rsid w:val="0026281D"/>
    <w:rsid w:val="0026389D"/>
    <w:rsid w:val="00263CD6"/>
    <w:rsid w:val="00263D79"/>
    <w:rsid w:val="0026431F"/>
    <w:rsid w:val="00264F90"/>
    <w:rsid w:val="002662EF"/>
    <w:rsid w:val="00271AB2"/>
    <w:rsid w:val="00271D87"/>
    <w:rsid w:val="00272EBA"/>
    <w:rsid w:val="00273272"/>
    <w:rsid w:val="00273C03"/>
    <w:rsid w:val="00274A32"/>
    <w:rsid w:val="00274A5B"/>
    <w:rsid w:val="002760D5"/>
    <w:rsid w:val="002760F0"/>
    <w:rsid w:val="002818BD"/>
    <w:rsid w:val="0028475A"/>
    <w:rsid w:val="00286DE3"/>
    <w:rsid w:val="0029129B"/>
    <w:rsid w:val="002913F3"/>
    <w:rsid w:val="0029171C"/>
    <w:rsid w:val="00293C16"/>
    <w:rsid w:val="0029403D"/>
    <w:rsid w:val="002950B8"/>
    <w:rsid w:val="00295949"/>
    <w:rsid w:val="00297662"/>
    <w:rsid w:val="002977A7"/>
    <w:rsid w:val="002A09C1"/>
    <w:rsid w:val="002A12B5"/>
    <w:rsid w:val="002A182E"/>
    <w:rsid w:val="002A2BC6"/>
    <w:rsid w:val="002A4623"/>
    <w:rsid w:val="002A466D"/>
    <w:rsid w:val="002A6EA9"/>
    <w:rsid w:val="002A79C5"/>
    <w:rsid w:val="002B1855"/>
    <w:rsid w:val="002B32E4"/>
    <w:rsid w:val="002B79C2"/>
    <w:rsid w:val="002C01F1"/>
    <w:rsid w:val="002C0BBA"/>
    <w:rsid w:val="002C74C7"/>
    <w:rsid w:val="002D15A5"/>
    <w:rsid w:val="002D1686"/>
    <w:rsid w:val="002D4DED"/>
    <w:rsid w:val="002D5F52"/>
    <w:rsid w:val="002E22C0"/>
    <w:rsid w:val="002E3191"/>
    <w:rsid w:val="002E3E64"/>
    <w:rsid w:val="002E5B83"/>
    <w:rsid w:val="002F04F4"/>
    <w:rsid w:val="002F11BE"/>
    <w:rsid w:val="002F4B19"/>
    <w:rsid w:val="002F4F9B"/>
    <w:rsid w:val="002F63B6"/>
    <w:rsid w:val="002F7274"/>
    <w:rsid w:val="002F79A0"/>
    <w:rsid w:val="003040CF"/>
    <w:rsid w:val="00304395"/>
    <w:rsid w:val="003049B8"/>
    <w:rsid w:val="003104B6"/>
    <w:rsid w:val="00316EDD"/>
    <w:rsid w:val="003217D8"/>
    <w:rsid w:val="00324358"/>
    <w:rsid w:val="00327938"/>
    <w:rsid w:val="003407CD"/>
    <w:rsid w:val="00341BB7"/>
    <w:rsid w:val="003424C1"/>
    <w:rsid w:val="00343A82"/>
    <w:rsid w:val="00346884"/>
    <w:rsid w:val="00346EF6"/>
    <w:rsid w:val="0035159D"/>
    <w:rsid w:val="0035174C"/>
    <w:rsid w:val="00354A5D"/>
    <w:rsid w:val="00355C11"/>
    <w:rsid w:val="00360890"/>
    <w:rsid w:val="00361DCC"/>
    <w:rsid w:val="00364510"/>
    <w:rsid w:val="0036624A"/>
    <w:rsid w:val="00366D03"/>
    <w:rsid w:val="0037104C"/>
    <w:rsid w:val="00371B27"/>
    <w:rsid w:val="003736E7"/>
    <w:rsid w:val="00373A73"/>
    <w:rsid w:val="00374DF3"/>
    <w:rsid w:val="00377A1F"/>
    <w:rsid w:val="00380E6B"/>
    <w:rsid w:val="003813F3"/>
    <w:rsid w:val="00381E08"/>
    <w:rsid w:val="00381FBA"/>
    <w:rsid w:val="003877FE"/>
    <w:rsid w:val="0039281B"/>
    <w:rsid w:val="00392DC3"/>
    <w:rsid w:val="00392EE6"/>
    <w:rsid w:val="00393440"/>
    <w:rsid w:val="00393463"/>
    <w:rsid w:val="003A0EF2"/>
    <w:rsid w:val="003A1C4B"/>
    <w:rsid w:val="003A2B4B"/>
    <w:rsid w:val="003A3F70"/>
    <w:rsid w:val="003A52DB"/>
    <w:rsid w:val="003A5FEC"/>
    <w:rsid w:val="003A6ECD"/>
    <w:rsid w:val="003B197A"/>
    <w:rsid w:val="003B2091"/>
    <w:rsid w:val="003B2439"/>
    <w:rsid w:val="003B440C"/>
    <w:rsid w:val="003C2ECD"/>
    <w:rsid w:val="003C7D76"/>
    <w:rsid w:val="003D26FF"/>
    <w:rsid w:val="003D35F9"/>
    <w:rsid w:val="003D41D9"/>
    <w:rsid w:val="003D5167"/>
    <w:rsid w:val="003D54CE"/>
    <w:rsid w:val="003D5E16"/>
    <w:rsid w:val="003E0871"/>
    <w:rsid w:val="003E1B0E"/>
    <w:rsid w:val="003E3766"/>
    <w:rsid w:val="003E4D6C"/>
    <w:rsid w:val="003F389D"/>
    <w:rsid w:val="00401A87"/>
    <w:rsid w:val="004037A8"/>
    <w:rsid w:val="004050A0"/>
    <w:rsid w:val="00405533"/>
    <w:rsid w:val="00405CA6"/>
    <w:rsid w:val="004111F7"/>
    <w:rsid w:val="0041651B"/>
    <w:rsid w:val="00422BDB"/>
    <w:rsid w:val="004234CF"/>
    <w:rsid w:val="0043259D"/>
    <w:rsid w:val="004426B8"/>
    <w:rsid w:val="0044272C"/>
    <w:rsid w:val="00442CFF"/>
    <w:rsid w:val="00442D8D"/>
    <w:rsid w:val="004477E9"/>
    <w:rsid w:val="004505F3"/>
    <w:rsid w:val="004512D1"/>
    <w:rsid w:val="00451318"/>
    <w:rsid w:val="00452B16"/>
    <w:rsid w:val="00454057"/>
    <w:rsid w:val="00457117"/>
    <w:rsid w:val="00460050"/>
    <w:rsid w:val="00462BB9"/>
    <w:rsid w:val="00464CF4"/>
    <w:rsid w:val="00465751"/>
    <w:rsid w:val="004658A8"/>
    <w:rsid w:val="0047071B"/>
    <w:rsid w:val="00473A74"/>
    <w:rsid w:val="0047527D"/>
    <w:rsid w:val="00476D4B"/>
    <w:rsid w:val="004771D4"/>
    <w:rsid w:val="0047769F"/>
    <w:rsid w:val="00484DB9"/>
    <w:rsid w:val="00485395"/>
    <w:rsid w:val="004877BF"/>
    <w:rsid w:val="00490BCD"/>
    <w:rsid w:val="00490DAC"/>
    <w:rsid w:val="00492CC8"/>
    <w:rsid w:val="00493292"/>
    <w:rsid w:val="004960A6"/>
    <w:rsid w:val="004963BD"/>
    <w:rsid w:val="00497A00"/>
    <w:rsid w:val="004A30E0"/>
    <w:rsid w:val="004B315C"/>
    <w:rsid w:val="004B380E"/>
    <w:rsid w:val="004B3CA1"/>
    <w:rsid w:val="004B5349"/>
    <w:rsid w:val="004B5FBE"/>
    <w:rsid w:val="004B6E66"/>
    <w:rsid w:val="004B71CC"/>
    <w:rsid w:val="004C5CAE"/>
    <w:rsid w:val="004C63F9"/>
    <w:rsid w:val="004C64BE"/>
    <w:rsid w:val="004D0271"/>
    <w:rsid w:val="004D2340"/>
    <w:rsid w:val="004D3784"/>
    <w:rsid w:val="004D560E"/>
    <w:rsid w:val="004D7FC7"/>
    <w:rsid w:val="004E284E"/>
    <w:rsid w:val="004E2DDF"/>
    <w:rsid w:val="004E43EE"/>
    <w:rsid w:val="004F1A3D"/>
    <w:rsid w:val="004F352E"/>
    <w:rsid w:val="004F6107"/>
    <w:rsid w:val="00500B23"/>
    <w:rsid w:val="00501883"/>
    <w:rsid w:val="005130ED"/>
    <w:rsid w:val="00513D40"/>
    <w:rsid w:val="0052014B"/>
    <w:rsid w:val="00524117"/>
    <w:rsid w:val="0052458E"/>
    <w:rsid w:val="0052482E"/>
    <w:rsid w:val="00524ACE"/>
    <w:rsid w:val="005266B3"/>
    <w:rsid w:val="00527147"/>
    <w:rsid w:val="0053321F"/>
    <w:rsid w:val="005416F1"/>
    <w:rsid w:val="005478E8"/>
    <w:rsid w:val="00553AE3"/>
    <w:rsid w:val="0055606D"/>
    <w:rsid w:val="00557C90"/>
    <w:rsid w:val="00557D21"/>
    <w:rsid w:val="00561557"/>
    <w:rsid w:val="0056174F"/>
    <w:rsid w:val="005625EB"/>
    <w:rsid w:val="00566025"/>
    <w:rsid w:val="00566539"/>
    <w:rsid w:val="00566EB8"/>
    <w:rsid w:val="0057152A"/>
    <w:rsid w:val="00572DE5"/>
    <w:rsid w:val="005748B0"/>
    <w:rsid w:val="00577EE1"/>
    <w:rsid w:val="00583170"/>
    <w:rsid w:val="00583A35"/>
    <w:rsid w:val="005861DA"/>
    <w:rsid w:val="00586CB9"/>
    <w:rsid w:val="005912ED"/>
    <w:rsid w:val="00594303"/>
    <w:rsid w:val="005944DE"/>
    <w:rsid w:val="005B0F4D"/>
    <w:rsid w:val="005B3501"/>
    <w:rsid w:val="005B39FC"/>
    <w:rsid w:val="005B4D68"/>
    <w:rsid w:val="005B7BB9"/>
    <w:rsid w:val="005C11EB"/>
    <w:rsid w:val="005C26FA"/>
    <w:rsid w:val="005C302A"/>
    <w:rsid w:val="005C32E8"/>
    <w:rsid w:val="005C78EF"/>
    <w:rsid w:val="005D0A7D"/>
    <w:rsid w:val="005D10B2"/>
    <w:rsid w:val="005D1582"/>
    <w:rsid w:val="005D28EE"/>
    <w:rsid w:val="005D489B"/>
    <w:rsid w:val="005D49B1"/>
    <w:rsid w:val="005D531B"/>
    <w:rsid w:val="005E267B"/>
    <w:rsid w:val="005E2CCC"/>
    <w:rsid w:val="005E3290"/>
    <w:rsid w:val="005E3866"/>
    <w:rsid w:val="005E5DC9"/>
    <w:rsid w:val="005E7874"/>
    <w:rsid w:val="005F07CD"/>
    <w:rsid w:val="005F1FBD"/>
    <w:rsid w:val="005F3806"/>
    <w:rsid w:val="005F42D3"/>
    <w:rsid w:val="005F5697"/>
    <w:rsid w:val="005F5DA5"/>
    <w:rsid w:val="005F5F74"/>
    <w:rsid w:val="005F65D3"/>
    <w:rsid w:val="005F6EA9"/>
    <w:rsid w:val="00603FD1"/>
    <w:rsid w:val="0060464F"/>
    <w:rsid w:val="00604C15"/>
    <w:rsid w:val="006052A6"/>
    <w:rsid w:val="0060547D"/>
    <w:rsid w:val="00607BE1"/>
    <w:rsid w:val="0061354F"/>
    <w:rsid w:val="00616177"/>
    <w:rsid w:val="00617354"/>
    <w:rsid w:val="00617AA4"/>
    <w:rsid w:val="00621521"/>
    <w:rsid w:val="00621C34"/>
    <w:rsid w:val="00623867"/>
    <w:rsid w:val="00633E57"/>
    <w:rsid w:val="00635497"/>
    <w:rsid w:val="00635791"/>
    <w:rsid w:val="00635857"/>
    <w:rsid w:val="006366BC"/>
    <w:rsid w:val="00640CB3"/>
    <w:rsid w:val="00642971"/>
    <w:rsid w:val="00643BB1"/>
    <w:rsid w:val="00644580"/>
    <w:rsid w:val="00644F1C"/>
    <w:rsid w:val="00647B24"/>
    <w:rsid w:val="00647B38"/>
    <w:rsid w:val="006522F1"/>
    <w:rsid w:val="00652741"/>
    <w:rsid w:val="00656A0C"/>
    <w:rsid w:val="00657BF1"/>
    <w:rsid w:val="0066023D"/>
    <w:rsid w:val="0066266A"/>
    <w:rsid w:val="006632C3"/>
    <w:rsid w:val="00665372"/>
    <w:rsid w:val="00665556"/>
    <w:rsid w:val="00665684"/>
    <w:rsid w:val="00665DF8"/>
    <w:rsid w:val="00665FB9"/>
    <w:rsid w:val="00667F37"/>
    <w:rsid w:val="0067602F"/>
    <w:rsid w:val="00676FC1"/>
    <w:rsid w:val="00677D48"/>
    <w:rsid w:val="00680904"/>
    <w:rsid w:val="0068095C"/>
    <w:rsid w:val="00683A6C"/>
    <w:rsid w:val="00684189"/>
    <w:rsid w:val="006901EE"/>
    <w:rsid w:val="00690EEB"/>
    <w:rsid w:val="00692647"/>
    <w:rsid w:val="006947DE"/>
    <w:rsid w:val="00695538"/>
    <w:rsid w:val="00695748"/>
    <w:rsid w:val="00696CA0"/>
    <w:rsid w:val="006A11C7"/>
    <w:rsid w:val="006A16D8"/>
    <w:rsid w:val="006A1EC8"/>
    <w:rsid w:val="006A1F80"/>
    <w:rsid w:val="006A2008"/>
    <w:rsid w:val="006A2F3B"/>
    <w:rsid w:val="006A5265"/>
    <w:rsid w:val="006B5B64"/>
    <w:rsid w:val="006C1451"/>
    <w:rsid w:val="006C32B4"/>
    <w:rsid w:val="006C3D6F"/>
    <w:rsid w:val="006C455C"/>
    <w:rsid w:val="006C52A9"/>
    <w:rsid w:val="006C576D"/>
    <w:rsid w:val="006C5BC2"/>
    <w:rsid w:val="006C760C"/>
    <w:rsid w:val="006C768C"/>
    <w:rsid w:val="006D3BB4"/>
    <w:rsid w:val="006D6184"/>
    <w:rsid w:val="006E0DA1"/>
    <w:rsid w:val="006E2B8E"/>
    <w:rsid w:val="006E5F8B"/>
    <w:rsid w:val="006E65BB"/>
    <w:rsid w:val="006E72D4"/>
    <w:rsid w:val="006F050C"/>
    <w:rsid w:val="006F2F12"/>
    <w:rsid w:val="006F5F6E"/>
    <w:rsid w:val="006F60DE"/>
    <w:rsid w:val="0070024B"/>
    <w:rsid w:val="00700565"/>
    <w:rsid w:val="00701B17"/>
    <w:rsid w:val="007036F8"/>
    <w:rsid w:val="00703FB2"/>
    <w:rsid w:val="007075DF"/>
    <w:rsid w:val="00710196"/>
    <w:rsid w:val="00710494"/>
    <w:rsid w:val="007113F1"/>
    <w:rsid w:val="00712C27"/>
    <w:rsid w:val="007132FF"/>
    <w:rsid w:val="00713ED7"/>
    <w:rsid w:val="00716C52"/>
    <w:rsid w:val="007179DF"/>
    <w:rsid w:val="00720EC7"/>
    <w:rsid w:val="00727503"/>
    <w:rsid w:val="00727A1E"/>
    <w:rsid w:val="007328F2"/>
    <w:rsid w:val="00732BC2"/>
    <w:rsid w:val="007331C1"/>
    <w:rsid w:val="00733BFB"/>
    <w:rsid w:val="0073582B"/>
    <w:rsid w:val="007364F4"/>
    <w:rsid w:val="00736AB3"/>
    <w:rsid w:val="00737D0A"/>
    <w:rsid w:val="007408A9"/>
    <w:rsid w:val="00740994"/>
    <w:rsid w:val="00740CF8"/>
    <w:rsid w:val="00743555"/>
    <w:rsid w:val="00743AFB"/>
    <w:rsid w:val="00743D69"/>
    <w:rsid w:val="00745A13"/>
    <w:rsid w:val="007464F9"/>
    <w:rsid w:val="00751E15"/>
    <w:rsid w:val="007533DF"/>
    <w:rsid w:val="00756863"/>
    <w:rsid w:val="00760CA7"/>
    <w:rsid w:val="007647E1"/>
    <w:rsid w:val="007650E5"/>
    <w:rsid w:val="007650E6"/>
    <w:rsid w:val="0076610B"/>
    <w:rsid w:val="00766806"/>
    <w:rsid w:val="00766880"/>
    <w:rsid w:val="00766A5F"/>
    <w:rsid w:val="007707DB"/>
    <w:rsid w:val="00771DD3"/>
    <w:rsid w:val="00771F95"/>
    <w:rsid w:val="007723E5"/>
    <w:rsid w:val="0077250E"/>
    <w:rsid w:val="00773D94"/>
    <w:rsid w:val="0077639B"/>
    <w:rsid w:val="00776DD7"/>
    <w:rsid w:val="00783917"/>
    <w:rsid w:val="007839E7"/>
    <w:rsid w:val="00784BE1"/>
    <w:rsid w:val="00784F0C"/>
    <w:rsid w:val="00787499"/>
    <w:rsid w:val="00790FFA"/>
    <w:rsid w:val="00791D85"/>
    <w:rsid w:val="00791FC0"/>
    <w:rsid w:val="007921EF"/>
    <w:rsid w:val="00792285"/>
    <w:rsid w:val="007A052B"/>
    <w:rsid w:val="007A086E"/>
    <w:rsid w:val="007A0C3B"/>
    <w:rsid w:val="007A35DA"/>
    <w:rsid w:val="007A37B2"/>
    <w:rsid w:val="007A609E"/>
    <w:rsid w:val="007A6AB1"/>
    <w:rsid w:val="007B2898"/>
    <w:rsid w:val="007B2FB4"/>
    <w:rsid w:val="007B3546"/>
    <w:rsid w:val="007B583D"/>
    <w:rsid w:val="007B5973"/>
    <w:rsid w:val="007C1C0F"/>
    <w:rsid w:val="007C37A5"/>
    <w:rsid w:val="007C391E"/>
    <w:rsid w:val="007D1067"/>
    <w:rsid w:val="007D1752"/>
    <w:rsid w:val="007D17A8"/>
    <w:rsid w:val="007D22F6"/>
    <w:rsid w:val="007D280C"/>
    <w:rsid w:val="007D3A0F"/>
    <w:rsid w:val="007D4A59"/>
    <w:rsid w:val="007D4E9D"/>
    <w:rsid w:val="007D61D5"/>
    <w:rsid w:val="007D64C1"/>
    <w:rsid w:val="007E17EB"/>
    <w:rsid w:val="007E1991"/>
    <w:rsid w:val="007E1D68"/>
    <w:rsid w:val="007E559E"/>
    <w:rsid w:val="007E6AC3"/>
    <w:rsid w:val="007F02D7"/>
    <w:rsid w:val="007F5131"/>
    <w:rsid w:val="007F5DEE"/>
    <w:rsid w:val="0080079D"/>
    <w:rsid w:val="00800A7D"/>
    <w:rsid w:val="00802621"/>
    <w:rsid w:val="008032AB"/>
    <w:rsid w:val="00806BAA"/>
    <w:rsid w:val="00807670"/>
    <w:rsid w:val="00810398"/>
    <w:rsid w:val="0081054B"/>
    <w:rsid w:val="008145F6"/>
    <w:rsid w:val="00816C8B"/>
    <w:rsid w:val="00821D64"/>
    <w:rsid w:val="00822633"/>
    <w:rsid w:val="00826E15"/>
    <w:rsid w:val="0083181B"/>
    <w:rsid w:val="008324D7"/>
    <w:rsid w:val="00835A2D"/>
    <w:rsid w:val="00835F42"/>
    <w:rsid w:val="00840E6D"/>
    <w:rsid w:val="00841FAC"/>
    <w:rsid w:val="00842611"/>
    <w:rsid w:val="00844321"/>
    <w:rsid w:val="00853803"/>
    <w:rsid w:val="00853D45"/>
    <w:rsid w:val="008558B4"/>
    <w:rsid w:val="008568E0"/>
    <w:rsid w:val="008575B5"/>
    <w:rsid w:val="00863FBA"/>
    <w:rsid w:val="00866506"/>
    <w:rsid w:val="008670FB"/>
    <w:rsid w:val="008715CF"/>
    <w:rsid w:val="008759CB"/>
    <w:rsid w:val="00880453"/>
    <w:rsid w:val="008844CA"/>
    <w:rsid w:val="0089211F"/>
    <w:rsid w:val="00892447"/>
    <w:rsid w:val="00894F44"/>
    <w:rsid w:val="00895492"/>
    <w:rsid w:val="008956CD"/>
    <w:rsid w:val="00896708"/>
    <w:rsid w:val="008A07D6"/>
    <w:rsid w:val="008A08E5"/>
    <w:rsid w:val="008A0914"/>
    <w:rsid w:val="008A280D"/>
    <w:rsid w:val="008B00DA"/>
    <w:rsid w:val="008B0C22"/>
    <w:rsid w:val="008B18B2"/>
    <w:rsid w:val="008B45A5"/>
    <w:rsid w:val="008B7056"/>
    <w:rsid w:val="008C2266"/>
    <w:rsid w:val="008C36B5"/>
    <w:rsid w:val="008C3D48"/>
    <w:rsid w:val="008C4D17"/>
    <w:rsid w:val="008C5509"/>
    <w:rsid w:val="008C592E"/>
    <w:rsid w:val="008D5E68"/>
    <w:rsid w:val="008D5ED6"/>
    <w:rsid w:val="008D6679"/>
    <w:rsid w:val="008E3AEA"/>
    <w:rsid w:val="008E74C3"/>
    <w:rsid w:val="008E77EB"/>
    <w:rsid w:val="008F162F"/>
    <w:rsid w:val="008F1D26"/>
    <w:rsid w:val="008F2EE8"/>
    <w:rsid w:val="008F50A7"/>
    <w:rsid w:val="008F6D4E"/>
    <w:rsid w:val="009053BE"/>
    <w:rsid w:val="00905607"/>
    <w:rsid w:val="00911779"/>
    <w:rsid w:val="00913784"/>
    <w:rsid w:val="00916A39"/>
    <w:rsid w:val="00920BB2"/>
    <w:rsid w:val="009211C8"/>
    <w:rsid w:val="009234C1"/>
    <w:rsid w:val="0092381A"/>
    <w:rsid w:val="00927E7B"/>
    <w:rsid w:val="009317B2"/>
    <w:rsid w:val="009317F5"/>
    <w:rsid w:val="00932691"/>
    <w:rsid w:val="009337C1"/>
    <w:rsid w:val="009355A2"/>
    <w:rsid w:val="00937965"/>
    <w:rsid w:val="00937A65"/>
    <w:rsid w:val="00941701"/>
    <w:rsid w:val="009417E2"/>
    <w:rsid w:val="00942FBF"/>
    <w:rsid w:val="0094329A"/>
    <w:rsid w:val="00943C13"/>
    <w:rsid w:val="00947F7F"/>
    <w:rsid w:val="00950E6C"/>
    <w:rsid w:val="00951DB7"/>
    <w:rsid w:val="0095343B"/>
    <w:rsid w:val="009538AC"/>
    <w:rsid w:val="009554AF"/>
    <w:rsid w:val="0095760B"/>
    <w:rsid w:val="00961BC3"/>
    <w:rsid w:val="009636BF"/>
    <w:rsid w:val="00966B03"/>
    <w:rsid w:val="00966D3E"/>
    <w:rsid w:val="0096729E"/>
    <w:rsid w:val="009734A1"/>
    <w:rsid w:val="00974F07"/>
    <w:rsid w:val="00975206"/>
    <w:rsid w:val="009766F2"/>
    <w:rsid w:val="00976FC9"/>
    <w:rsid w:val="009777B7"/>
    <w:rsid w:val="0098026C"/>
    <w:rsid w:val="0098232B"/>
    <w:rsid w:val="00983B07"/>
    <w:rsid w:val="00990BFA"/>
    <w:rsid w:val="009924DC"/>
    <w:rsid w:val="00994818"/>
    <w:rsid w:val="009A4A43"/>
    <w:rsid w:val="009A6ACE"/>
    <w:rsid w:val="009B191D"/>
    <w:rsid w:val="009B3249"/>
    <w:rsid w:val="009B7B21"/>
    <w:rsid w:val="009C0EA4"/>
    <w:rsid w:val="009C4793"/>
    <w:rsid w:val="009C4B32"/>
    <w:rsid w:val="009D0A57"/>
    <w:rsid w:val="009D52D3"/>
    <w:rsid w:val="009D5494"/>
    <w:rsid w:val="009D5FC7"/>
    <w:rsid w:val="009D6FA5"/>
    <w:rsid w:val="009E0FB3"/>
    <w:rsid w:val="009E359A"/>
    <w:rsid w:val="009F019E"/>
    <w:rsid w:val="009F121B"/>
    <w:rsid w:val="009F12A9"/>
    <w:rsid w:val="009F2A49"/>
    <w:rsid w:val="00A002BC"/>
    <w:rsid w:val="00A00397"/>
    <w:rsid w:val="00A04AB4"/>
    <w:rsid w:val="00A05A57"/>
    <w:rsid w:val="00A06015"/>
    <w:rsid w:val="00A074D0"/>
    <w:rsid w:val="00A10A81"/>
    <w:rsid w:val="00A10B1C"/>
    <w:rsid w:val="00A12225"/>
    <w:rsid w:val="00A14BA9"/>
    <w:rsid w:val="00A14C84"/>
    <w:rsid w:val="00A15202"/>
    <w:rsid w:val="00A15C14"/>
    <w:rsid w:val="00A22F09"/>
    <w:rsid w:val="00A23AE1"/>
    <w:rsid w:val="00A241FC"/>
    <w:rsid w:val="00A245B7"/>
    <w:rsid w:val="00A248C4"/>
    <w:rsid w:val="00A255C8"/>
    <w:rsid w:val="00A26207"/>
    <w:rsid w:val="00A3225B"/>
    <w:rsid w:val="00A357F7"/>
    <w:rsid w:val="00A37B92"/>
    <w:rsid w:val="00A40BCD"/>
    <w:rsid w:val="00A426C8"/>
    <w:rsid w:val="00A43F65"/>
    <w:rsid w:val="00A47CC6"/>
    <w:rsid w:val="00A5192E"/>
    <w:rsid w:val="00A5715A"/>
    <w:rsid w:val="00A57E6A"/>
    <w:rsid w:val="00A63F09"/>
    <w:rsid w:val="00A6772C"/>
    <w:rsid w:val="00A7219F"/>
    <w:rsid w:val="00A73CA9"/>
    <w:rsid w:val="00A7663B"/>
    <w:rsid w:val="00A80F91"/>
    <w:rsid w:val="00A81238"/>
    <w:rsid w:val="00A823DF"/>
    <w:rsid w:val="00A834DA"/>
    <w:rsid w:val="00A84644"/>
    <w:rsid w:val="00A85756"/>
    <w:rsid w:val="00A85BBD"/>
    <w:rsid w:val="00A85FA3"/>
    <w:rsid w:val="00A86CB5"/>
    <w:rsid w:val="00A90AE8"/>
    <w:rsid w:val="00A92739"/>
    <w:rsid w:val="00A92C08"/>
    <w:rsid w:val="00A92D4B"/>
    <w:rsid w:val="00A934CA"/>
    <w:rsid w:val="00A938DB"/>
    <w:rsid w:val="00A96BE6"/>
    <w:rsid w:val="00AA0776"/>
    <w:rsid w:val="00AA2ABE"/>
    <w:rsid w:val="00AA3C6A"/>
    <w:rsid w:val="00AA4064"/>
    <w:rsid w:val="00AA4C54"/>
    <w:rsid w:val="00AA5E76"/>
    <w:rsid w:val="00AA6556"/>
    <w:rsid w:val="00AA65E5"/>
    <w:rsid w:val="00AA7618"/>
    <w:rsid w:val="00AB0B13"/>
    <w:rsid w:val="00AB2F06"/>
    <w:rsid w:val="00AB3631"/>
    <w:rsid w:val="00AB4F8D"/>
    <w:rsid w:val="00AB50A2"/>
    <w:rsid w:val="00AB582F"/>
    <w:rsid w:val="00AB7833"/>
    <w:rsid w:val="00AC06AC"/>
    <w:rsid w:val="00AC1319"/>
    <w:rsid w:val="00AC2E87"/>
    <w:rsid w:val="00AC38C0"/>
    <w:rsid w:val="00AC6E5E"/>
    <w:rsid w:val="00AC7087"/>
    <w:rsid w:val="00AC71B3"/>
    <w:rsid w:val="00AD3184"/>
    <w:rsid w:val="00AD4769"/>
    <w:rsid w:val="00AD6EE4"/>
    <w:rsid w:val="00AE2133"/>
    <w:rsid w:val="00AE5EE7"/>
    <w:rsid w:val="00AE71B9"/>
    <w:rsid w:val="00AE729E"/>
    <w:rsid w:val="00AF05A1"/>
    <w:rsid w:val="00AF2B14"/>
    <w:rsid w:val="00AF427F"/>
    <w:rsid w:val="00AF5B9C"/>
    <w:rsid w:val="00AF62C9"/>
    <w:rsid w:val="00B01999"/>
    <w:rsid w:val="00B029EC"/>
    <w:rsid w:val="00B03B28"/>
    <w:rsid w:val="00B03EC8"/>
    <w:rsid w:val="00B04FD7"/>
    <w:rsid w:val="00B1011C"/>
    <w:rsid w:val="00B24E6B"/>
    <w:rsid w:val="00B25257"/>
    <w:rsid w:val="00B25F53"/>
    <w:rsid w:val="00B27260"/>
    <w:rsid w:val="00B27C63"/>
    <w:rsid w:val="00B30288"/>
    <w:rsid w:val="00B30F95"/>
    <w:rsid w:val="00B34F70"/>
    <w:rsid w:val="00B37617"/>
    <w:rsid w:val="00B42FF4"/>
    <w:rsid w:val="00B438C6"/>
    <w:rsid w:val="00B5388B"/>
    <w:rsid w:val="00B558CF"/>
    <w:rsid w:val="00B565C0"/>
    <w:rsid w:val="00B57843"/>
    <w:rsid w:val="00B63F10"/>
    <w:rsid w:val="00B65317"/>
    <w:rsid w:val="00B6550D"/>
    <w:rsid w:val="00B66614"/>
    <w:rsid w:val="00B7115F"/>
    <w:rsid w:val="00B71A5D"/>
    <w:rsid w:val="00B73E5B"/>
    <w:rsid w:val="00B75835"/>
    <w:rsid w:val="00B768B6"/>
    <w:rsid w:val="00B82875"/>
    <w:rsid w:val="00B844E4"/>
    <w:rsid w:val="00B85E81"/>
    <w:rsid w:val="00B87B54"/>
    <w:rsid w:val="00B92D07"/>
    <w:rsid w:val="00B93B1B"/>
    <w:rsid w:val="00B94802"/>
    <w:rsid w:val="00B94E97"/>
    <w:rsid w:val="00B963DD"/>
    <w:rsid w:val="00BA551A"/>
    <w:rsid w:val="00BA5D12"/>
    <w:rsid w:val="00BA5F70"/>
    <w:rsid w:val="00BA6365"/>
    <w:rsid w:val="00BA6674"/>
    <w:rsid w:val="00BA7C37"/>
    <w:rsid w:val="00BB01AF"/>
    <w:rsid w:val="00BB0DA1"/>
    <w:rsid w:val="00BB4DA6"/>
    <w:rsid w:val="00BB6836"/>
    <w:rsid w:val="00BB6DD5"/>
    <w:rsid w:val="00BB720A"/>
    <w:rsid w:val="00BC1986"/>
    <w:rsid w:val="00BC2957"/>
    <w:rsid w:val="00BC2A17"/>
    <w:rsid w:val="00BD1E13"/>
    <w:rsid w:val="00BD27E1"/>
    <w:rsid w:val="00BD66CD"/>
    <w:rsid w:val="00BD67DA"/>
    <w:rsid w:val="00BD7A0C"/>
    <w:rsid w:val="00BE0D1A"/>
    <w:rsid w:val="00BE0E60"/>
    <w:rsid w:val="00BE3411"/>
    <w:rsid w:val="00BE3BA1"/>
    <w:rsid w:val="00BE7EC3"/>
    <w:rsid w:val="00BF2CA6"/>
    <w:rsid w:val="00BF3F86"/>
    <w:rsid w:val="00BF430C"/>
    <w:rsid w:val="00C00015"/>
    <w:rsid w:val="00C02DF9"/>
    <w:rsid w:val="00C03528"/>
    <w:rsid w:val="00C05BE8"/>
    <w:rsid w:val="00C075AB"/>
    <w:rsid w:val="00C109CC"/>
    <w:rsid w:val="00C11C10"/>
    <w:rsid w:val="00C12DAC"/>
    <w:rsid w:val="00C155A4"/>
    <w:rsid w:val="00C20834"/>
    <w:rsid w:val="00C25112"/>
    <w:rsid w:val="00C25FF5"/>
    <w:rsid w:val="00C268E0"/>
    <w:rsid w:val="00C275A1"/>
    <w:rsid w:val="00C32825"/>
    <w:rsid w:val="00C34773"/>
    <w:rsid w:val="00C3486D"/>
    <w:rsid w:val="00C375C0"/>
    <w:rsid w:val="00C414AD"/>
    <w:rsid w:val="00C41F3F"/>
    <w:rsid w:val="00C44FCA"/>
    <w:rsid w:val="00C45D7A"/>
    <w:rsid w:val="00C51572"/>
    <w:rsid w:val="00C60C80"/>
    <w:rsid w:val="00C60FC9"/>
    <w:rsid w:val="00C65A84"/>
    <w:rsid w:val="00C716EB"/>
    <w:rsid w:val="00C71BA2"/>
    <w:rsid w:val="00C71FBB"/>
    <w:rsid w:val="00C811E1"/>
    <w:rsid w:val="00C81511"/>
    <w:rsid w:val="00C817B2"/>
    <w:rsid w:val="00C839B4"/>
    <w:rsid w:val="00C84E8E"/>
    <w:rsid w:val="00C865D9"/>
    <w:rsid w:val="00C8756B"/>
    <w:rsid w:val="00C927B6"/>
    <w:rsid w:val="00C9468E"/>
    <w:rsid w:val="00C95385"/>
    <w:rsid w:val="00C95F70"/>
    <w:rsid w:val="00C96F1C"/>
    <w:rsid w:val="00CA0001"/>
    <w:rsid w:val="00CA35EE"/>
    <w:rsid w:val="00CA384E"/>
    <w:rsid w:val="00CA3DDD"/>
    <w:rsid w:val="00CA4D8C"/>
    <w:rsid w:val="00CA79BB"/>
    <w:rsid w:val="00CA7DD4"/>
    <w:rsid w:val="00CB0508"/>
    <w:rsid w:val="00CB166F"/>
    <w:rsid w:val="00CB2BA0"/>
    <w:rsid w:val="00CB4267"/>
    <w:rsid w:val="00CB48B2"/>
    <w:rsid w:val="00CC02B5"/>
    <w:rsid w:val="00CC5944"/>
    <w:rsid w:val="00CC62BD"/>
    <w:rsid w:val="00CC710E"/>
    <w:rsid w:val="00CC7643"/>
    <w:rsid w:val="00CD0A8D"/>
    <w:rsid w:val="00CD6166"/>
    <w:rsid w:val="00CE2939"/>
    <w:rsid w:val="00CE7314"/>
    <w:rsid w:val="00CF0524"/>
    <w:rsid w:val="00CF0A54"/>
    <w:rsid w:val="00CF0F25"/>
    <w:rsid w:val="00CF414F"/>
    <w:rsid w:val="00CF6165"/>
    <w:rsid w:val="00CF78E8"/>
    <w:rsid w:val="00D023CA"/>
    <w:rsid w:val="00D02497"/>
    <w:rsid w:val="00D13269"/>
    <w:rsid w:val="00D135DF"/>
    <w:rsid w:val="00D15F3E"/>
    <w:rsid w:val="00D226C6"/>
    <w:rsid w:val="00D239DF"/>
    <w:rsid w:val="00D242D7"/>
    <w:rsid w:val="00D24495"/>
    <w:rsid w:val="00D2576A"/>
    <w:rsid w:val="00D25F75"/>
    <w:rsid w:val="00D31D1D"/>
    <w:rsid w:val="00D31EA5"/>
    <w:rsid w:val="00D329E9"/>
    <w:rsid w:val="00D33810"/>
    <w:rsid w:val="00D34252"/>
    <w:rsid w:val="00D40DB6"/>
    <w:rsid w:val="00D4127E"/>
    <w:rsid w:val="00D43B0F"/>
    <w:rsid w:val="00D44B9B"/>
    <w:rsid w:val="00D50CE1"/>
    <w:rsid w:val="00D50DCC"/>
    <w:rsid w:val="00D54686"/>
    <w:rsid w:val="00D639B3"/>
    <w:rsid w:val="00D66273"/>
    <w:rsid w:val="00D66295"/>
    <w:rsid w:val="00D6663C"/>
    <w:rsid w:val="00D71829"/>
    <w:rsid w:val="00D71C76"/>
    <w:rsid w:val="00D7410C"/>
    <w:rsid w:val="00D7487F"/>
    <w:rsid w:val="00D77345"/>
    <w:rsid w:val="00D80BB5"/>
    <w:rsid w:val="00D8147D"/>
    <w:rsid w:val="00D830D5"/>
    <w:rsid w:val="00D8408E"/>
    <w:rsid w:val="00D84BA9"/>
    <w:rsid w:val="00D86BE3"/>
    <w:rsid w:val="00D8702B"/>
    <w:rsid w:val="00D875AE"/>
    <w:rsid w:val="00D9466C"/>
    <w:rsid w:val="00DA17AC"/>
    <w:rsid w:val="00DA4A47"/>
    <w:rsid w:val="00DA4A57"/>
    <w:rsid w:val="00DA5793"/>
    <w:rsid w:val="00DB0DBE"/>
    <w:rsid w:val="00DB42E3"/>
    <w:rsid w:val="00DB604A"/>
    <w:rsid w:val="00DC06DD"/>
    <w:rsid w:val="00DC1757"/>
    <w:rsid w:val="00DC1BBC"/>
    <w:rsid w:val="00DC52B5"/>
    <w:rsid w:val="00DD497A"/>
    <w:rsid w:val="00DD5818"/>
    <w:rsid w:val="00DD6538"/>
    <w:rsid w:val="00DD6CA2"/>
    <w:rsid w:val="00DD75F1"/>
    <w:rsid w:val="00DE23B3"/>
    <w:rsid w:val="00DE2C57"/>
    <w:rsid w:val="00DE3298"/>
    <w:rsid w:val="00DE37C9"/>
    <w:rsid w:val="00DE4546"/>
    <w:rsid w:val="00DE5302"/>
    <w:rsid w:val="00DE58BB"/>
    <w:rsid w:val="00DE7DFB"/>
    <w:rsid w:val="00DF0983"/>
    <w:rsid w:val="00DF225F"/>
    <w:rsid w:val="00DF2680"/>
    <w:rsid w:val="00DF3BF5"/>
    <w:rsid w:val="00DF4788"/>
    <w:rsid w:val="00DF5197"/>
    <w:rsid w:val="00E003C9"/>
    <w:rsid w:val="00E03658"/>
    <w:rsid w:val="00E04319"/>
    <w:rsid w:val="00E05282"/>
    <w:rsid w:val="00E06402"/>
    <w:rsid w:val="00E072DC"/>
    <w:rsid w:val="00E07EEF"/>
    <w:rsid w:val="00E16997"/>
    <w:rsid w:val="00E170E4"/>
    <w:rsid w:val="00E23E41"/>
    <w:rsid w:val="00E240E3"/>
    <w:rsid w:val="00E24F9E"/>
    <w:rsid w:val="00E27FE8"/>
    <w:rsid w:val="00E32BEF"/>
    <w:rsid w:val="00E365BE"/>
    <w:rsid w:val="00E36832"/>
    <w:rsid w:val="00E47943"/>
    <w:rsid w:val="00E5041B"/>
    <w:rsid w:val="00E50647"/>
    <w:rsid w:val="00E51685"/>
    <w:rsid w:val="00E53247"/>
    <w:rsid w:val="00E534D3"/>
    <w:rsid w:val="00E55608"/>
    <w:rsid w:val="00E60F5A"/>
    <w:rsid w:val="00E63C8C"/>
    <w:rsid w:val="00E655C7"/>
    <w:rsid w:val="00E6616B"/>
    <w:rsid w:val="00E676D5"/>
    <w:rsid w:val="00E67F6A"/>
    <w:rsid w:val="00E7178F"/>
    <w:rsid w:val="00E7283C"/>
    <w:rsid w:val="00E739A3"/>
    <w:rsid w:val="00E73C0B"/>
    <w:rsid w:val="00E80342"/>
    <w:rsid w:val="00E817A9"/>
    <w:rsid w:val="00E832BF"/>
    <w:rsid w:val="00E9030C"/>
    <w:rsid w:val="00E90DD9"/>
    <w:rsid w:val="00E90EF4"/>
    <w:rsid w:val="00E91964"/>
    <w:rsid w:val="00E951AE"/>
    <w:rsid w:val="00E956A6"/>
    <w:rsid w:val="00EA55AD"/>
    <w:rsid w:val="00EA740D"/>
    <w:rsid w:val="00EB376B"/>
    <w:rsid w:val="00EB66E5"/>
    <w:rsid w:val="00EC1F0B"/>
    <w:rsid w:val="00EC3DE7"/>
    <w:rsid w:val="00EC4BCE"/>
    <w:rsid w:val="00EC50BF"/>
    <w:rsid w:val="00EC54DE"/>
    <w:rsid w:val="00ED6CF0"/>
    <w:rsid w:val="00EE23E7"/>
    <w:rsid w:val="00EE3EB5"/>
    <w:rsid w:val="00EE47B8"/>
    <w:rsid w:val="00EE5F1F"/>
    <w:rsid w:val="00EF3BF9"/>
    <w:rsid w:val="00EF5864"/>
    <w:rsid w:val="00EF6E15"/>
    <w:rsid w:val="00F00401"/>
    <w:rsid w:val="00F0162B"/>
    <w:rsid w:val="00F018BE"/>
    <w:rsid w:val="00F030F9"/>
    <w:rsid w:val="00F04E36"/>
    <w:rsid w:val="00F072C9"/>
    <w:rsid w:val="00F10BB6"/>
    <w:rsid w:val="00F11637"/>
    <w:rsid w:val="00F119F9"/>
    <w:rsid w:val="00F14414"/>
    <w:rsid w:val="00F20C4D"/>
    <w:rsid w:val="00F22169"/>
    <w:rsid w:val="00F24B24"/>
    <w:rsid w:val="00F25300"/>
    <w:rsid w:val="00F25B9B"/>
    <w:rsid w:val="00F273C6"/>
    <w:rsid w:val="00F27973"/>
    <w:rsid w:val="00F30E8E"/>
    <w:rsid w:val="00F3139C"/>
    <w:rsid w:val="00F31C28"/>
    <w:rsid w:val="00F32FFD"/>
    <w:rsid w:val="00F34E40"/>
    <w:rsid w:val="00F401E2"/>
    <w:rsid w:val="00F40229"/>
    <w:rsid w:val="00F40B90"/>
    <w:rsid w:val="00F41377"/>
    <w:rsid w:val="00F41BF5"/>
    <w:rsid w:val="00F423E9"/>
    <w:rsid w:val="00F44779"/>
    <w:rsid w:val="00F47F7C"/>
    <w:rsid w:val="00F50D94"/>
    <w:rsid w:val="00F50E04"/>
    <w:rsid w:val="00F528F0"/>
    <w:rsid w:val="00F528FF"/>
    <w:rsid w:val="00F53095"/>
    <w:rsid w:val="00F5391D"/>
    <w:rsid w:val="00F5446F"/>
    <w:rsid w:val="00F5459C"/>
    <w:rsid w:val="00F56C0E"/>
    <w:rsid w:val="00F57167"/>
    <w:rsid w:val="00F61FBB"/>
    <w:rsid w:val="00F6217D"/>
    <w:rsid w:val="00F63A18"/>
    <w:rsid w:val="00F727DE"/>
    <w:rsid w:val="00F7315C"/>
    <w:rsid w:val="00F75089"/>
    <w:rsid w:val="00F75342"/>
    <w:rsid w:val="00F80784"/>
    <w:rsid w:val="00F8102A"/>
    <w:rsid w:val="00F855D1"/>
    <w:rsid w:val="00F86234"/>
    <w:rsid w:val="00F8777F"/>
    <w:rsid w:val="00F946ED"/>
    <w:rsid w:val="00F96808"/>
    <w:rsid w:val="00FA1B6E"/>
    <w:rsid w:val="00FA21E4"/>
    <w:rsid w:val="00FA2830"/>
    <w:rsid w:val="00FA3E43"/>
    <w:rsid w:val="00FA4859"/>
    <w:rsid w:val="00FA546A"/>
    <w:rsid w:val="00FA6410"/>
    <w:rsid w:val="00FA6E04"/>
    <w:rsid w:val="00FB36C0"/>
    <w:rsid w:val="00FB42FB"/>
    <w:rsid w:val="00FB4D70"/>
    <w:rsid w:val="00FB576A"/>
    <w:rsid w:val="00FB5789"/>
    <w:rsid w:val="00FB57C0"/>
    <w:rsid w:val="00FB74CF"/>
    <w:rsid w:val="00FC45CA"/>
    <w:rsid w:val="00FC780D"/>
    <w:rsid w:val="00FD1A4C"/>
    <w:rsid w:val="00FD2FD6"/>
    <w:rsid w:val="00FD3ED5"/>
    <w:rsid w:val="00FD73A3"/>
    <w:rsid w:val="00FE0CA9"/>
    <w:rsid w:val="00FE4432"/>
    <w:rsid w:val="00FE63BF"/>
    <w:rsid w:val="00FE69F6"/>
    <w:rsid w:val="00FF0310"/>
    <w:rsid w:val="00FF0EA5"/>
    <w:rsid w:val="00FF1352"/>
    <w:rsid w:val="00FF4C0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3EB0E"/>
  <w15:docId w15:val="{0845A913-7E36-4B7D-8260-684296D472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052B"/>
    <w:rPr>
      <w:rFonts w:ascii="Cambria" w:hAnsi="Cambria"/>
    </w:rPr>
  </w:style>
  <w:style w:type="paragraph" w:styleId="Heading1">
    <w:name w:val="heading 1"/>
    <w:basedOn w:val="Normal"/>
    <w:next w:val="Normal"/>
    <w:link w:val="Heading1Char"/>
    <w:uiPriority w:val="9"/>
    <w:qFormat/>
    <w:rsid w:val="00703FB2"/>
    <w:pPr>
      <w:keepNext/>
      <w:keepLines/>
      <w:numPr>
        <w:numId w:val="1"/>
      </w:numPr>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703FB2"/>
    <w:pPr>
      <w:keepNext/>
      <w:keepLines/>
      <w:numPr>
        <w:ilvl w:val="1"/>
        <w:numId w:val="1"/>
      </w:numPr>
      <w:spacing w:before="40" w:after="0"/>
      <w:outlineLvl w:val="1"/>
    </w:pPr>
    <w:rPr>
      <w:rFonts w:eastAsiaTheme="majorEastAsia" w:cstheme="majorBidi"/>
      <w:sz w:val="26"/>
      <w:szCs w:val="26"/>
    </w:rPr>
  </w:style>
  <w:style w:type="paragraph" w:styleId="Heading3">
    <w:name w:val="heading 3"/>
    <w:basedOn w:val="Normal"/>
    <w:next w:val="Normal"/>
    <w:link w:val="Heading3Char"/>
    <w:uiPriority w:val="9"/>
    <w:unhideWhenUsed/>
    <w:qFormat/>
    <w:rsid w:val="00380E6B"/>
    <w:pPr>
      <w:keepNext/>
      <w:keepLines/>
      <w:numPr>
        <w:ilvl w:val="2"/>
        <w:numId w:val="1"/>
      </w:numPr>
      <w:spacing w:before="40" w:after="0"/>
      <w:outlineLvl w:val="2"/>
    </w:pPr>
    <w:rPr>
      <w:rFonts w:eastAsiaTheme="majorEastAsia" w:cstheme="majorBidi"/>
      <w:sz w:val="24"/>
      <w:szCs w:val="24"/>
    </w:rPr>
  </w:style>
  <w:style w:type="paragraph" w:styleId="Heading4">
    <w:name w:val="heading 4"/>
    <w:basedOn w:val="Normal"/>
    <w:next w:val="Normal"/>
    <w:link w:val="Heading4Char"/>
    <w:uiPriority w:val="9"/>
    <w:semiHidden/>
    <w:unhideWhenUsed/>
    <w:qFormat/>
    <w:rsid w:val="005F1FBD"/>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F1FBD"/>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F1FBD"/>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F1FBD"/>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F1FB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F1FB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3FB2"/>
    <w:rPr>
      <w:rFonts w:ascii="Cambria" w:eastAsiaTheme="majorEastAsia" w:hAnsi="Cambria" w:cstheme="majorBidi"/>
      <w:sz w:val="32"/>
      <w:szCs w:val="32"/>
    </w:rPr>
  </w:style>
  <w:style w:type="character" w:customStyle="1" w:styleId="Heading2Char">
    <w:name w:val="Heading 2 Char"/>
    <w:basedOn w:val="DefaultParagraphFont"/>
    <w:link w:val="Heading2"/>
    <w:uiPriority w:val="9"/>
    <w:rsid w:val="00703FB2"/>
    <w:rPr>
      <w:rFonts w:ascii="Cambria" w:eastAsiaTheme="majorEastAsia" w:hAnsi="Cambria" w:cstheme="majorBidi"/>
      <w:sz w:val="26"/>
      <w:szCs w:val="26"/>
    </w:rPr>
  </w:style>
  <w:style w:type="character" w:customStyle="1" w:styleId="Heading3Char">
    <w:name w:val="Heading 3 Char"/>
    <w:basedOn w:val="DefaultParagraphFont"/>
    <w:link w:val="Heading3"/>
    <w:uiPriority w:val="9"/>
    <w:rsid w:val="00380E6B"/>
    <w:rPr>
      <w:rFonts w:ascii="Cambria" w:eastAsiaTheme="majorEastAsia" w:hAnsi="Cambria" w:cstheme="majorBidi"/>
      <w:sz w:val="24"/>
      <w:szCs w:val="24"/>
    </w:rPr>
  </w:style>
  <w:style w:type="character" w:customStyle="1" w:styleId="Heading4Char">
    <w:name w:val="Heading 4 Char"/>
    <w:basedOn w:val="DefaultParagraphFont"/>
    <w:link w:val="Heading4"/>
    <w:uiPriority w:val="9"/>
    <w:semiHidden/>
    <w:rsid w:val="005F1FB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5F1FB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F1FB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F1FB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F1FB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F1FBD"/>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5F1FB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1FBD"/>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701B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1B17"/>
    <w:rPr>
      <w:rFonts w:ascii="Cambria" w:hAnsi="Cambria"/>
    </w:rPr>
  </w:style>
  <w:style w:type="paragraph" w:styleId="Footer">
    <w:name w:val="footer"/>
    <w:basedOn w:val="Normal"/>
    <w:link w:val="FooterChar"/>
    <w:uiPriority w:val="99"/>
    <w:unhideWhenUsed/>
    <w:rsid w:val="00701B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1B17"/>
    <w:rPr>
      <w:rFonts w:ascii="Cambria" w:hAnsi="Cambria"/>
    </w:rPr>
  </w:style>
  <w:style w:type="paragraph" w:styleId="Caption">
    <w:name w:val="caption"/>
    <w:basedOn w:val="Normal"/>
    <w:next w:val="Normal"/>
    <w:uiPriority w:val="35"/>
    <w:unhideWhenUsed/>
    <w:qFormat/>
    <w:rsid w:val="00633E57"/>
    <w:pPr>
      <w:spacing w:after="200" w:line="240" w:lineRule="auto"/>
    </w:pPr>
    <w:rPr>
      <w:b/>
      <w:iCs/>
      <w:color w:val="000000" w:themeColor="text1"/>
      <w:sz w:val="18"/>
      <w:szCs w:val="18"/>
    </w:rPr>
  </w:style>
  <w:style w:type="paragraph" w:customStyle="1" w:styleId="Source">
    <w:name w:val="Source"/>
    <w:basedOn w:val="Normal"/>
    <w:link w:val="SourceChar"/>
    <w:qFormat/>
    <w:rsid w:val="00633E57"/>
    <w:pPr>
      <w:spacing w:line="480" w:lineRule="auto"/>
      <w:contextualSpacing/>
    </w:pPr>
    <w:rPr>
      <w:sz w:val="18"/>
      <w:lang w:val="en-GB"/>
    </w:rPr>
  </w:style>
  <w:style w:type="character" w:customStyle="1" w:styleId="SourceChar">
    <w:name w:val="Source Char"/>
    <w:basedOn w:val="DefaultParagraphFont"/>
    <w:link w:val="Source"/>
    <w:rsid w:val="00633E57"/>
    <w:rPr>
      <w:rFonts w:ascii="Cambria" w:hAnsi="Cambria"/>
      <w:sz w:val="18"/>
      <w:lang w:val="en-GB"/>
    </w:rPr>
  </w:style>
  <w:style w:type="character" w:styleId="CommentReference">
    <w:name w:val="annotation reference"/>
    <w:basedOn w:val="DefaultParagraphFont"/>
    <w:uiPriority w:val="99"/>
    <w:semiHidden/>
    <w:unhideWhenUsed/>
    <w:rsid w:val="00BB4DA6"/>
    <w:rPr>
      <w:sz w:val="16"/>
      <w:szCs w:val="16"/>
    </w:rPr>
  </w:style>
  <w:style w:type="paragraph" w:styleId="CommentText">
    <w:name w:val="annotation text"/>
    <w:basedOn w:val="Normal"/>
    <w:link w:val="CommentTextChar"/>
    <w:uiPriority w:val="99"/>
    <w:unhideWhenUsed/>
    <w:rsid w:val="00BB4DA6"/>
    <w:pPr>
      <w:spacing w:line="240" w:lineRule="auto"/>
    </w:pPr>
    <w:rPr>
      <w:sz w:val="20"/>
      <w:szCs w:val="20"/>
    </w:rPr>
  </w:style>
  <w:style w:type="character" w:customStyle="1" w:styleId="CommentTextChar">
    <w:name w:val="Comment Text Char"/>
    <w:basedOn w:val="DefaultParagraphFont"/>
    <w:link w:val="CommentText"/>
    <w:uiPriority w:val="99"/>
    <w:rsid w:val="00BB4DA6"/>
    <w:rPr>
      <w:rFonts w:ascii="Cambria" w:hAnsi="Cambria"/>
      <w:sz w:val="20"/>
      <w:szCs w:val="20"/>
    </w:rPr>
  </w:style>
  <w:style w:type="paragraph" w:styleId="CommentSubject">
    <w:name w:val="annotation subject"/>
    <w:basedOn w:val="CommentText"/>
    <w:next w:val="CommentText"/>
    <w:link w:val="CommentSubjectChar"/>
    <w:uiPriority w:val="99"/>
    <w:semiHidden/>
    <w:unhideWhenUsed/>
    <w:rsid w:val="00BB4DA6"/>
    <w:rPr>
      <w:b/>
      <w:bCs/>
    </w:rPr>
  </w:style>
  <w:style w:type="character" w:customStyle="1" w:styleId="CommentSubjectChar">
    <w:name w:val="Comment Subject Char"/>
    <w:basedOn w:val="CommentTextChar"/>
    <w:link w:val="CommentSubject"/>
    <w:uiPriority w:val="99"/>
    <w:semiHidden/>
    <w:rsid w:val="00BB4DA6"/>
    <w:rPr>
      <w:rFonts w:ascii="Cambria" w:hAnsi="Cambria"/>
      <w:b/>
      <w:bCs/>
      <w:sz w:val="20"/>
      <w:szCs w:val="20"/>
    </w:rPr>
  </w:style>
  <w:style w:type="table" w:styleId="TableGrid">
    <w:name w:val="Table Grid"/>
    <w:basedOn w:val="TableNormal"/>
    <w:uiPriority w:val="39"/>
    <w:rsid w:val="009672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6F050C"/>
    <w:pPr>
      <w:spacing w:after="0" w:line="240" w:lineRule="auto"/>
    </w:pPr>
    <w:rPr>
      <w:sz w:val="20"/>
      <w:szCs w:val="20"/>
      <w:lang w:val="de-DE"/>
    </w:rPr>
  </w:style>
  <w:style w:type="character" w:customStyle="1" w:styleId="FootnoteTextChar">
    <w:name w:val="Footnote Text Char"/>
    <w:basedOn w:val="DefaultParagraphFont"/>
    <w:link w:val="FootnoteText"/>
    <w:uiPriority w:val="99"/>
    <w:rsid w:val="006F050C"/>
    <w:rPr>
      <w:rFonts w:ascii="Cambria" w:hAnsi="Cambria"/>
      <w:sz w:val="20"/>
      <w:szCs w:val="20"/>
      <w:lang w:val="de-DE"/>
    </w:rPr>
  </w:style>
  <w:style w:type="character" w:styleId="FootnoteReference">
    <w:name w:val="footnote reference"/>
    <w:aliases w:val="Ref,de nota al pie,PIC Footnote Reference,BVI fnr Carattere Char Char Char Carattere Char Char Char Char Char Char1 Char Char Char Carattere Char Char"/>
    <w:basedOn w:val="DefaultParagraphFont"/>
    <w:link w:val="BVIfnrCarattereCharCharCharCarattereCharCharCharCharCharChar1CharCharCharCarattereChar"/>
    <w:uiPriority w:val="99"/>
    <w:unhideWhenUsed/>
    <w:rsid w:val="006F050C"/>
    <w:rPr>
      <w:vertAlign w:val="superscript"/>
    </w:rPr>
  </w:style>
  <w:style w:type="paragraph" w:customStyle="1" w:styleId="BVIfnrCarattereCharCharCharCarattereCharCharCharCharCharChar1CharCharCharCarattereChar">
    <w:name w:val="BVI fnr Carattere Char Char Char Carattere Char Char Char Char Char Char1 Char Char Char Carattere Char"/>
    <w:aliases w:val="BVI fnr Carattere Char Char Char Carattere Char Char Char Char Char Char1 Char Char Char Carattere Carattere Char"/>
    <w:basedOn w:val="Normal"/>
    <w:link w:val="FootnoteReference"/>
    <w:uiPriority w:val="99"/>
    <w:rsid w:val="006F050C"/>
    <w:pPr>
      <w:spacing w:line="240" w:lineRule="exact"/>
    </w:pPr>
    <w:rPr>
      <w:rFonts w:asciiTheme="minorHAnsi" w:hAnsiTheme="minorHAnsi"/>
      <w:vertAlign w:val="superscript"/>
    </w:rPr>
  </w:style>
  <w:style w:type="paragraph" w:styleId="ListParagraph">
    <w:name w:val="List Paragraph"/>
    <w:basedOn w:val="Normal"/>
    <w:uiPriority w:val="34"/>
    <w:qFormat/>
    <w:rsid w:val="00B30F95"/>
    <w:pPr>
      <w:ind w:left="720"/>
      <w:contextualSpacing/>
    </w:pPr>
  </w:style>
  <w:style w:type="paragraph" w:styleId="NormalWeb">
    <w:name w:val="Normal (Web)"/>
    <w:basedOn w:val="Normal"/>
    <w:uiPriority w:val="99"/>
    <w:unhideWhenUsed/>
    <w:rsid w:val="00D242D7"/>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A245B7"/>
    <w:pPr>
      <w:numPr>
        <w:numId w:val="0"/>
      </w:numPr>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A245B7"/>
    <w:pPr>
      <w:spacing w:after="100"/>
    </w:pPr>
  </w:style>
  <w:style w:type="paragraph" w:styleId="TOC2">
    <w:name w:val="toc 2"/>
    <w:basedOn w:val="Normal"/>
    <w:next w:val="Normal"/>
    <w:autoRedefine/>
    <w:uiPriority w:val="39"/>
    <w:unhideWhenUsed/>
    <w:rsid w:val="00A245B7"/>
    <w:pPr>
      <w:spacing w:after="100"/>
      <w:ind w:left="220"/>
    </w:pPr>
  </w:style>
  <w:style w:type="character" w:styleId="Hyperlink">
    <w:name w:val="Hyperlink"/>
    <w:basedOn w:val="DefaultParagraphFont"/>
    <w:uiPriority w:val="99"/>
    <w:unhideWhenUsed/>
    <w:rsid w:val="00A245B7"/>
    <w:rPr>
      <w:color w:val="0563C1" w:themeColor="hyperlink"/>
      <w:u w:val="single"/>
    </w:rPr>
  </w:style>
  <w:style w:type="paragraph" w:styleId="TOC3">
    <w:name w:val="toc 3"/>
    <w:basedOn w:val="Normal"/>
    <w:next w:val="Normal"/>
    <w:autoRedefine/>
    <w:uiPriority w:val="39"/>
    <w:unhideWhenUsed/>
    <w:rsid w:val="009538AC"/>
    <w:pPr>
      <w:spacing w:after="100"/>
      <w:ind w:left="440"/>
    </w:pPr>
  </w:style>
  <w:style w:type="paragraph" w:styleId="Revision">
    <w:name w:val="Revision"/>
    <w:hidden/>
    <w:uiPriority w:val="99"/>
    <w:semiHidden/>
    <w:rsid w:val="006C52A9"/>
    <w:pPr>
      <w:spacing w:after="0" w:line="240" w:lineRule="auto"/>
    </w:pPr>
    <w:rPr>
      <w:rFonts w:ascii="Cambria" w:hAnsi="Cambria"/>
    </w:rPr>
  </w:style>
  <w:style w:type="paragraph" w:styleId="BalloonText">
    <w:name w:val="Balloon Text"/>
    <w:basedOn w:val="Normal"/>
    <w:link w:val="BalloonTextChar"/>
    <w:uiPriority w:val="99"/>
    <w:semiHidden/>
    <w:unhideWhenUsed/>
    <w:rsid w:val="004B315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B315C"/>
    <w:rPr>
      <w:rFonts w:ascii="Segoe UI" w:hAnsi="Segoe UI" w:cs="Segoe UI"/>
      <w:sz w:val="18"/>
      <w:szCs w:val="18"/>
    </w:rPr>
  </w:style>
  <w:style w:type="character" w:customStyle="1" w:styleId="u-font-serif">
    <w:name w:val="u-font-serif"/>
    <w:basedOn w:val="DefaultParagraphFont"/>
    <w:rsid w:val="00E5041B"/>
  </w:style>
  <w:style w:type="character" w:customStyle="1" w:styleId="topic-highlight">
    <w:name w:val="topic-highlight"/>
    <w:basedOn w:val="DefaultParagraphFont"/>
    <w:rsid w:val="00E5041B"/>
  </w:style>
  <w:style w:type="character" w:customStyle="1" w:styleId="markedcontent">
    <w:name w:val="markedcontent"/>
    <w:basedOn w:val="DefaultParagraphFont"/>
    <w:rsid w:val="00766806"/>
  </w:style>
  <w:style w:type="character" w:styleId="Strong">
    <w:name w:val="Strong"/>
    <w:basedOn w:val="DefaultParagraphFont"/>
    <w:uiPriority w:val="22"/>
    <w:qFormat/>
    <w:rsid w:val="00766806"/>
    <w:rPr>
      <w:b/>
      <w:bCs/>
    </w:rPr>
  </w:style>
  <w:style w:type="paragraph" w:styleId="Bibliography">
    <w:name w:val="Bibliography"/>
    <w:basedOn w:val="Normal"/>
    <w:next w:val="Normal"/>
    <w:uiPriority w:val="37"/>
    <w:unhideWhenUsed/>
    <w:rsid w:val="002227D6"/>
    <w:pPr>
      <w:spacing w:after="0" w:line="240" w:lineRule="auto"/>
      <w:ind w:left="720" w:hanging="720"/>
    </w:pPr>
  </w:style>
  <w:style w:type="character" w:styleId="EndnoteReference">
    <w:name w:val="endnote reference"/>
    <w:basedOn w:val="DefaultParagraphFont"/>
    <w:uiPriority w:val="99"/>
    <w:semiHidden/>
    <w:unhideWhenUsed/>
    <w:rsid w:val="0060464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3338239">
      <w:bodyDiv w:val="1"/>
      <w:marLeft w:val="0"/>
      <w:marRight w:val="0"/>
      <w:marTop w:val="0"/>
      <w:marBottom w:val="0"/>
      <w:divBdr>
        <w:top w:val="none" w:sz="0" w:space="0" w:color="auto"/>
        <w:left w:val="none" w:sz="0" w:space="0" w:color="auto"/>
        <w:bottom w:val="none" w:sz="0" w:space="0" w:color="auto"/>
        <w:right w:val="none" w:sz="0" w:space="0" w:color="auto"/>
      </w:divBdr>
      <w:divsChild>
        <w:div w:id="385759283">
          <w:marLeft w:val="0"/>
          <w:marRight w:val="0"/>
          <w:marTop w:val="0"/>
          <w:marBottom w:val="0"/>
          <w:divBdr>
            <w:top w:val="none" w:sz="0" w:space="0" w:color="auto"/>
            <w:left w:val="none" w:sz="0" w:space="0" w:color="auto"/>
            <w:bottom w:val="none" w:sz="0" w:space="0" w:color="auto"/>
            <w:right w:val="none" w:sz="0" w:space="0" w:color="auto"/>
          </w:divBdr>
          <w:divsChild>
            <w:div w:id="286090061">
              <w:marLeft w:val="0"/>
              <w:marRight w:val="0"/>
              <w:marTop w:val="0"/>
              <w:marBottom w:val="0"/>
              <w:divBdr>
                <w:top w:val="none" w:sz="0" w:space="0" w:color="auto"/>
                <w:left w:val="none" w:sz="0" w:space="0" w:color="auto"/>
                <w:bottom w:val="none" w:sz="0" w:space="0" w:color="auto"/>
                <w:right w:val="none" w:sz="0" w:space="0" w:color="auto"/>
              </w:divBdr>
              <w:divsChild>
                <w:div w:id="32370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956825">
      <w:bodyDiv w:val="1"/>
      <w:marLeft w:val="0"/>
      <w:marRight w:val="0"/>
      <w:marTop w:val="0"/>
      <w:marBottom w:val="0"/>
      <w:divBdr>
        <w:top w:val="none" w:sz="0" w:space="0" w:color="auto"/>
        <w:left w:val="none" w:sz="0" w:space="0" w:color="auto"/>
        <w:bottom w:val="none" w:sz="0" w:space="0" w:color="auto"/>
        <w:right w:val="none" w:sz="0" w:space="0" w:color="auto"/>
      </w:divBdr>
      <w:divsChild>
        <w:div w:id="1000163355">
          <w:marLeft w:val="0"/>
          <w:marRight w:val="0"/>
          <w:marTop w:val="0"/>
          <w:marBottom w:val="0"/>
          <w:divBdr>
            <w:top w:val="none" w:sz="0" w:space="0" w:color="auto"/>
            <w:left w:val="none" w:sz="0" w:space="0" w:color="auto"/>
            <w:bottom w:val="none" w:sz="0" w:space="0" w:color="auto"/>
            <w:right w:val="none" w:sz="0" w:space="0" w:color="auto"/>
          </w:divBdr>
          <w:divsChild>
            <w:div w:id="735469456">
              <w:marLeft w:val="0"/>
              <w:marRight w:val="0"/>
              <w:marTop w:val="0"/>
              <w:marBottom w:val="0"/>
              <w:divBdr>
                <w:top w:val="none" w:sz="0" w:space="0" w:color="auto"/>
                <w:left w:val="none" w:sz="0" w:space="0" w:color="auto"/>
                <w:bottom w:val="none" w:sz="0" w:space="0" w:color="auto"/>
                <w:right w:val="none" w:sz="0" w:space="0" w:color="auto"/>
              </w:divBdr>
              <w:divsChild>
                <w:div w:id="145093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131978">
      <w:bodyDiv w:val="1"/>
      <w:marLeft w:val="0"/>
      <w:marRight w:val="0"/>
      <w:marTop w:val="0"/>
      <w:marBottom w:val="0"/>
      <w:divBdr>
        <w:top w:val="none" w:sz="0" w:space="0" w:color="auto"/>
        <w:left w:val="none" w:sz="0" w:space="0" w:color="auto"/>
        <w:bottom w:val="none" w:sz="0" w:space="0" w:color="auto"/>
        <w:right w:val="none" w:sz="0" w:space="0" w:color="auto"/>
      </w:divBdr>
      <w:divsChild>
        <w:div w:id="2016418283">
          <w:marLeft w:val="0"/>
          <w:marRight w:val="0"/>
          <w:marTop w:val="0"/>
          <w:marBottom w:val="0"/>
          <w:divBdr>
            <w:top w:val="none" w:sz="0" w:space="0" w:color="auto"/>
            <w:left w:val="none" w:sz="0" w:space="0" w:color="auto"/>
            <w:bottom w:val="none" w:sz="0" w:space="0" w:color="auto"/>
            <w:right w:val="none" w:sz="0" w:space="0" w:color="auto"/>
          </w:divBdr>
          <w:divsChild>
            <w:div w:id="1271669602">
              <w:marLeft w:val="0"/>
              <w:marRight w:val="0"/>
              <w:marTop w:val="0"/>
              <w:marBottom w:val="0"/>
              <w:divBdr>
                <w:top w:val="none" w:sz="0" w:space="0" w:color="auto"/>
                <w:left w:val="none" w:sz="0" w:space="0" w:color="auto"/>
                <w:bottom w:val="none" w:sz="0" w:space="0" w:color="auto"/>
                <w:right w:val="none" w:sz="0" w:space="0" w:color="auto"/>
              </w:divBdr>
              <w:divsChild>
                <w:div w:id="139816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037727">
      <w:bodyDiv w:val="1"/>
      <w:marLeft w:val="0"/>
      <w:marRight w:val="0"/>
      <w:marTop w:val="0"/>
      <w:marBottom w:val="0"/>
      <w:divBdr>
        <w:top w:val="none" w:sz="0" w:space="0" w:color="auto"/>
        <w:left w:val="none" w:sz="0" w:space="0" w:color="auto"/>
        <w:bottom w:val="none" w:sz="0" w:space="0" w:color="auto"/>
        <w:right w:val="none" w:sz="0" w:space="0" w:color="auto"/>
      </w:divBdr>
      <w:divsChild>
        <w:div w:id="896404190">
          <w:marLeft w:val="0"/>
          <w:marRight w:val="0"/>
          <w:marTop w:val="0"/>
          <w:marBottom w:val="0"/>
          <w:divBdr>
            <w:top w:val="none" w:sz="0" w:space="0" w:color="auto"/>
            <w:left w:val="none" w:sz="0" w:space="0" w:color="auto"/>
            <w:bottom w:val="none" w:sz="0" w:space="0" w:color="auto"/>
            <w:right w:val="none" w:sz="0" w:space="0" w:color="auto"/>
          </w:divBdr>
          <w:divsChild>
            <w:div w:id="114175808">
              <w:marLeft w:val="0"/>
              <w:marRight w:val="0"/>
              <w:marTop w:val="0"/>
              <w:marBottom w:val="0"/>
              <w:divBdr>
                <w:top w:val="none" w:sz="0" w:space="0" w:color="auto"/>
                <w:left w:val="none" w:sz="0" w:space="0" w:color="auto"/>
                <w:bottom w:val="none" w:sz="0" w:space="0" w:color="auto"/>
                <w:right w:val="none" w:sz="0" w:space="0" w:color="auto"/>
              </w:divBdr>
              <w:divsChild>
                <w:div w:id="61259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624140">
      <w:bodyDiv w:val="1"/>
      <w:marLeft w:val="0"/>
      <w:marRight w:val="0"/>
      <w:marTop w:val="0"/>
      <w:marBottom w:val="0"/>
      <w:divBdr>
        <w:top w:val="none" w:sz="0" w:space="0" w:color="auto"/>
        <w:left w:val="none" w:sz="0" w:space="0" w:color="auto"/>
        <w:bottom w:val="none" w:sz="0" w:space="0" w:color="auto"/>
        <w:right w:val="none" w:sz="0" w:space="0" w:color="auto"/>
      </w:divBdr>
      <w:divsChild>
        <w:div w:id="959190871">
          <w:marLeft w:val="0"/>
          <w:marRight w:val="0"/>
          <w:marTop w:val="0"/>
          <w:marBottom w:val="0"/>
          <w:divBdr>
            <w:top w:val="none" w:sz="0" w:space="0" w:color="auto"/>
            <w:left w:val="none" w:sz="0" w:space="0" w:color="auto"/>
            <w:bottom w:val="none" w:sz="0" w:space="0" w:color="auto"/>
            <w:right w:val="none" w:sz="0" w:space="0" w:color="auto"/>
          </w:divBdr>
          <w:divsChild>
            <w:div w:id="1716274719">
              <w:marLeft w:val="0"/>
              <w:marRight w:val="0"/>
              <w:marTop w:val="0"/>
              <w:marBottom w:val="0"/>
              <w:divBdr>
                <w:top w:val="none" w:sz="0" w:space="0" w:color="auto"/>
                <w:left w:val="none" w:sz="0" w:space="0" w:color="auto"/>
                <w:bottom w:val="none" w:sz="0" w:space="0" w:color="auto"/>
                <w:right w:val="none" w:sz="0" w:space="0" w:color="auto"/>
              </w:divBdr>
              <w:divsChild>
                <w:div w:id="66158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574923">
      <w:bodyDiv w:val="1"/>
      <w:marLeft w:val="0"/>
      <w:marRight w:val="0"/>
      <w:marTop w:val="0"/>
      <w:marBottom w:val="0"/>
      <w:divBdr>
        <w:top w:val="none" w:sz="0" w:space="0" w:color="auto"/>
        <w:left w:val="none" w:sz="0" w:space="0" w:color="auto"/>
        <w:bottom w:val="none" w:sz="0" w:space="0" w:color="auto"/>
        <w:right w:val="none" w:sz="0" w:space="0" w:color="auto"/>
      </w:divBdr>
      <w:divsChild>
        <w:div w:id="1129860688">
          <w:marLeft w:val="0"/>
          <w:marRight w:val="0"/>
          <w:marTop w:val="0"/>
          <w:marBottom w:val="0"/>
          <w:divBdr>
            <w:top w:val="none" w:sz="0" w:space="0" w:color="auto"/>
            <w:left w:val="none" w:sz="0" w:space="0" w:color="auto"/>
            <w:bottom w:val="none" w:sz="0" w:space="0" w:color="auto"/>
            <w:right w:val="none" w:sz="0" w:space="0" w:color="auto"/>
          </w:divBdr>
          <w:divsChild>
            <w:div w:id="768235331">
              <w:marLeft w:val="0"/>
              <w:marRight w:val="0"/>
              <w:marTop w:val="0"/>
              <w:marBottom w:val="0"/>
              <w:divBdr>
                <w:top w:val="none" w:sz="0" w:space="0" w:color="auto"/>
                <w:left w:val="none" w:sz="0" w:space="0" w:color="auto"/>
                <w:bottom w:val="none" w:sz="0" w:space="0" w:color="auto"/>
                <w:right w:val="none" w:sz="0" w:space="0" w:color="auto"/>
              </w:divBdr>
              <w:divsChild>
                <w:div w:id="1560632194">
                  <w:marLeft w:val="0"/>
                  <w:marRight w:val="0"/>
                  <w:marTop w:val="0"/>
                  <w:marBottom w:val="0"/>
                  <w:divBdr>
                    <w:top w:val="none" w:sz="0" w:space="0" w:color="auto"/>
                    <w:left w:val="none" w:sz="0" w:space="0" w:color="auto"/>
                    <w:bottom w:val="none" w:sz="0" w:space="0" w:color="auto"/>
                    <w:right w:val="none" w:sz="0" w:space="0" w:color="auto"/>
                  </w:divBdr>
                  <w:divsChild>
                    <w:div w:id="206205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4.png"/><Relationship Id="rId25" Type="http://schemas.openxmlformats.org/officeDocument/2006/relationships/image" Target="media/image12.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1.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microsoft.com/office/2016/09/relationships/commentsIds" Target="commentsId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emf"/><Relationship Id="rId8" Type="http://schemas.openxmlformats.org/officeDocument/2006/relationships/comments" Target="comment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IMMERMANNAND\OneDrive%20-%20Food%20and%20Agriculture%20Organization\Documents\Custom%20Office%20Templates\Template_CMD.dotm"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agpserv6.agp.uni-bonn.de\Daten\agpo\work1\jafari\FAO_NetworkProject\data_tables&amp;figures_draftPaper\Figure1_evolution_trade.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82378525727283"/>
          <c:y val="5.8489541342789705E-2"/>
          <c:w val="0.75711913283566834"/>
          <c:h val="0.65339590829292038"/>
        </c:manualLayout>
      </c:layout>
      <c:lineChart>
        <c:grouping val="standard"/>
        <c:varyColors val="0"/>
        <c:ser>
          <c:idx val="1"/>
          <c:order val="1"/>
          <c:tx>
            <c:strRef>
              <c:f>total_trade_values!$G$1</c:f>
              <c:strCache>
                <c:ptCount val="1"/>
                <c:pt idx="0">
                  <c:v>Import (deflated)</c:v>
                </c:pt>
              </c:strCache>
            </c:strRef>
          </c:tx>
          <c:spPr>
            <a:ln w="28575" cap="rnd">
              <a:solidFill>
                <a:schemeClr val="tx1">
                  <a:lumMod val="95000"/>
                  <a:lumOff val="5000"/>
                </a:schemeClr>
              </a:solidFill>
              <a:prstDash val="sysDash"/>
              <a:round/>
            </a:ln>
            <a:effectLst/>
          </c:spPr>
          <c:marker>
            <c:symbol val="none"/>
          </c:marker>
          <c:cat>
            <c:numRef>
              <c:f>total_trade_values!$A$2:$A$26</c:f>
              <c:numCache>
                <c:formatCode>General</c:formatCode>
                <c:ptCount val="25"/>
                <c:pt idx="0">
                  <c:v>1995</c:v>
                </c:pt>
                <c:pt idx="1">
                  <c:v>1996</c:v>
                </c:pt>
                <c:pt idx="2">
                  <c:v>1997</c:v>
                </c:pt>
                <c:pt idx="3">
                  <c:v>1998</c:v>
                </c:pt>
                <c:pt idx="4">
                  <c:v>1999</c:v>
                </c:pt>
                <c:pt idx="5">
                  <c:v>2000</c:v>
                </c:pt>
                <c:pt idx="6">
                  <c:v>2001</c:v>
                </c:pt>
                <c:pt idx="7">
                  <c:v>2002</c:v>
                </c:pt>
                <c:pt idx="8">
                  <c:v>2003</c:v>
                </c:pt>
                <c:pt idx="9">
                  <c:v>2004</c:v>
                </c:pt>
                <c:pt idx="10">
                  <c:v>2005</c:v>
                </c:pt>
                <c:pt idx="11">
                  <c:v>2006</c:v>
                </c:pt>
                <c:pt idx="12">
                  <c:v>2007</c:v>
                </c:pt>
                <c:pt idx="13">
                  <c:v>2008</c:v>
                </c:pt>
                <c:pt idx="14">
                  <c:v>2009</c:v>
                </c:pt>
                <c:pt idx="15">
                  <c:v>2010</c:v>
                </c:pt>
                <c:pt idx="16">
                  <c:v>2011</c:v>
                </c:pt>
                <c:pt idx="17">
                  <c:v>2012</c:v>
                </c:pt>
                <c:pt idx="18">
                  <c:v>2013</c:v>
                </c:pt>
                <c:pt idx="19">
                  <c:v>2014</c:v>
                </c:pt>
                <c:pt idx="20">
                  <c:v>2015</c:v>
                </c:pt>
                <c:pt idx="21">
                  <c:v>2016</c:v>
                </c:pt>
                <c:pt idx="22">
                  <c:v>2017</c:v>
                </c:pt>
                <c:pt idx="23">
                  <c:v>2018</c:v>
                </c:pt>
                <c:pt idx="24">
                  <c:v>2019</c:v>
                </c:pt>
              </c:numCache>
            </c:numRef>
          </c:cat>
          <c:val>
            <c:numRef>
              <c:f>total_trade_values!$G$2:$G$26</c:f>
              <c:numCache>
                <c:formatCode>0</c:formatCode>
                <c:ptCount val="25"/>
                <c:pt idx="0">
                  <c:v>389336822000</c:v>
                </c:pt>
                <c:pt idx="1">
                  <c:v>395225078900</c:v>
                </c:pt>
                <c:pt idx="2">
                  <c:v>374248548800</c:v>
                </c:pt>
                <c:pt idx="3">
                  <c:v>383104077000</c:v>
                </c:pt>
                <c:pt idx="4">
                  <c:v>360168069800</c:v>
                </c:pt>
                <c:pt idx="5">
                  <c:v>344973534800</c:v>
                </c:pt>
                <c:pt idx="6">
                  <c:v>345150299900</c:v>
                </c:pt>
                <c:pt idx="7">
                  <c:v>357342447600</c:v>
                </c:pt>
                <c:pt idx="8">
                  <c:v>414200730400</c:v>
                </c:pt>
                <c:pt idx="9">
                  <c:v>464650654000</c:v>
                </c:pt>
                <c:pt idx="10">
                  <c:v>481589066200</c:v>
                </c:pt>
                <c:pt idx="11">
                  <c:v>513492132200</c:v>
                </c:pt>
                <c:pt idx="12">
                  <c:v>606763567600</c:v>
                </c:pt>
                <c:pt idx="13">
                  <c:v>718974776200</c:v>
                </c:pt>
                <c:pt idx="14">
                  <c:v>632959329700</c:v>
                </c:pt>
                <c:pt idx="15">
                  <c:v>699587524400</c:v>
                </c:pt>
                <c:pt idx="16">
                  <c:v>831948672100</c:v>
                </c:pt>
                <c:pt idx="17">
                  <c:v>821074051100</c:v>
                </c:pt>
                <c:pt idx="18">
                  <c:v>847683318700</c:v>
                </c:pt>
                <c:pt idx="19">
                  <c:v>879886879500</c:v>
                </c:pt>
                <c:pt idx="20">
                  <c:v>794191635000</c:v>
                </c:pt>
                <c:pt idx="21">
                  <c:v>783199074000</c:v>
                </c:pt>
                <c:pt idx="22">
                  <c:v>840755394400</c:v>
                </c:pt>
                <c:pt idx="23">
                  <c:v>852018176500</c:v>
                </c:pt>
                <c:pt idx="24">
                  <c:v>828389748300</c:v>
                </c:pt>
              </c:numCache>
            </c:numRef>
          </c:val>
          <c:smooth val="0"/>
          <c:extLst>
            <c:ext xmlns:c16="http://schemas.microsoft.com/office/drawing/2014/chart" uri="{C3380CC4-5D6E-409C-BE32-E72D297353CC}">
              <c16:uniqueId val="{00000000-3029-454F-ADE4-E7970E282DC0}"/>
            </c:ext>
          </c:extLst>
        </c:ser>
        <c:ser>
          <c:idx val="2"/>
          <c:order val="2"/>
          <c:tx>
            <c:strRef>
              <c:f>total_trade_values!$H$1</c:f>
              <c:strCache>
                <c:ptCount val="1"/>
                <c:pt idx="0">
                  <c:v>Import</c:v>
                </c:pt>
              </c:strCache>
            </c:strRef>
          </c:tx>
          <c:spPr>
            <a:ln w="28575" cap="rnd">
              <a:solidFill>
                <a:schemeClr val="tx1">
                  <a:lumMod val="95000"/>
                  <a:lumOff val="5000"/>
                </a:schemeClr>
              </a:solidFill>
              <a:round/>
            </a:ln>
            <a:effectLst/>
          </c:spPr>
          <c:marker>
            <c:symbol val="none"/>
          </c:marker>
          <c:cat>
            <c:numRef>
              <c:f>total_trade_values!$A$2:$A$26</c:f>
              <c:numCache>
                <c:formatCode>General</c:formatCode>
                <c:ptCount val="25"/>
                <c:pt idx="0">
                  <c:v>1995</c:v>
                </c:pt>
                <c:pt idx="1">
                  <c:v>1996</c:v>
                </c:pt>
                <c:pt idx="2">
                  <c:v>1997</c:v>
                </c:pt>
                <c:pt idx="3">
                  <c:v>1998</c:v>
                </c:pt>
                <c:pt idx="4">
                  <c:v>1999</c:v>
                </c:pt>
                <c:pt idx="5">
                  <c:v>2000</c:v>
                </c:pt>
                <c:pt idx="6">
                  <c:v>2001</c:v>
                </c:pt>
                <c:pt idx="7">
                  <c:v>2002</c:v>
                </c:pt>
                <c:pt idx="8">
                  <c:v>2003</c:v>
                </c:pt>
                <c:pt idx="9">
                  <c:v>2004</c:v>
                </c:pt>
                <c:pt idx="10">
                  <c:v>2005</c:v>
                </c:pt>
                <c:pt idx="11">
                  <c:v>2006</c:v>
                </c:pt>
                <c:pt idx="12">
                  <c:v>2007</c:v>
                </c:pt>
                <c:pt idx="13">
                  <c:v>2008</c:v>
                </c:pt>
                <c:pt idx="14">
                  <c:v>2009</c:v>
                </c:pt>
                <c:pt idx="15">
                  <c:v>2010</c:v>
                </c:pt>
                <c:pt idx="16">
                  <c:v>2011</c:v>
                </c:pt>
                <c:pt idx="17">
                  <c:v>2012</c:v>
                </c:pt>
                <c:pt idx="18">
                  <c:v>2013</c:v>
                </c:pt>
                <c:pt idx="19">
                  <c:v>2014</c:v>
                </c:pt>
                <c:pt idx="20">
                  <c:v>2015</c:v>
                </c:pt>
                <c:pt idx="21">
                  <c:v>2016</c:v>
                </c:pt>
                <c:pt idx="22">
                  <c:v>2017</c:v>
                </c:pt>
                <c:pt idx="23">
                  <c:v>2018</c:v>
                </c:pt>
                <c:pt idx="24">
                  <c:v>2019</c:v>
                </c:pt>
              </c:numCache>
            </c:numRef>
          </c:cat>
          <c:val>
            <c:numRef>
              <c:f>total_trade_values!$H$2:$H$26</c:f>
              <c:numCache>
                <c:formatCode>0</c:formatCode>
                <c:ptCount val="25"/>
                <c:pt idx="0">
                  <c:v>389336822000</c:v>
                </c:pt>
                <c:pt idx="1">
                  <c:v>406809933000</c:v>
                </c:pt>
                <c:pt idx="2">
                  <c:v>394223753000</c:v>
                </c:pt>
                <c:pt idx="3">
                  <c:v>409816190000</c:v>
                </c:pt>
                <c:pt idx="4">
                  <c:v>393711011000</c:v>
                </c:pt>
                <c:pt idx="5">
                  <c:v>389835564000</c:v>
                </c:pt>
                <c:pt idx="6">
                  <c:v>401058382000</c:v>
                </c:pt>
                <c:pt idx="7">
                  <c:v>421811043000</c:v>
                </c:pt>
                <c:pt idx="8">
                  <c:v>500026311000</c:v>
                </c:pt>
                <c:pt idx="9">
                  <c:v>575947267000</c:v>
                </c:pt>
                <c:pt idx="10">
                  <c:v>617195656000</c:v>
                </c:pt>
                <c:pt idx="11">
                  <c:v>679311395000</c:v>
                </c:pt>
                <c:pt idx="12">
                  <c:v>825600948000</c:v>
                </c:pt>
                <c:pt idx="13">
                  <c:v>1015839878000</c:v>
                </c:pt>
                <c:pt idx="14">
                  <c:v>891128923000</c:v>
                </c:pt>
                <c:pt idx="15">
                  <c:v>1001086563000</c:v>
                </c:pt>
                <c:pt idx="16">
                  <c:v>1228072893000</c:v>
                </c:pt>
                <c:pt idx="17">
                  <c:v>1237101218000</c:v>
                </c:pt>
                <c:pt idx="18">
                  <c:v>1295901784000</c:v>
                </c:pt>
                <c:pt idx="19">
                  <c:v>1366954262000</c:v>
                </c:pt>
                <c:pt idx="20">
                  <c:v>1235285478000</c:v>
                </c:pt>
                <c:pt idx="21">
                  <c:v>1233556102000</c:v>
                </c:pt>
                <c:pt idx="22">
                  <c:v>1352415697000</c:v>
                </c:pt>
                <c:pt idx="23">
                  <c:v>1404009097000</c:v>
                </c:pt>
                <c:pt idx="24">
                  <c:v>1389810673000</c:v>
                </c:pt>
              </c:numCache>
            </c:numRef>
          </c:val>
          <c:smooth val="0"/>
          <c:extLst>
            <c:ext xmlns:c16="http://schemas.microsoft.com/office/drawing/2014/chart" uri="{C3380CC4-5D6E-409C-BE32-E72D297353CC}">
              <c16:uniqueId val="{00000001-3029-454F-ADE4-E7970E282DC0}"/>
            </c:ext>
          </c:extLst>
        </c:ser>
        <c:ser>
          <c:idx val="3"/>
          <c:order val="3"/>
          <c:tx>
            <c:strRef>
              <c:f>total_trade_values!$I$1</c:f>
              <c:strCache>
                <c:ptCount val="1"/>
                <c:pt idx="0">
                  <c:v>Export (deflated)</c:v>
                </c:pt>
              </c:strCache>
            </c:strRef>
          </c:tx>
          <c:spPr>
            <a:ln w="28575" cap="rnd">
              <a:solidFill>
                <a:schemeClr val="bg2">
                  <a:lumMod val="75000"/>
                </a:schemeClr>
              </a:solidFill>
              <a:prstDash val="sysDash"/>
              <a:round/>
            </a:ln>
            <a:effectLst/>
          </c:spPr>
          <c:marker>
            <c:symbol val="none"/>
          </c:marker>
          <c:cat>
            <c:numRef>
              <c:f>total_trade_values!$A$2:$A$26</c:f>
              <c:numCache>
                <c:formatCode>General</c:formatCode>
                <c:ptCount val="25"/>
                <c:pt idx="0">
                  <c:v>1995</c:v>
                </c:pt>
                <c:pt idx="1">
                  <c:v>1996</c:v>
                </c:pt>
                <c:pt idx="2">
                  <c:v>1997</c:v>
                </c:pt>
                <c:pt idx="3">
                  <c:v>1998</c:v>
                </c:pt>
                <c:pt idx="4">
                  <c:v>1999</c:v>
                </c:pt>
                <c:pt idx="5">
                  <c:v>2000</c:v>
                </c:pt>
                <c:pt idx="6">
                  <c:v>2001</c:v>
                </c:pt>
                <c:pt idx="7">
                  <c:v>2002</c:v>
                </c:pt>
                <c:pt idx="8">
                  <c:v>2003</c:v>
                </c:pt>
                <c:pt idx="9">
                  <c:v>2004</c:v>
                </c:pt>
                <c:pt idx="10">
                  <c:v>2005</c:v>
                </c:pt>
                <c:pt idx="11">
                  <c:v>2006</c:v>
                </c:pt>
                <c:pt idx="12">
                  <c:v>2007</c:v>
                </c:pt>
                <c:pt idx="13">
                  <c:v>2008</c:v>
                </c:pt>
                <c:pt idx="14">
                  <c:v>2009</c:v>
                </c:pt>
                <c:pt idx="15">
                  <c:v>2010</c:v>
                </c:pt>
                <c:pt idx="16">
                  <c:v>2011</c:v>
                </c:pt>
                <c:pt idx="17">
                  <c:v>2012</c:v>
                </c:pt>
                <c:pt idx="18">
                  <c:v>2013</c:v>
                </c:pt>
                <c:pt idx="19">
                  <c:v>2014</c:v>
                </c:pt>
                <c:pt idx="20">
                  <c:v>2015</c:v>
                </c:pt>
                <c:pt idx="21">
                  <c:v>2016</c:v>
                </c:pt>
                <c:pt idx="22">
                  <c:v>2017</c:v>
                </c:pt>
                <c:pt idx="23">
                  <c:v>2018</c:v>
                </c:pt>
                <c:pt idx="24">
                  <c:v>2019</c:v>
                </c:pt>
              </c:numCache>
            </c:numRef>
          </c:cat>
          <c:val>
            <c:numRef>
              <c:f>total_trade_values!$I$2:$I$26</c:f>
              <c:numCache>
                <c:formatCode>0</c:formatCode>
                <c:ptCount val="25"/>
                <c:pt idx="0">
                  <c:v>389193255000</c:v>
                </c:pt>
                <c:pt idx="1">
                  <c:v>392758130200</c:v>
                </c:pt>
                <c:pt idx="2">
                  <c:v>379518252800</c:v>
                </c:pt>
                <c:pt idx="3">
                  <c:v>365846975600</c:v>
                </c:pt>
                <c:pt idx="4">
                  <c:v>340974054500</c:v>
                </c:pt>
                <c:pt idx="5">
                  <c:v>325164230700</c:v>
                </c:pt>
                <c:pt idx="6">
                  <c:v>321513697400</c:v>
                </c:pt>
                <c:pt idx="7">
                  <c:v>338960749600</c:v>
                </c:pt>
                <c:pt idx="8">
                  <c:v>391998692600</c:v>
                </c:pt>
                <c:pt idx="9">
                  <c:v>441333679800</c:v>
                </c:pt>
                <c:pt idx="10">
                  <c:v>462355562700</c:v>
                </c:pt>
                <c:pt idx="11">
                  <c:v>494080585100</c:v>
                </c:pt>
                <c:pt idx="12">
                  <c:v>586524934800</c:v>
                </c:pt>
                <c:pt idx="13">
                  <c:v>691709627000</c:v>
                </c:pt>
                <c:pt idx="14">
                  <c:v>617517242800</c:v>
                </c:pt>
                <c:pt idx="15">
                  <c:v>692185810000</c:v>
                </c:pt>
                <c:pt idx="16">
                  <c:v>821339033000</c:v>
                </c:pt>
                <c:pt idx="17">
                  <c:v>813051031300</c:v>
                </c:pt>
                <c:pt idx="18">
                  <c:v>839332894700</c:v>
                </c:pt>
                <c:pt idx="19">
                  <c:v>846449171100</c:v>
                </c:pt>
                <c:pt idx="20">
                  <c:v>756528605500</c:v>
                </c:pt>
                <c:pt idx="21">
                  <c:v>755070374100</c:v>
                </c:pt>
                <c:pt idx="22">
                  <c:v>810968824700</c:v>
                </c:pt>
                <c:pt idx="23">
                  <c:v>815761080100</c:v>
                </c:pt>
                <c:pt idx="24">
                  <c:v>798043325500</c:v>
                </c:pt>
              </c:numCache>
            </c:numRef>
          </c:val>
          <c:smooth val="0"/>
          <c:extLst>
            <c:ext xmlns:c16="http://schemas.microsoft.com/office/drawing/2014/chart" uri="{C3380CC4-5D6E-409C-BE32-E72D297353CC}">
              <c16:uniqueId val="{00000002-3029-454F-ADE4-E7970E282DC0}"/>
            </c:ext>
          </c:extLst>
        </c:ser>
        <c:ser>
          <c:idx val="4"/>
          <c:order val="4"/>
          <c:tx>
            <c:strRef>
              <c:f>total_trade_values!$J$1</c:f>
              <c:strCache>
                <c:ptCount val="1"/>
                <c:pt idx="0">
                  <c:v>Export</c:v>
                </c:pt>
              </c:strCache>
            </c:strRef>
          </c:tx>
          <c:spPr>
            <a:ln w="28575" cap="rnd">
              <a:solidFill>
                <a:schemeClr val="bg2">
                  <a:lumMod val="75000"/>
                </a:schemeClr>
              </a:solidFill>
              <a:round/>
            </a:ln>
            <a:effectLst/>
          </c:spPr>
          <c:marker>
            <c:symbol val="none"/>
          </c:marker>
          <c:cat>
            <c:numRef>
              <c:f>total_trade_values!$A$2:$A$26</c:f>
              <c:numCache>
                <c:formatCode>General</c:formatCode>
                <c:ptCount val="25"/>
                <c:pt idx="0">
                  <c:v>1995</c:v>
                </c:pt>
                <c:pt idx="1">
                  <c:v>1996</c:v>
                </c:pt>
                <c:pt idx="2">
                  <c:v>1997</c:v>
                </c:pt>
                <c:pt idx="3">
                  <c:v>1998</c:v>
                </c:pt>
                <c:pt idx="4">
                  <c:v>1999</c:v>
                </c:pt>
                <c:pt idx="5">
                  <c:v>2000</c:v>
                </c:pt>
                <c:pt idx="6">
                  <c:v>2001</c:v>
                </c:pt>
                <c:pt idx="7">
                  <c:v>2002</c:v>
                </c:pt>
                <c:pt idx="8">
                  <c:v>2003</c:v>
                </c:pt>
                <c:pt idx="9">
                  <c:v>2004</c:v>
                </c:pt>
                <c:pt idx="10">
                  <c:v>2005</c:v>
                </c:pt>
                <c:pt idx="11">
                  <c:v>2006</c:v>
                </c:pt>
                <c:pt idx="12">
                  <c:v>2007</c:v>
                </c:pt>
                <c:pt idx="13">
                  <c:v>2008</c:v>
                </c:pt>
                <c:pt idx="14">
                  <c:v>2009</c:v>
                </c:pt>
                <c:pt idx="15">
                  <c:v>2010</c:v>
                </c:pt>
                <c:pt idx="16">
                  <c:v>2011</c:v>
                </c:pt>
                <c:pt idx="17">
                  <c:v>2012</c:v>
                </c:pt>
                <c:pt idx="18">
                  <c:v>2013</c:v>
                </c:pt>
                <c:pt idx="19">
                  <c:v>2014</c:v>
                </c:pt>
                <c:pt idx="20">
                  <c:v>2015</c:v>
                </c:pt>
                <c:pt idx="21">
                  <c:v>2016</c:v>
                </c:pt>
                <c:pt idx="22">
                  <c:v>2017</c:v>
                </c:pt>
                <c:pt idx="23">
                  <c:v>2018</c:v>
                </c:pt>
                <c:pt idx="24">
                  <c:v>2019</c:v>
                </c:pt>
              </c:numCache>
            </c:numRef>
          </c:cat>
          <c:val>
            <c:numRef>
              <c:f>total_trade_values!$J$2:$J$26</c:f>
              <c:numCache>
                <c:formatCode>0</c:formatCode>
                <c:ptCount val="25"/>
                <c:pt idx="0">
                  <c:v>389193255000</c:v>
                </c:pt>
                <c:pt idx="1">
                  <c:v>404270673000</c:v>
                </c:pt>
                <c:pt idx="2">
                  <c:v>399774723000</c:v>
                </c:pt>
                <c:pt idx="3">
                  <c:v>391355829000</c:v>
                </c:pt>
                <c:pt idx="4">
                  <c:v>372729431000</c:v>
                </c:pt>
                <c:pt idx="5">
                  <c:v>367450162000</c:v>
                </c:pt>
                <c:pt idx="6">
                  <c:v>373593079000</c:v>
                </c:pt>
                <c:pt idx="7">
                  <c:v>400113080000</c:v>
                </c:pt>
                <c:pt idx="8">
                  <c:v>473223840000</c:v>
                </c:pt>
                <c:pt idx="9">
                  <c:v>547045236000</c:v>
                </c:pt>
                <c:pt idx="10">
                  <c:v>592546353000</c:v>
                </c:pt>
                <c:pt idx="11">
                  <c:v>653631381000</c:v>
                </c:pt>
                <c:pt idx="12">
                  <c:v>798062982000</c:v>
                </c:pt>
                <c:pt idx="13">
                  <c:v>977316933000</c:v>
                </c:pt>
                <c:pt idx="14">
                  <c:v>869388363000</c:v>
                </c:pt>
                <c:pt idx="15">
                  <c:v>990494955000</c:v>
                </c:pt>
                <c:pt idx="16">
                  <c:v>1212411578000</c:v>
                </c:pt>
                <c:pt idx="17">
                  <c:v>1225013042000</c:v>
                </c:pt>
                <c:pt idx="18">
                  <c:v>1283136015000</c:v>
                </c:pt>
                <c:pt idx="19">
                  <c:v>1315006882000</c:v>
                </c:pt>
                <c:pt idx="20">
                  <c:v>1176704411000</c:v>
                </c:pt>
                <c:pt idx="21">
                  <c:v>1189252769000</c:v>
                </c:pt>
                <c:pt idx="22">
                  <c:v>1304501851000</c:v>
                </c:pt>
                <c:pt idx="23">
                  <c:v>1344262375000</c:v>
                </c:pt>
                <c:pt idx="24">
                  <c:v>1338897703000</c:v>
                </c:pt>
              </c:numCache>
            </c:numRef>
          </c:val>
          <c:smooth val="0"/>
          <c:extLst>
            <c:ext xmlns:c16="http://schemas.microsoft.com/office/drawing/2014/chart" uri="{C3380CC4-5D6E-409C-BE32-E72D297353CC}">
              <c16:uniqueId val="{00000003-3029-454F-ADE4-E7970E282DC0}"/>
            </c:ext>
          </c:extLst>
        </c:ser>
        <c:dLbls>
          <c:showLegendKey val="0"/>
          <c:showVal val="0"/>
          <c:showCatName val="0"/>
          <c:showSerName val="0"/>
          <c:showPercent val="0"/>
          <c:showBubbleSize val="0"/>
        </c:dLbls>
        <c:marker val="1"/>
        <c:smooth val="0"/>
        <c:axId val="706732847"/>
        <c:axId val="706735759"/>
        <c:extLst>
          <c:ext xmlns:c15="http://schemas.microsoft.com/office/drawing/2012/chart" uri="{02D57815-91ED-43cb-92C2-25804820EDAC}">
            <c15:filteredLineSeries>
              <c15:ser>
                <c:idx val="0"/>
                <c:order val="0"/>
                <c:tx>
                  <c:strRef>
                    <c:extLst>
                      <c:ext uri="{02D57815-91ED-43cb-92C2-25804820EDAC}">
                        <c15:formulaRef>
                          <c15:sqref>total_trade_values!$A$1</c15:sqref>
                        </c15:formulaRef>
                      </c:ext>
                    </c:extLst>
                    <c:strCache>
                      <c:ptCount val="1"/>
                      <c:pt idx="0">
                        <c:v>Year</c:v>
                      </c:pt>
                    </c:strCache>
                  </c:strRef>
                </c:tx>
                <c:spPr>
                  <a:ln w="28575" cap="rnd">
                    <a:solidFill>
                      <a:schemeClr val="accent1"/>
                    </a:solidFill>
                    <a:round/>
                  </a:ln>
                  <a:effectLst/>
                </c:spPr>
                <c:marker>
                  <c:symbol val="none"/>
                </c:marker>
                <c:cat>
                  <c:numRef>
                    <c:extLst>
                      <c:ext uri="{02D57815-91ED-43cb-92C2-25804820EDAC}">
                        <c15:formulaRef>
                          <c15:sqref>total_trade_values!$A$2:$A$26</c15:sqref>
                        </c15:formulaRef>
                      </c:ext>
                    </c:extLst>
                    <c:numCache>
                      <c:formatCode>General</c:formatCode>
                      <c:ptCount val="25"/>
                      <c:pt idx="0">
                        <c:v>1995</c:v>
                      </c:pt>
                      <c:pt idx="1">
                        <c:v>1996</c:v>
                      </c:pt>
                      <c:pt idx="2">
                        <c:v>1997</c:v>
                      </c:pt>
                      <c:pt idx="3">
                        <c:v>1998</c:v>
                      </c:pt>
                      <c:pt idx="4">
                        <c:v>1999</c:v>
                      </c:pt>
                      <c:pt idx="5">
                        <c:v>2000</c:v>
                      </c:pt>
                      <c:pt idx="6">
                        <c:v>2001</c:v>
                      </c:pt>
                      <c:pt idx="7">
                        <c:v>2002</c:v>
                      </c:pt>
                      <c:pt idx="8">
                        <c:v>2003</c:v>
                      </c:pt>
                      <c:pt idx="9">
                        <c:v>2004</c:v>
                      </c:pt>
                      <c:pt idx="10">
                        <c:v>2005</c:v>
                      </c:pt>
                      <c:pt idx="11">
                        <c:v>2006</c:v>
                      </c:pt>
                      <c:pt idx="12">
                        <c:v>2007</c:v>
                      </c:pt>
                      <c:pt idx="13">
                        <c:v>2008</c:v>
                      </c:pt>
                      <c:pt idx="14">
                        <c:v>2009</c:v>
                      </c:pt>
                      <c:pt idx="15">
                        <c:v>2010</c:v>
                      </c:pt>
                      <c:pt idx="16">
                        <c:v>2011</c:v>
                      </c:pt>
                      <c:pt idx="17">
                        <c:v>2012</c:v>
                      </c:pt>
                      <c:pt idx="18">
                        <c:v>2013</c:v>
                      </c:pt>
                      <c:pt idx="19">
                        <c:v>2014</c:v>
                      </c:pt>
                      <c:pt idx="20">
                        <c:v>2015</c:v>
                      </c:pt>
                      <c:pt idx="21">
                        <c:v>2016</c:v>
                      </c:pt>
                      <c:pt idx="22">
                        <c:v>2017</c:v>
                      </c:pt>
                      <c:pt idx="23">
                        <c:v>2018</c:v>
                      </c:pt>
                      <c:pt idx="24">
                        <c:v>2019</c:v>
                      </c:pt>
                    </c:numCache>
                  </c:numRef>
                </c:cat>
                <c:val>
                  <c:numRef>
                    <c:extLst>
                      <c:ext uri="{02D57815-91ED-43cb-92C2-25804820EDAC}">
                        <c15:formulaRef>
                          <c15:sqref>total_trade_values!$A$2:$A$26</c15:sqref>
                        </c15:formulaRef>
                      </c:ext>
                    </c:extLst>
                    <c:numCache>
                      <c:formatCode>General</c:formatCode>
                      <c:ptCount val="25"/>
                      <c:pt idx="0">
                        <c:v>1995</c:v>
                      </c:pt>
                      <c:pt idx="1">
                        <c:v>1996</c:v>
                      </c:pt>
                      <c:pt idx="2">
                        <c:v>1997</c:v>
                      </c:pt>
                      <c:pt idx="3">
                        <c:v>1998</c:v>
                      </c:pt>
                      <c:pt idx="4">
                        <c:v>1999</c:v>
                      </c:pt>
                      <c:pt idx="5">
                        <c:v>2000</c:v>
                      </c:pt>
                      <c:pt idx="6">
                        <c:v>2001</c:v>
                      </c:pt>
                      <c:pt idx="7">
                        <c:v>2002</c:v>
                      </c:pt>
                      <c:pt idx="8">
                        <c:v>2003</c:v>
                      </c:pt>
                      <c:pt idx="9">
                        <c:v>2004</c:v>
                      </c:pt>
                      <c:pt idx="10">
                        <c:v>2005</c:v>
                      </c:pt>
                      <c:pt idx="11">
                        <c:v>2006</c:v>
                      </c:pt>
                      <c:pt idx="12">
                        <c:v>2007</c:v>
                      </c:pt>
                      <c:pt idx="13">
                        <c:v>2008</c:v>
                      </c:pt>
                      <c:pt idx="14">
                        <c:v>2009</c:v>
                      </c:pt>
                      <c:pt idx="15">
                        <c:v>2010</c:v>
                      </c:pt>
                      <c:pt idx="16">
                        <c:v>2011</c:v>
                      </c:pt>
                      <c:pt idx="17">
                        <c:v>2012</c:v>
                      </c:pt>
                      <c:pt idx="18">
                        <c:v>2013</c:v>
                      </c:pt>
                      <c:pt idx="19">
                        <c:v>2014</c:v>
                      </c:pt>
                      <c:pt idx="20">
                        <c:v>2015</c:v>
                      </c:pt>
                      <c:pt idx="21">
                        <c:v>2016</c:v>
                      </c:pt>
                      <c:pt idx="22">
                        <c:v>2017</c:v>
                      </c:pt>
                      <c:pt idx="23">
                        <c:v>2018</c:v>
                      </c:pt>
                      <c:pt idx="24">
                        <c:v>2019</c:v>
                      </c:pt>
                    </c:numCache>
                  </c:numRef>
                </c:val>
                <c:smooth val="0"/>
                <c:extLst>
                  <c:ext xmlns:c16="http://schemas.microsoft.com/office/drawing/2014/chart" uri="{C3380CC4-5D6E-409C-BE32-E72D297353CC}">
                    <c16:uniqueId val="{00000005-3029-454F-ADE4-E7970E282DC0}"/>
                  </c:ext>
                </c:extLst>
              </c15:ser>
            </c15:filteredLineSeries>
          </c:ext>
        </c:extLst>
      </c:lineChart>
      <c:lineChart>
        <c:grouping val="standard"/>
        <c:varyColors val="0"/>
        <c:ser>
          <c:idx val="5"/>
          <c:order val="5"/>
          <c:tx>
            <c:v>Number of active links</c:v>
          </c:tx>
          <c:spPr>
            <a:ln w="28575" cap="rnd">
              <a:solidFill>
                <a:schemeClr val="tx1"/>
              </a:solidFill>
              <a:prstDash val="sysDot"/>
              <a:round/>
            </a:ln>
            <a:effectLst/>
          </c:spPr>
          <c:marker>
            <c:symbol val="none"/>
          </c:marker>
          <c:val>
            <c:numRef>
              <c:f>total_trade_values!$K$2:$K$26</c:f>
              <c:numCache>
                <c:formatCode>General</c:formatCode>
                <c:ptCount val="25"/>
                <c:pt idx="0">
                  <c:v>11395</c:v>
                </c:pt>
                <c:pt idx="1">
                  <c:v>11649</c:v>
                </c:pt>
                <c:pt idx="2">
                  <c:v>12137</c:v>
                </c:pt>
                <c:pt idx="3">
                  <c:v>13058</c:v>
                </c:pt>
                <c:pt idx="4">
                  <c:v>13408</c:v>
                </c:pt>
                <c:pt idx="5">
                  <c:v>13926</c:v>
                </c:pt>
                <c:pt idx="6">
                  <c:v>14599</c:v>
                </c:pt>
                <c:pt idx="7">
                  <c:v>15043</c:v>
                </c:pt>
                <c:pt idx="8">
                  <c:v>15206</c:v>
                </c:pt>
                <c:pt idx="9">
                  <c:v>15318</c:v>
                </c:pt>
                <c:pt idx="10">
                  <c:v>15568</c:v>
                </c:pt>
                <c:pt idx="11">
                  <c:v>15278</c:v>
                </c:pt>
                <c:pt idx="12">
                  <c:v>15768</c:v>
                </c:pt>
                <c:pt idx="13">
                  <c:v>15672</c:v>
                </c:pt>
                <c:pt idx="14">
                  <c:v>15803</c:v>
                </c:pt>
                <c:pt idx="15">
                  <c:v>15976</c:v>
                </c:pt>
                <c:pt idx="16">
                  <c:v>16082</c:v>
                </c:pt>
                <c:pt idx="17">
                  <c:v>16487</c:v>
                </c:pt>
                <c:pt idx="18">
                  <c:v>16635</c:v>
                </c:pt>
                <c:pt idx="19">
                  <c:v>17200</c:v>
                </c:pt>
                <c:pt idx="20">
                  <c:v>17481</c:v>
                </c:pt>
                <c:pt idx="21">
                  <c:v>17374</c:v>
                </c:pt>
                <c:pt idx="22">
                  <c:v>17757</c:v>
                </c:pt>
                <c:pt idx="23">
                  <c:v>17490</c:v>
                </c:pt>
                <c:pt idx="24">
                  <c:v>17016</c:v>
                </c:pt>
              </c:numCache>
            </c:numRef>
          </c:val>
          <c:smooth val="0"/>
          <c:extLst>
            <c:ext xmlns:c16="http://schemas.microsoft.com/office/drawing/2014/chart" uri="{C3380CC4-5D6E-409C-BE32-E72D297353CC}">
              <c16:uniqueId val="{00000004-3029-454F-ADE4-E7970E282DC0}"/>
            </c:ext>
          </c:extLst>
        </c:ser>
        <c:dLbls>
          <c:showLegendKey val="0"/>
          <c:showVal val="0"/>
          <c:showCatName val="0"/>
          <c:showSerName val="0"/>
          <c:showPercent val="0"/>
          <c:showBubbleSize val="0"/>
        </c:dLbls>
        <c:marker val="1"/>
        <c:smooth val="0"/>
        <c:axId val="557555151"/>
        <c:axId val="557551823"/>
      </c:lineChart>
      <c:catAx>
        <c:axId val="7067328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DE"/>
          </a:p>
        </c:txPr>
        <c:crossAx val="706735759"/>
        <c:crossesAt val="0"/>
        <c:auto val="1"/>
        <c:lblAlgn val="ctr"/>
        <c:lblOffset val="100"/>
        <c:noMultiLvlLbl val="0"/>
      </c:catAx>
      <c:valAx>
        <c:axId val="70673575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Values (bn)</a:t>
                </a:r>
              </a:p>
            </c:rich>
          </c:tx>
          <c:layout>
            <c:manualLayout>
              <c:xMode val="edge"/>
              <c:yMode val="edge"/>
              <c:x val="1.0193543988819579E-2"/>
              <c:y val="0.1467443059683764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DE"/>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DE"/>
          </a:p>
        </c:txPr>
        <c:crossAx val="706732847"/>
        <c:crosses val="autoZero"/>
        <c:crossBetween val="between"/>
        <c:dispUnits>
          <c:builtInUnit val="billions"/>
        </c:dispUnits>
      </c:valAx>
      <c:valAx>
        <c:axId val="557551823"/>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Number of Links</a:t>
                </a:r>
              </a:p>
            </c:rich>
          </c:tx>
          <c:layout>
            <c:manualLayout>
              <c:xMode val="edge"/>
              <c:yMode val="edge"/>
              <c:x val="0.95330734705570841"/>
              <c:y val="0.1044140077011453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DE"/>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DE"/>
          </a:p>
        </c:txPr>
        <c:crossAx val="557555151"/>
        <c:crosses val="max"/>
        <c:crossBetween val="between"/>
      </c:valAx>
      <c:catAx>
        <c:axId val="557555151"/>
        <c:scaling>
          <c:orientation val="minMax"/>
        </c:scaling>
        <c:delete val="1"/>
        <c:axPos val="b"/>
        <c:majorTickMark val="out"/>
        <c:minorTickMark val="none"/>
        <c:tickLblPos val="nextTo"/>
        <c:crossAx val="557551823"/>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0DB322-600F-4800-B31E-9FD41034C8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Template_CMD</Template>
  <TotalTime>154</TotalTime>
  <Pages>29</Pages>
  <Words>20948</Words>
  <Characters>119405</Characters>
  <Application>Microsoft Office Word</Application>
  <DocSecurity>0</DocSecurity>
  <Lines>995</Lines>
  <Paragraphs>280</Paragraphs>
  <ScaleCrop>false</ScaleCrop>
  <HeadingPairs>
    <vt:vector size="2" baseType="variant">
      <vt:variant>
        <vt:lpstr>Title</vt:lpstr>
      </vt:variant>
      <vt:variant>
        <vt:i4>1</vt:i4>
      </vt:variant>
    </vt:vector>
  </HeadingPairs>
  <TitlesOfParts>
    <vt:vector size="1" baseType="lpstr">
      <vt:lpstr/>
    </vt:vector>
  </TitlesOfParts>
  <Company>FAO of the UN</Company>
  <LinksUpToDate>false</LinksUpToDate>
  <CharactersWithSpaces>140073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Zimmermann, Andrea (EST)</dc:creator>
  <cp:keywords/>
  <dc:description/>
  <cp:lastModifiedBy>Sneha Roy</cp:lastModifiedBy>
  <cp:revision>1</cp:revision>
  <cp:lastPrinted>2023-09-15T06:53:00Z</cp:lastPrinted>
  <dcterms:created xsi:type="dcterms:W3CDTF">2023-10-30T07:40:00Z</dcterms:created>
  <dcterms:modified xsi:type="dcterms:W3CDTF">2024-01-08T14:18:00Z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id="1qXGYDro"/&gt;&lt;style id="http://www.zotero.org/styles/food-and-agriculture-organization-of-the-united-nations" locale="en-US" hasBibliography="1" bibliographyStyleHasBeenSet="1"/&gt;&lt;prefs&gt;&lt;pref name="</vt:lpwstr>
  </property>
  <property fmtid="{D5CDD505-2E9C-101B-9397-08002B2CF9AE}" pid="3" name="ZOTERO_PREF_2">
    <vt:lpwstr>fieldType" value="Field"/&gt;&lt;/prefs&gt;&lt;/data&gt;</vt:lpwstr>
  </property>
</Properties>
</file>