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33" w:rsidRPr="00905D77" w:rsidRDefault="00ED4533" w:rsidP="00167273">
      <w:pPr>
        <w:pStyle w:val="Heading1"/>
      </w:pPr>
      <w:bookmarkStart w:id="0" w:name="_Ref246734412"/>
      <w:r w:rsidRPr="006648DE">
        <w:t>Identification</w:t>
      </w:r>
      <w:r w:rsidRPr="00905D77">
        <w:t xml:space="preserve"> of components</w:t>
      </w:r>
      <w:bookmarkEnd w:id="0"/>
    </w:p>
    <w:p w:rsidR="00ED4533" w:rsidRPr="005F5199" w:rsidRDefault="007C7445" w:rsidP="000F08C6">
      <w:r w:rsidRPr="007C7445">
        <w:t xml:space="preserve">For the </w:t>
      </w:r>
      <w:r w:rsidR="004906EF" w:rsidRPr="007C7445">
        <w:t>identification</w:t>
      </w:r>
      <w:r w:rsidRPr="007C7445">
        <w:t xml:space="preserve"> of</w:t>
      </w:r>
      <w:r w:rsidR="00ED4533">
        <w:t xml:space="preserve"> components</w:t>
      </w:r>
      <w:r w:rsidR="005A666D">
        <w:t xml:space="preserve">, </w:t>
      </w:r>
      <w:r w:rsidR="004906EF">
        <w:t>that</w:t>
      </w:r>
      <w:r w:rsidR="005A666D">
        <w:t xml:space="preserve"> could be merged, </w:t>
      </w:r>
      <w:r w:rsidR="004906EF">
        <w:t>a number of source code</w:t>
      </w:r>
      <w:r w:rsidR="00ED4533">
        <w:t xml:space="preserve"> metrics are </w:t>
      </w:r>
      <w:r w:rsidR="004906EF">
        <w:t>computed</w:t>
      </w:r>
      <w:r w:rsidR="00ED4533">
        <w:t xml:space="preserve">. The </w:t>
      </w:r>
      <w:r w:rsidR="007230E4">
        <w:t>overall score</w:t>
      </w:r>
      <w:r w:rsidR="005A666D">
        <w:t xml:space="preserve"> of these</w:t>
      </w:r>
      <w:r w:rsidR="007230E4">
        <w:t xml:space="preserve"> </w:t>
      </w:r>
      <w:r w:rsidR="004906EF">
        <w:t xml:space="preserve">metrics </w:t>
      </w:r>
      <w:r w:rsidR="005A666D">
        <w:t>is evaluated for</w:t>
      </w:r>
      <w:r w:rsidR="00ED4533">
        <w:t xml:space="preserve"> two components at a time.</w:t>
      </w:r>
      <w:r w:rsidR="007230E4">
        <w:t xml:space="preserve"> The </w:t>
      </w:r>
      <w:r w:rsidR="004906EF">
        <w:t>overall score</w:t>
      </w:r>
      <w:r w:rsidR="007230E4">
        <w:t xml:space="preserve"> can be influenced </w:t>
      </w:r>
      <w:r w:rsidR="004906EF">
        <w:t>by</w:t>
      </w:r>
      <w:r w:rsidR="007230E4">
        <w:t xml:space="preserve"> weighting </w:t>
      </w:r>
      <w:r w:rsidR="00D618A0">
        <w:t>each metric</w:t>
      </w:r>
      <w:r w:rsidR="004906EF">
        <w:t xml:space="preserve"> with a probability (an integer value between 0-100)</w:t>
      </w:r>
      <w:r w:rsidR="007230E4">
        <w:t>.</w:t>
      </w:r>
      <w:r w:rsidR="00AD48B0">
        <w:t xml:space="preserve"> How the values </w:t>
      </w:r>
      <w:r w:rsidR="005F5199">
        <w:t xml:space="preserve">from the user dialog (see figure 1) affect the weights of each score is documented in </w:t>
      </w:r>
      <w:r w:rsidR="005F5199" w:rsidRPr="005F5199">
        <w:rPr>
          <w:i/>
        </w:rPr>
        <w:t xml:space="preserve">1.2 </w:t>
      </w:r>
      <w:fldSimple w:instr=" REF _Ref246734401 \h  \* MERGEFORMAT ">
        <w:r w:rsidR="005F5199" w:rsidRPr="005F5199">
          <w:rPr>
            <w:i/>
          </w:rPr>
          <w:t>Description of metrics</w:t>
        </w:r>
      </w:fldSimple>
      <w:r w:rsidR="005F5199">
        <w:t>.</w:t>
      </w:r>
    </w:p>
    <w:p w:rsidR="00827408" w:rsidRDefault="00ED4533" w:rsidP="00F31C76">
      <w:pPr>
        <w:keepNext/>
        <w:jc w:val="center"/>
      </w:pPr>
      <w:r>
        <w:rPr>
          <w:noProof/>
          <w:lang w:val="de-DE" w:eastAsia="de-DE" w:bidi="ar-SA"/>
        </w:rPr>
        <w:drawing>
          <wp:inline distT="0" distB="0" distL="0" distR="0">
            <wp:extent cx="5663972" cy="3876675"/>
            <wp:effectExtent l="19050" t="0" r="0" b="0"/>
            <wp:docPr id="5" name="Picture 1" descr="weights_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s_u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722" cy="388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EF" w:rsidRDefault="00827408" w:rsidP="00827408">
      <w:pPr>
        <w:pStyle w:val="Caption"/>
        <w:jc w:val="center"/>
      </w:pPr>
      <w:bookmarkStart w:id="1" w:name="_Ref246928593"/>
      <w:r>
        <w:t xml:space="preserve">Figure </w:t>
      </w:r>
      <w:fldSimple w:instr=" SEQ Figure \* ARABIC ">
        <w:r w:rsidR="00832627">
          <w:rPr>
            <w:noProof/>
          </w:rPr>
          <w:t>1</w:t>
        </w:r>
      </w:fldSimple>
      <w:bookmarkEnd w:id="1"/>
      <w:r>
        <w:t xml:space="preserve"> </w:t>
      </w:r>
      <w:r w:rsidRPr="009109F4">
        <w:t xml:space="preserve">Configuration of source code metrics weights in </w:t>
      </w:r>
      <w:proofErr w:type="spellStart"/>
      <w:r w:rsidRPr="009109F4">
        <w:t>SoMoX</w:t>
      </w:r>
      <w:proofErr w:type="spellEnd"/>
      <w:r w:rsidRPr="009109F4">
        <w:t xml:space="preserve"> (screenshot from the Run Configuration dialog)</w:t>
      </w:r>
    </w:p>
    <w:p w:rsidR="005A666D" w:rsidRPr="00167273" w:rsidRDefault="005A666D" w:rsidP="00167273">
      <w:pPr>
        <w:pStyle w:val="Heading2"/>
      </w:pPr>
      <w:r w:rsidRPr="00167273">
        <w:t>Overall score</w:t>
      </w:r>
    </w:p>
    <w:p w:rsidR="005A666D" w:rsidRDefault="005A666D" w:rsidP="000F08C6">
      <w:r>
        <w:t xml:space="preserve">The final score </w:t>
      </w:r>
      <w:r w:rsidR="00167273" w:rsidRPr="00AD48B0">
        <w:rPr>
          <w:rFonts w:ascii="Cambria Math" w:hAnsi="Cambria Math"/>
        </w:rPr>
        <w:t>Q</w:t>
      </w:r>
      <w:r w:rsidR="00167273" w:rsidRPr="00167273">
        <w:t xml:space="preserve"> </w:t>
      </w:r>
      <w:r>
        <w:t xml:space="preserve">is calculated </w:t>
      </w:r>
      <w:r w:rsidR="00AD48B0">
        <w:t>a</w:t>
      </w:r>
      <w:r w:rsidR="00AD48B0" w:rsidRPr="00AD48B0">
        <w:t xml:space="preserve">s </w:t>
      </w:r>
      <w:r w:rsidR="00167273">
        <w:t>follows</w:t>
      </w:r>
      <w:r>
        <w:t>.</w:t>
      </w:r>
      <w:r w:rsidR="00045527">
        <w:t xml:space="preserve"> Figure 2 also gives an overview of the dependencies of the metrics and weights</w:t>
      </w:r>
      <w:r>
        <w:t xml:space="preserve"> </w:t>
      </w:r>
    </w:p>
    <w:p w:rsidR="005A666D" w:rsidRDefault="005A666D" w:rsidP="005A666D">
      <w:pPr>
        <w:jc w:val="center"/>
      </w:pPr>
      <m:oMathPara>
        <m:oMath>
          <m:r>
            <w:rPr>
              <w:rFonts w:ascii="Cambria Math" w:hAnsi="Cambria Math"/>
            </w:rPr>
            <m:t xml:space="preserve">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IV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∙W</m:t>
                  </m:r>
                </m:e>
                <m:sub>
                  <m:r>
                    <w:rPr>
                      <w:rFonts w:ascii="Cambria Math" w:hAnsi="Cambria Math"/>
                    </w:rPr>
                    <m:t>IV</m:t>
                  </m:r>
                </m:sub>
              </m:sSub>
              <m:r>
                <w:rPr>
                  <w:rFonts w:ascii="Cambria Math" w:hAnsi="Cambria Math"/>
                </w:rPr>
                <m:t xml:space="preserve">+ SN∙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SN</m:t>
                  </m:r>
                </m:sub>
              </m:sSub>
              <m:r>
                <w:rPr>
                  <w:rFonts w:ascii="Cambria Math" w:hAnsi="Cambria Math"/>
                </w:rPr>
                <m:t xml:space="preserve">+D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+P∙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SLAQ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SLAQ</m:t>
                  </m:r>
                </m:sub>
              </m:sSub>
              <m:r>
                <w:rPr>
                  <w:rFonts w:ascii="Cambria Math" w:hAnsi="Cambria Math"/>
                </w:rPr>
                <m:t xml:space="preserve">- DMS∙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SLAQ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IV: </m:t>
          </m:r>
          <m:r>
            <m:rPr>
              <m:nor/>
            </m:rPr>
            <w:rPr>
              <w:rFonts w:ascii="Cambria Math" w:hAnsi="Cambria Math"/>
            </w:rPr>
            <m:t xml:space="preserve">interface violation; </m:t>
          </m:r>
          <m:r>
            <w:rPr>
              <w:rFonts w:ascii="Cambria Math" w:hAnsi="Cambria Math"/>
            </w:rPr>
            <m:t>SN:</m:t>
          </m:r>
          <m:r>
            <m:rPr>
              <m:nor/>
            </m:rPr>
            <w:rPr>
              <w:rFonts w:ascii="Cambria Math" w:hAnsi="Cambria Math"/>
            </w:rPr>
            <m:t>name resamblance</m:t>
          </m:r>
          <m:r>
            <w:rPr>
              <w:rFonts w:ascii="Cambria Math" w:hAnsi="Cambria Math"/>
            </w:rPr>
            <m:t>;D:</m:t>
          </m:r>
          <m:r>
            <m:rPr>
              <m:nor/>
            </m:rPr>
            <w:rPr>
              <w:rFonts w:ascii="Cambria Math" w:hAnsi="Cambria Math"/>
            </w:rPr>
            <m:t>directory mapping</m:t>
          </m:r>
          <m: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SLAQ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>subsystems</m:t>
          </m:r>
          <m:r>
            <w:rPr>
              <w:rFonts w:ascii="Cambria Math" w:hAnsi="Cambria Math"/>
            </w:rPr>
            <m:t>;DMS:d</m:t>
          </m:r>
          <m:r>
            <m:rPr>
              <m:nor/>
            </m:rPr>
            <w:rPr>
              <w:rFonts w:ascii="Cambria Math" w:hAnsi="Cambria Math"/>
            </w:rPr>
            <m:t>istance from main sequence;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xxx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>weights</m:t>
          </m:r>
        </m:oMath>
      </m:oMathPara>
    </w:p>
    <w:p w:rsidR="00045527" w:rsidRDefault="00045527" w:rsidP="005A666D">
      <w:pPr>
        <w:jc w:val="center"/>
      </w:pPr>
    </w:p>
    <w:p w:rsidR="00045527" w:rsidRDefault="00EE0D56" w:rsidP="00045527">
      <w:pPr>
        <w:keepNext/>
        <w:jc w:val="center"/>
      </w:pPr>
      <w:r>
        <w:object w:dxaOrig="9765" w:dyaOrig="7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56.25pt" o:ole="">
            <v:imagedata r:id="rId7" o:title=""/>
          </v:shape>
          <o:OLEObject Type="Embed" ProgID="Visio.Drawing.11" ShapeID="_x0000_i1025" DrawAspect="Content" ObjectID="_1320750893" r:id="rId8"/>
        </w:object>
      </w:r>
    </w:p>
    <w:p w:rsidR="00044FC0" w:rsidRPr="00045527" w:rsidRDefault="00045527" w:rsidP="00045527">
      <w:pPr>
        <w:pStyle w:val="Caption"/>
        <w:jc w:val="center"/>
      </w:pPr>
      <w:r>
        <w:t xml:space="preserve">Figure </w:t>
      </w:r>
      <w:fldSimple w:instr=" SEQ Figure \* ARABIC ">
        <w:r w:rsidR="00832627">
          <w:rPr>
            <w:noProof/>
          </w:rPr>
          <w:t>2</w:t>
        </w:r>
      </w:fldSimple>
      <w:r>
        <w:t xml:space="preserve"> Calculation</w:t>
      </w:r>
      <w:r>
        <w:rPr>
          <w:noProof/>
        </w:rPr>
        <w:t xml:space="preserve"> of the final score</w:t>
      </w:r>
    </w:p>
    <w:p w:rsidR="00044FC0" w:rsidRDefault="00045527" w:rsidP="00AD23C7">
      <w:pPr>
        <w:ind w:firstLine="576"/>
        <w:jc w:val="left"/>
      </w:pPr>
      <w:r>
        <w:t>The function</w:t>
      </w:r>
      <w:r w:rsidR="00EE0D56">
        <w:t>s</w:t>
      </w:r>
      <w:r>
        <w:t xml:space="preserve"> F</w:t>
      </w:r>
      <w:r w:rsidRPr="00045527">
        <w:rPr>
          <w:vertAlign w:val="subscript"/>
        </w:rPr>
        <w:t>1</w:t>
      </w:r>
      <w:r w:rsidR="00EE0D56">
        <w:t>-F</w:t>
      </w:r>
      <w:r w:rsidR="00EE0D56" w:rsidRPr="00EE0D56">
        <w:rPr>
          <w:vertAlign w:val="subscript"/>
        </w:rPr>
        <w:t>6</w:t>
      </w:r>
      <w:r w:rsidR="003B7840">
        <w:t xml:space="preserve"> </w:t>
      </w:r>
      <w:r w:rsidR="00832627">
        <w:t>determine the we</w:t>
      </w:r>
      <w:r w:rsidR="008D5647">
        <w:t xml:space="preserve">ights. This </w:t>
      </w:r>
      <w:proofErr w:type="gramStart"/>
      <w:r w:rsidR="008D5647">
        <w:t xml:space="preserve">is  </w:t>
      </w:r>
      <w:r w:rsidR="003B7840">
        <w:t>explained</w:t>
      </w:r>
      <w:proofErr w:type="gramEnd"/>
      <w:r w:rsidR="003B7840">
        <w:t xml:space="preserve"> in detail in the following section.</w:t>
      </w:r>
    </w:p>
    <w:p w:rsidR="00044FC0" w:rsidRDefault="00044FC0" w:rsidP="005A666D">
      <w:pPr>
        <w:jc w:val="center"/>
      </w:pPr>
    </w:p>
    <w:p w:rsidR="005A666D" w:rsidRDefault="00905D77" w:rsidP="00EA023E">
      <w:pPr>
        <w:pStyle w:val="Heading2"/>
      </w:pPr>
      <w:bookmarkStart w:id="2" w:name="_Ref246734401"/>
      <w:r>
        <w:t>Description of metrics</w:t>
      </w:r>
      <w:bookmarkEnd w:id="2"/>
    </w:p>
    <w:p w:rsidR="005F5199" w:rsidRDefault="005F5199" w:rsidP="005F5199">
      <w:pPr>
        <w:pStyle w:val="Heading3"/>
      </w:pPr>
      <w:r>
        <w:t>Package mapping</w:t>
      </w:r>
    </w:p>
    <w:p w:rsidR="005F5199" w:rsidRDefault="005F5199" w:rsidP="005F5199">
      <w:r>
        <w:t xml:space="preserve">Indicator if </w:t>
      </w:r>
      <w:r w:rsidR="00DF75CD" w:rsidRPr="00DF75CD">
        <w:t>the</w:t>
      </w:r>
      <w:r>
        <w:t xml:space="preserve"> component</w:t>
      </w:r>
      <w:r w:rsidR="00DF75CD">
        <w:t>s</w:t>
      </w:r>
      <w:r>
        <w:t xml:space="preserve"> can be mapped to a single package</w:t>
      </w:r>
    </w:p>
    <w:p w:rsidR="005F5199" w:rsidRDefault="005F5199" w:rsidP="005F5199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, if all classes and interfaces belong to the same package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, otherwise</m:t>
                  </m:r>
                </m:e>
              </m:eqArr>
            </m:e>
          </m:d>
        </m:oMath>
      </m:oMathPara>
    </w:p>
    <w:p w:rsidR="003B7840" w:rsidRPr="003B7840" w:rsidRDefault="003B7840" w:rsidP="00AD23C7">
      <w:pPr>
        <w:ind w:firstLine="708"/>
      </w:pPr>
      <w:r>
        <w:t>The weight W</w:t>
      </w:r>
      <w:r w:rsidRPr="003B7840">
        <w:rPr>
          <w:vertAlign w:val="subscript"/>
        </w:rPr>
        <w:t>P</w:t>
      </w:r>
      <w:r>
        <w:t xml:space="preserve"> is directly applied from the run dialog by multiplication.</w:t>
      </w:r>
    </w:p>
    <w:p w:rsidR="003856AF" w:rsidRDefault="003856AF" w:rsidP="003856AF">
      <w:pPr>
        <w:pStyle w:val="Heading3"/>
      </w:pPr>
      <w:r>
        <w:t>Directory mapping</w:t>
      </w:r>
    </w:p>
    <w:p w:rsidR="003856AF" w:rsidRPr="004033A7" w:rsidRDefault="003856AF" w:rsidP="003856AF">
      <w:r>
        <w:t>Same indicator like package mapping but based on directories instead of packages</w:t>
      </w:r>
    </w:p>
    <w:p w:rsidR="005F5199" w:rsidRPr="005F5199" w:rsidRDefault="003856AF" w:rsidP="003856AF">
      <m:oMathPara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, if all classes and interfaces are placed in the same directory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, otherwise</m:t>
                  </m:r>
                </m:e>
              </m:eqArr>
            </m:e>
          </m:d>
        </m:oMath>
      </m:oMathPara>
    </w:p>
    <w:p w:rsidR="00F758FE" w:rsidRDefault="00F758FE" w:rsidP="00AD23C7">
      <w:pPr>
        <w:ind w:firstLine="708"/>
      </w:pPr>
      <w:r>
        <w:t>The weight W</w:t>
      </w:r>
      <w:r>
        <w:rPr>
          <w:vertAlign w:val="subscript"/>
        </w:rPr>
        <w:t>D</w:t>
      </w:r>
      <w:r>
        <w:t xml:space="preserve"> is also directly applied from the run dialog by multiplication.</w:t>
      </w:r>
    </w:p>
    <w:p w:rsidR="00DF75CD" w:rsidRDefault="00DF75CD">
      <w:pPr>
        <w:jc w:val="left"/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905D77" w:rsidRDefault="00905D77" w:rsidP="00905D77">
      <w:pPr>
        <w:pStyle w:val="Heading3"/>
      </w:pPr>
      <w:r>
        <w:lastRenderedPageBreak/>
        <w:t>Distance from Main Sequence (DMS)</w:t>
      </w:r>
    </w:p>
    <w:p w:rsidR="00B745EE" w:rsidRPr="00B745EE" w:rsidRDefault="00DF75CD" w:rsidP="00B745EE">
      <w:proofErr w:type="gramStart"/>
      <w:r>
        <w:t>This m</w:t>
      </w:r>
      <w:r w:rsidR="00B745EE">
        <w:t>etric combines abstractness and instability to rate components.</w:t>
      </w:r>
      <w:proofErr w:type="gramEnd"/>
    </w:p>
    <w:p w:rsidR="00B745EE" w:rsidRDefault="00B745EE" w:rsidP="00B745EE">
      <w:pPr>
        <w:pStyle w:val="Heading4"/>
      </w:pPr>
      <w:r>
        <w:t>Abstractness</w:t>
      </w:r>
    </w:p>
    <w:p w:rsidR="00B745EE" w:rsidRPr="00133739" w:rsidRDefault="00B745EE" w:rsidP="00B745EE">
      <w:r>
        <w:t>This metric measures the object-oriented abstractness of a component.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6836"/>
      </w:tblGrid>
      <w:tr w:rsidR="00B745EE" w:rsidTr="00B745EE">
        <w:tc>
          <w:tcPr>
            <w:tcW w:w="2376" w:type="dxa"/>
          </w:tcPr>
          <w:p w:rsidR="00B745EE" w:rsidRDefault="00B745EE" w:rsidP="00AC0E0E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all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36" w:type="dxa"/>
          </w:tcPr>
          <w:p w:rsidR="00B745EE" w:rsidRDefault="009671B5" w:rsidP="00B745EE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Number of abstract classes and interfaces</m:t>
              </m:r>
            </m:oMath>
            <w:r w:rsidR="00B745EE">
              <w:t xml:space="preserve"> within a component</w:t>
            </w:r>
            <w:r w:rsidR="00B745EE">
              <w:rPr>
                <w:rFonts w:ascii="Cambria Math" w:hAnsi="Cambria Math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all</m:t>
                  </m:r>
                </m:sub>
              </m:sSub>
              <m:r>
                <w:rPr>
                  <w:rFonts w:ascii="Cambria Math" w:hAnsi="Cambria Math"/>
                </w:rPr>
                <m:t xml:space="preserve">: </m:t>
              </m:r>
              <m:r>
                <m:rPr>
                  <m:nor/>
                </m:rPr>
                <w:rPr>
                  <w:rFonts w:ascii="Cambria Math" w:hAnsi="Cambria Math"/>
                </w:rPr>
                <m:t>Number of all classes and interfaces</m:t>
              </m:r>
            </m:oMath>
            <w:r w:rsidR="00B745EE">
              <w:rPr>
                <w:rFonts w:asciiTheme="majorHAnsi" w:eastAsiaTheme="majorEastAsia" w:hAnsiTheme="majorHAnsi" w:cstheme="majorBidi"/>
              </w:rPr>
              <w:t xml:space="preserve"> </w:t>
            </w:r>
            <w:r w:rsidR="00B745EE">
              <w:t>within a component</w:t>
            </w:r>
          </w:p>
        </w:tc>
      </w:tr>
    </w:tbl>
    <w:p w:rsidR="00B745EE" w:rsidRDefault="00B745EE" w:rsidP="00B745EE">
      <w:pPr>
        <w:ind w:firstLine="708"/>
      </w:pPr>
    </w:p>
    <w:p w:rsidR="00B745EE" w:rsidRDefault="00B745EE" w:rsidP="00B745EE">
      <w:pPr>
        <w:ind w:firstLine="708"/>
      </w:pPr>
      <w:r>
        <w:t>A Value of “1” characterizes abstract classes; concrete classes will achieve a score of “0”.</w:t>
      </w:r>
    </w:p>
    <w:p w:rsidR="00B745EE" w:rsidRDefault="00B745EE" w:rsidP="00B745EE">
      <w:pPr>
        <w:pStyle w:val="Heading4"/>
      </w:pPr>
      <w:r>
        <w:t>Instability</w:t>
      </w:r>
    </w:p>
    <w:p w:rsidR="00B745EE" w:rsidRDefault="00B745EE" w:rsidP="00B745EE">
      <w:r>
        <w:t xml:space="preserve">Instability </w:t>
      </w:r>
      <w:r w:rsidR="00F86327">
        <w:t>characterizes</w:t>
      </w:r>
      <w:r>
        <w:t xml:space="preserve"> the dependency of </w:t>
      </w:r>
      <w:r w:rsidR="00F86327">
        <w:t>a</w:t>
      </w:r>
      <w:r>
        <w:t xml:space="preserve"> component to others. Components with an instability value of “1” are considered to be instable, because they depend in a very high degree on other components. On the other hand, components with a score of “0” are stable because they depend only on themselves.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4822"/>
      </w:tblGrid>
      <w:tr w:rsidR="00F86327" w:rsidTr="00AC0E0E">
        <w:trPr>
          <w:trHeight w:val="825"/>
        </w:trPr>
        <w:tc>
          <w:tcPr>
            <w:tcW w:w="4077" w:type="dxa"/>
          </w:tcPr>
          <w:p w:rsidR="00B745EE" w:rsidRDefault="00B745EE" w:rsidP="00AC0E0E"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22" w:type="dxa"/>
          </w:tcPr>
          <w:p w:rsidR="001451AE" w:rsidRDefault="009671B5" w:rsidP="001451AE">
            <w:pPr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Number of outgoing dependencies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Number of incoming dependencies</m:t>
                </m:r>
              </m:oMath>
            </m:oMathPara>
          </w:p>
        </w:tc>
      </w:tr>
    </w:tbl>
    <w:p w:rsidR="001451AE" w:rsidRDefault="001451AE" w:rsidP="00827408">
      <w:pPr>
        <w:keepNext/>
        <w:jc w:val="center"/>
      </w:pPr>
    </w:p>
    <w:p w:rsidR="00827408" w:rsidRDefault="00827408" w:rsidP="00827408">
      <w:pPr>
        <w:keepNext/>
        <w:jc w:val="center"/>
      </w:pPr>
      <w:r>
        <w:object w:dxaOrig="5815" w:dyaOrig="2215">
          <v:shape id="_x0000_i1026" type="#_x0000_t75" style="width:291pt;height:111pt" o:ole="">
            <v:imagedata r:id="rId9" o:title=""/>
          </v:shape>
          <o:OLEObject Type="Embed" ProgID="Visio.Drawing.11" ShapeID="_x0000_i1026" DrawAspect="Content" ObjectID="_1320750894" r:id="rId10"/>
        </w:object>
      </w:r>
    </w:p>
    <w:p w:rsidR="00827408" w:rsidRDefault="00827408" w:rsidP="00827408">
      <w:pPr>
        <w:pStyle w:val="Caption"/>
        <w:jc w:val="center"/>
      </w:pPr>
      <w:bookmarkStart w:id="3" w:name="_Ref246928603"/>
      <w:bookmarkStart w:id="4" w:name="_Ref246928554"/>
      <w:r>
        <w:t xml:space="preserve">Figure </w:t>
      </w:r>
      <w:fldSimple w:instr=" SEQ Figure \* ARABIC ">
        <w:r w:rsidR="00832627">
          <w:rPr>
            <w:noProof/>
          </w:rPr>
          <w:t>3</w:t>
        </w:r>
      </w:fldSimple>
      <w:bookmarkEnd w:id="3"/>
      <w:r>
        <w:t xml:space="preserve"> Example class diagram</w:t>
      </w:r>
      <w:bookmarkEnd w:id="4"/>
    </w:p>
    <w:p w:rsidR="00B745EE" w:rsidRDefault="00B745EE" w:rsidP="00AD23C7">
      <w:pPr>
        <w:ind w:firstLine="708"/>
        <w:rPr>
          <w:noProof/>
          <w:lang w:eastAsia="de-DE" w:bidi="ar-SA"/>
        </w:rPr>
      </w:pPr>
      <w:r w:rsidRPr="003B0C4B">
        <w:rPr>
          <w:noProof/>
          <w:lang w:eastAsia="de-DE" w:bidi="ar-SA"/>
        </w:rPr>
        <w:t xml:space="preserve">The example class diagramm </w:t>
      </w:r>
      <w:r w:rsidR="00827408">
        <w:rPr>
          <w:noProof/>
          <w:lang w:eastAsia="de-DE" w:bidi="ar-SA"/>
        </w:rPr>
        <w:t xml:space="preserve">in </w:t>
      </w:r>
      <w:r w:rsidR="009671B5">
        <w:rPr>
          <w:noProof/>
          <w:lang w:eastAsia="de-DE" w:bidi="ar-SA"/>
        </w:rPr>
        <w:fldChar w:fldCharType="begin"/>
      </w:r>
      <w:r w:rsidR="00AD23C7">
        <w:rPr>
          <w:noProof/>
          <w:lang w:eastAsia="de-DE" w:bidi="ar-SA"/>
        </w:rPr>
        <w:instrText xml:space="preserve"> REF _Ref246928603 \h </w:instrText>
      </w:r>
      <w:r w:rsidR="009671B5">
        <w:rPr>
          <w:noProof/>
          <w:lang w:eastAsia="de-DE" w:bidi="ar-SA"/>
        </w:rPr>
      </w:r>
      <w:r w:rsidR="009671B5">
        <w:rPr>
          <w:noProof/>
          <w:lang w:eastAsia="de-DE" w:bidi="ar-SA"/>
        </w:rPr>
        <w:fldChar w:fldCharType="separate"/>
      </w:r>
      <w:r w:rsidR="00AD23C7">
        <w:t xml:space="preserve">Figure </w:t>
      </w:r>
      <w:r w:rsidR="00AD23C7">
        <w:rPr>
          <w:noProof/>
        </w:rPr>
        <w:t>3</w:t>
      </w:r>
      <w:r w:rsidR="009671B5">
        <w:rPr>
          <w:noProof/>
          <w:lang w:eastAsia="de-DE" w:bidi="ar-SA"/>
        </w:rPr>
        <w:fldChar w:fldCharType="end"/>
      </w:r>
      <w:r w:rsidR="00F41E8B">
        <w:rPr>
          <w:noProof/>
          <w:lang w:eastAsia="de-DE" w:bidi="ar-SA"/>
        </w:rPr>
        <w:t xml:space="preserve"> </w:t>
      </w:r>
      <w:r w:rsidRPr="003B0C4B">
        <w:rPr>
          <w:noProof/>
          <w:lang w:eastAsia="de-DE" w:bidi="ar-SA"/>
        </w:rPr>
        <w:t xml:space="preserve">shows class B that is derived from class A, provides/realizes the interface </w:t>
      </w:r>
      <w:r w:rsidR="00B51510">
        <w:rPr>
          <w:noProof/>
          <w:lang w:eastAsia="de-DE" w:bidi="ar-SA"/>
        </w:rPr>
        <w:t>If</w:t>
      </w:r>
      <w:r>
        <w:rPr>
          <w:noProof/>
          <w:lang w:eastAsia="de-DE" w:bidi="ar-SA"/>
        </w:rPr>
        <w:t>1 and is referenced by class C.</w:t>
      </w:r>
      <w:r w:rsidR="00827408">
        <w:rPr>
          <w:noProof/>
          <w:lang w:eastAsia="de-DE" w:bidi="ar-SA"/>
        </w:rPr>
        <w:t xml:space="preserve"> This leads to the following instability score:</w:t>
      </w:r>
    </w:p>
    <w:p w:rsidR="00AD23C7" w:rsidRDefault="00B745EE" w:rsidP="00B745EE">
      <w:pPr>
        <w:jc w:val="left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=0.67</m:t>
          </m:r>
        </m:oMath>
      </m:oMathPara>
    </w:p>
    <w:p w:rsidR="00AD23C7" w:rsidRDefault="00AD23C7">
      <w:pPr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CE1595" w:rsidRDefault="00986773" w:rsidP="00AD23C7">
      <w:pPr>
        <w:ind w:firstLine="708"/>
      </w:pPr>
      <w:r>
        <w:lastRenderedPageBreak/>
        <w:t xml:space="preserve">The ideal combination of abstractness and instability for “good” components is described by </w:t>
      </w:r>
      <w:r w:rsidR="009671B5">
        <w:fldChar w:fldCharType="begin"/>
      </w:r>
      <w:r w:rsidR="00AD23C7">
        <w:instrText xml:space="preserve"> REF _Ref246928665 \h </w:instrText>
      </w:r>
      <w:r w:rsidR="009671B5">
        <w:fldChar w:fldCharType="separate"/>
      </w:r>
      <w:r w:rsidR="00AD23C7">
        <w:t xml:space="preserve">Figure </w:t>
      </w:r>
      <w:r w:rsidR="00AD23C7">
        <w:rPr>
          <w:noProof/>
        </w:rPr>
        <w:t>4</w:t>
      </w:r>
      <w:r w:rsidR="009671B5">
        <w:fldChar w:fldCharType="end"/>
      </w:r>
      <w:r w:rsidR="00AD23C7">
        <w:t xml:space="preserve"> </w:t>
      </w:r>
      <w:r>
        <w:t xml:space="preserve">– the Main Sequence. </w:t>
      </w:r>
    </w:p>
    <w:p w:rsidR="001451AE" w:rsidRDefault="00114CC1" w:rsidP="00114CC1">
      <w:pPr>
        <w:keepNext/>
        <w:jc w:val="center"/>
      </w:pPr>
      <w:r>
        <w:object w:dxaOrig="4043" w:dyaOrig="3268">
          <v:shape id="_x0000_i1027" type="#_x0000_t75" style="width:202.5pt;height:163.5pt" o:ole="">
            <v:imagedata r:id="rId11" o:title=""/>
          </v:shape>
          <o:OLEObject Type="Embed" ProgID="Visio.Drawing.11" ShapeID="_x0000_i1027" DrawAspect="Content" ObjectID="_1320750895" r:id="rId12"/>
        </w:object>
      </w:r>
    </w:p>
    <w:p w:rsidR="001451AE" w:rsidRDefault="001451AE" w:rsidP="00114CC1">
      <w:pPr>
        <w:pStyle w:val="Caption"/>
        <w:jc w:val="center"/>
      </w:pPr>
      <w:bookmarkStart w:id="5" w:name="_Ref246928665"/>
      <w:r>
        <w:t xml:space="preserve">Figure </w:t>
      </w:r>
      <w:fldSimple w:instr=" SEQ Figure \* ARABIC ">
        <w:r w:rsidR="00832627">
          <w:rPr>
            <w:noProof/>
          </w:rPr>
          <w:t>4</w:t>
        </w:r>
      </w:fldSimple>
      <w:bookmarkEnd w:id="5"/>
      <w:r>
        <w:t xml:space="preserve"> </w:t>
      </w:r>
      <w:r w:rsidRPr="008D501C">
        <w:t>Graph of the main sequence</w:t>
      </w:r>
    </w:p>
    <w:p w:rsidR="00827408" w:rsidRPr="003E56BD" w:rsidRDefault="000E015D" w:rsidP="00AD23C7">
      <w:pPr>
        <w:ind w:firstLine="708"/>
      </w:pPr>
      <w:r w:rsidRPr="000F08C6">
        <w:t>It is shown that abstract components (A=1) should be perfectly stable (I=0)</w:t>
      </w:r>
      <w:r w:rsidR="005C10EC" w:rsidRPr="000F08C6">
        <w:t xml:space="preserve"> and concrete components (A=0) should be instable (I=1).</w:t>
      </w:r>
      <w:r w:rsidR="00302305">
        <w:t xml:space="preserve"> </w:t>
      </w:r>
      <w:r w:rsidR="005C10EC" w:rsidRPr="000F08C6">
        <w:t xml:space="preserve">The connecting line </w:t>
      </w:r>
      <w:r w:rsidR="0031613A">
        <w:t>indicates</w:t>
      </w:r>
      <w:r w:rsidR="005C10EC" w:rsidRPr="000F08C6">
        <w:t xml:space="preserve"> the d</w:t>
      </w:r>
      <w:r w:rsidR="0031613A">
        <w:t>esired</w:t>
      </w:r>
      <w:r w:rsidR="005C10EC" w:rsidRPr="000F08C6">
        <w:t xml:space="preserve"> kind of components. </w:t>
      </w:r>
      <w:r w:rsidR="00302305">
        <w:t>Unwanted combinations are i.e. A=0 and I=0. Concrete</w:t>
      </w:r>
      <w:r w:rsidR="003E56BD">
        <w:t xml:space="preserve"> (no int</w:t>
      </w:r>
      <w:r w:rsidR="003E56BD" w:rsidRPr="003E56BD">
        <w:t>erfaces)</w:t>
      </w:r>
      <w:r w:rsidR="00302305">
        <w:t xml:space="preserve"> </w:t>
      </w:r>
      <w:r w:rsidR="0031613A">
        <w:t>that are</w:t>
      </w:r>
      <w:r w:rsidR="00302305">
        <w:t xml:space="preserve"> stable are</w:t>
      </w:r>
      <w:r w:rsidR="003E56BD">
        <w:t xml:space="preserve"> hard to modify. The other extreme </w:t>
      </w:r>
      <w:r w:rsidR="00114CC1">
        <w:t xml:space="preserve">(marked in the </w:t>
      </w:r>
      <w:r w:rsidR="009671B5">
        <w:fldChar w:fldCharType="begin"/>
      </w:r>
      <w:r w:rsidR="00114CC1">
        <w:instrText xml:space="preserve"> REF _Ref246928665 \h </w:instrText>
      </w:r>
      <w:r w:rsidR="009671B5">
        <w:fldChar w:fldCharType="separate"/>
      </w:r>
      <w:r w:rsidR="00114CC1">
        <w:t xml:space="preserve">Figure </w:t>
      </w:r>
      <w:r w:rsidR="00114CC1">
        <w:rPr>
          <w:noProof/>
        </w:rPr>
        <w:t>4</w:t>
      </w:r>
      <w:r w:rsidR="009671B5">
        <w:fldChar w:fldCharType="end"/>
      </w:r>
      <w:r w:rsidR="00114CC1">
        <w:t xml:space="preserve">) </w:t>
      </w:r>
      <w:r w:rsidR="003E56BD">
        <w:t>A=1 (completely abstract) and I=1</w:t>
      </w:r>
      <w:r w:rsidR="00302305">
        <w:t xml:space="preserve"> </w:t>
      </w:r>
      <w:r w:rsidR="003E56BD">
        <w:t>(instable) is also not wanted</w:t>
      </w:r>
      <w:r w:rsidR="00AD23C7">
        <w:t>, because</w:t>
      </w:r>
      <w:r w:rsidR="003E56BD">
        <w:t xml:space="preserve"> no other class is depending on it.</w:t>
      </w:r>
    </w:p>
    <w:p w:rsidR="00986773" w:rsidRDefault="00986773" w:rsidP="00AD23C7">
      <w:pPr>
        <w:ind w:firstLine="708"/>
      </w:pPr>
      <w:r w:rsidRPr="000F08C6">
        <w:t xml:space="preserve">The </w:t>
      </w:r>
      <w:r w:rsidR="00163733" w:rsidRPr="000F08C6">
        <w:t xml:space="preserve">DMS </w:t>
      </w:r>
      <w:r w:rsidRPr="000F08C6">
        <w:t xml:space="preserve">metric gives the </w:t>
      </w:r>
      <w:r w:rsidR="005C10EC" w:rsidRPr="000F08C6">
        <w:t xml:space="preserve">normalized (to provide a range of values </w:t>
      </w:r>
      <w:r w:rsidR="00DD39A7">
        <w:t xml:space="preserve">of </w:t>
      </w:r>
      <w:r w:rsidR="005C10EC" w:rsidRPr="000F08C6">
        <w:t>[0.0; 1.0]</w:t>
      </w:r>
      <w:r w:rsidR="000F08C6" w:rsidRPr="000F08C6">
        <w:t>)</w:t>
      </w:r>
      <w:r w:rsidRPr="000F08C6">
        <w:t xml:space="preserve"> distance from </w:t>
      </w:r>
      <w:r w:rsidR="005C10EC" w:rsidRPr="000F08C6">
        <w:t xml:space="preserve">all </w:t>
      </w:r>
      <w:r w:rsidR="00163733" w:rsidRPr="000F08C6">
        <w:t>the</w:t>
      </w:r>
      <w:r w:rsidR="005C10EC" w:rsidRPr="000F08C6">
        <w:t>se</w:t>
      </w:r>
      <w:r w:rsidRPr="000F08C6">
        <w:t xml:space="preserve"> ideal combination</w:t>
      </w:r>
      <w:r w:rsidR="005C10EC" w:rsidRPr="000F08C6">
        <w:t>s</w:t>
      </w:r>
      <w:r w:rsidR="003A7084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11371" w:rsidTr="00C11371">
        <w:tc>
          <w:tcPr>
            <w:tcW w:w="4606" w:type="dxa"/>
            <w:vAlign w:val="center"/>
          </w:tcPr>
          <w:p w:rsidR="00C11371" w:rsidRDefault="00C11371" w:rsidP="00C113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DMS=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A+I-1</m:t>
                    </m:r>
                  </m:e>
                </m:d>
              </m:oMath>
            </m:oMathPara>
          </w:p>
        </w:tc>
        <w:tc>
          <w:tcPr>
            <w:tcW w:w="4606" w:type="dxa"/>
          </w:tcPr>
          <w:p w:rsidR="00C11371" w:rsidRDefault="00C11371" w:rsidP="00C11371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A: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Abstractness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I: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Instability</m:t>
                </m:r>
              </m:oMath>
            </m:oMathPara>
          </w:p>
        </w:tc>
      </w:tr>
    </w:tbl>
    <w:p w:rsidR="003A7084" w:rsidRDefault="003A7084" w:rsidP="003A7084"/>
    <w:p w:rsidR="003A7084" w:rsidRDefault="003A7084" w:rsidP="00F41E8B">
      <w:pPr>
        <w:ind w:firstLine="708"/>
      </w:pPr>
      <w:r>
        <w:t xml:space="preserve">The desired value should be as small as possible. The marked worst case constellation in </w:t>
      </w:r>
      <w:r w:rsidR="009671B5">
        <w:fldChar w:fldCharType="begin"/>
      </w:r>
      <w:r>
        <w:instrText xml:space="preserve"> REF _Ref246928665 \h </w:instrText>
      </w:r>
      <w:r w:rsidR="009671B5">
        <w:fldChar w:fldCharType="separate"/>
      </w:r>
      <w:r>
        <w:t xml:space="preserve">Figure </w:t>
      </w:r>
      <w:r>
        <w:rPr>
          <w:noProof/>
        </w:rPr>
        <w:t>4</w:t>
      </w:r>
      <w:r w:rsidR="009671B5">
        <w:fldChar w:fldCharType="end"/>
      </w:r>
      <w:r>
        <w:t xml:space="preserve"> achieves a sco</w:t>
      </w:r>
      <w:r w:rsidR="00F41E8B">
        <w:t>re of 1.</w:t>
      </w:r>
    </w:p>
    <w:p w:rsidR="00DF75CD" w:rsidRDefault="00DF75CD" w:rsidP="00DF75CD">
      <w:pPr>
        <w:pStyle w:val="Heading3"/>
      </w:pPr>
      <w:r>
        <w:t>Coupling</w:t>
      </w:r>
    </w:p>
    <w:p w:rsidR="00DF75CD" w:rsidRDefault="00DF75CD" w:rsidP="00DF75CD">
      <w:r>
        <w:t xml:space="preserve">Determines the coupling from component A to B. This metric does not influence the overall score directly but is considered for the evaluation of </w:t>
      </w:r>
      <w:r>
        <w:fldChar w:fldCharType="begin"/>
      </w:r>
      <w:r>
        <w:instrText xml:space="preserve"> REF _Ref247003795 \h </w:instrText>
      </w:r>
      <w:r>
        <w:fldChar w:fldCharType="separate"/>
      </w:r>
      <w:r>
        <w:t>Interfa</w:t>
      </w:r>
      <w:r>
        <w:t>c</w:t>
      </w:r>
      <w:r>
        <w:t>e violation</w:t>
      </w:r>
      <w:r>
        <w:fldChar w:fldCharType="end"/>
      </w:r>
      <w:r w:rsidR="00043C63">
        <w:t xml:space="preserve"> </w:t>
      </w:r>
      <w:r>
        <w:t xml:space="preserve">and </w:t>
      </w:r>
      <w:r>
        <w:fldChar w:fldCharType="begin"/>
      </w:r>
      <w:r>
        <w:instrText xml:space="preserve"> REF _Ref247003815 \h </w:instrText>
      </w:r>
      <w:r>
        <w:fldChar w:fldCharType="separate"/>
      </w:r>
      <w:r>
        <w:t>Name resemblance</w:t>
      </w:r>
      <w: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78"/>
        <w:gridCol w:w="6010"/>
      </w:tblGrid>
      <w:tr w:rsidR="00DF75CD" w:rsidTr="008E61AA">
        <w:tc>
          <w:tcPr>
            <w:tcW w:w="4606" w:type="dxa"/>
            <w:vAlign w:val="center"/>
          </w:tcPr>
          <w:p w:rsidR="00DF75CD" w:rsidRDefault="00DF75CD" w:rsidP="008E61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A, all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6" w:type="dxa"/>
          </w:tcPr>
          <w:p w:rsidR="00DF75CD" w:rsidRDefault="00DF75CD" w:rsidP="008E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Number of references from </m:t>
                </m:r>
                <m:r>
                  <m:rPr>
                    <m:nor/>
                  </m:rPr>
                  <m:t xml:space="preserve">component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 to component B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 all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Number of all outgoing references from component A </m:t>
                </m:r>
              </m:oMath>
            </m:oMathPara>
          </w:p>
        </w:tc>
      </w:tr>
    </w:tbl>
    <w:p w:rsidR="00DF75CD" w:rsidRPr="003A7084" w:rsidRDefault="00DF75CD" w:rsidP="00DF75CD"/>
    <w:p w:rsidR="00A37AAA" w:rsidRPr="003A7084" w:rsidRDefault="00A37AAA" w:rsidP="003A7084">
      <w:pPr>
        <w:pStyle w:val="Heading3"/>
      </w:pPr>
      <w:r w:rsidRPr="003A7084">
        <w:rPr>
          <w:rStyle w:val="Heading2Char"/>
          <w:b/>
          <w:bCs/>
          <w:sz w:val="22"/>
        </w:rPr>
        <w:t>Clustering</w:t>
      </w:r>
      <w:r w:rsidRPr="003A7084">
        <w:t xml:space="preserve"> threshold</w:t>
      </w:r>
    </w:p>
    <w:p w:rsidR="008E2656" w:rsidRPr="008E2656" w:rsidRDefault="00A37AAA" w:rsidP="008E2656">
      <w:r>
        <w:t>To control the merging of</w:t>
      </w:r>
      <w:r w:rsidR="00043C63">
        <w:t xml:space="preserve"> components two</w:t>
      </w:r>
      <w:r>
        <w:t xml:space="preserve"> t</w:t>
      </w:r>
      <w:r w:rsidRPr="00B67E58">
        <w:t>hreshold</w:t>
      </w:r>
      <w:r w:rsidR="00043C63">
        <w:t>s</w:t>
      </w:r>
      <w:r>
        <w:t xml:space="preserve"> can be given. </w:t>
      </w:r>
      <w:r w:rsidR="00182DA7">
        <w:t>Only</w:t>
      </w:r>
      <w:r w:rsidR="00C0647E">
        <w:t xml:space="preserve"> those components, whose score lie</w:t>
      </w:r>
      <w:r w:rsidR="00182DA7">
        <w:t xml:space="preserve">s in the stated range (given by minimum and maximum threshold) </w:t>
      </w:r>
      <w:r w:rsidR="00C0647E">
        <w:t>will be considered to be merged.</w:t>
      </w:r>
      <m:oMath>
        <m:r>
          <w:rPr>
            <w:rFonts w:ascii="Cambria Math" w:hAnsi="Cambria Math"/>
          </w:rPr>
          <m:t xml:space="preserve"> </m:t>
        </m:r>
      </m:oMath>
    </w:p>
    <w:p w:rsidR="00471894" w:rsidRDefault="001951A8" w:rsidP="00905D77">
      <w:pPr>
        <w:pStyle w:val="Heading3"/>
      </w:pPr>
      <w:bookmarkStart w:id="6" w:name="_Ref247003795"/>
      <w:r>
        <w:t>Interface</w:t>
      </w:r>
      <w:r w:rsidR="005C10EC">
        <w:t xml:space="preserve"> v</w:t>
      </w:r>
      <w:r>
        <w:t>iolation</w:t>
      </w:r>
      <w:bookmarkEnd w:id="6"/>
    </w:p>
    <w:p w:rsidR="001951A8" w:rsidRDefault="001951A8" w:rsidP="001951A8">
      <w:proofErr w:type="gramStart"/>
      <w:r>
        <w:t>Measure of interface communication between component A and B.</w:t>
      </w:r>
      <w:proofErr w:type="gramEnd"/>
    </w:p>
    <w:p w:rsidR="001951A8" w:rsidRPr="00471894" w:rsidRDefault="009671B5" w:rsidP="001951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AB,I</m:t>
                  </m:r>
                </m:sub>
              </m:sSub>
            </m:den>
          </m:f>
        </m:oMath>
      </m:oMathPara>
    </w:p>
    <w:p w:rsidR="001951A8" w:rsidRDefault="009671B5" w:rsidP="001951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m:rPr>
              <m:nor/>
            </m:rPr>
            <w:rPr>
              <w:rFonts w:ascii="Cambria Math" w:hAnsi="Cambria Math"/>
            </w:rPr>
            <m:t>: Number of references (not through interfaces) from component A to component B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AB,I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m:rPr>
              <m:nor/>
            </m:rPr>
            <w:rPr>
              <w:rFonts w:ascii="Cambria Math" w:hAnsi="Cambria Math"/>
            </w:rPr>
            <m:t>Number of all outgoing references from component A to component B</m:t>
          </m:r>
        </m:oMath>
      </m:oMathPara>
    </w:p>
    <w:p w:rsidR="00A67B49" w:rsidRDefault="009671B5" w:rsidP="00A67B49">
      <w:r>
        <w:rPr>
          <w:noProof/>
          <w:lang w:val="de-DE" w:eastAsia="de-DE" w:bidi="ar-SA"/>
        </w:rPr>
        <w:pict>
          <v:group id="_x0000_s1050" editas="canvas" style="position:absolute;left:0;text-align:left;margin-left:-1.3pt;margin-top:2.05pt;width:169.35pt;height:136.1pt;z-index:251660288" coordorigin="1417,5509" coordsize="3387,2722">
            <o:lock v:ext="edit" aspectratio="t"/>
            <v:shape id="_x0000_s1051" type="#_x0000_t75" style="position:absolute;left:1417;top:5509;width:3387;height:2722" o:preferrelative="f">
              <v:fill o:detectmouseclick="t"/>
              <v:path o:extrusionok="t" o:connecttype="none"/>
              <o:lock v:ext="edit" text="t"/>
            </v:shape>
            <v:rect id="_x0000_s1052" style="position:absolute;left:3424;top:6992;width:1193;height:769">
              <v:textbox style="mso-next-textbox:#_x0000_s1052">
                <w:txbxContent>
                  <w:p w:rsidR="00A67B49" w:rsidRDefault="00A67B49" w:rsidP="00A67B49">
                    <w:pPr>
                      <w:jc w:val="center"/>
                    </w:pPr>
                    <w:r w:rsidRPr="00226AA8">
                      <w:rPr>
                        <w:sz w:val="16"/>
                        <w:szCs w:val="16"/>
                        <w:lang w:val="de-DE"/>
                      </w:rPr>
                      <w:t xml:space="preserve">&lt;&lt;class 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>B</w:t>
                    </w:r>
                    <w:r w:rsidRPr="00226AA8">
                      <w:rPr>
                        <w:sz w:val="16"/>
                        <w:szCs w:val="16"/>
                        <w:lang w:val="de-DE"/>
                      </w:rPr>
                      <w:t>&gt;&gt;</w:t>
                    </w:r>
                  </w:p>
                </w:txbxContent>
              </v:textbox>
            </v:rect>
            <v:rect id="_x0000_s1053" style="position:absolute;left:3424;top:5509;width:1193;height:767">
              <v:shadow color="#d8d8d8 [2732]" opacity=".5" offset="6pt,6pt"/>
              <v:textbox style="mso-next-textbox:#_x0000_s1053">
                <w:txbxContent>
                  <w:p w:rsidR="00A67B49" w:rsidRPr="00226AA8" w:rsidRDefault="00A67B49" w:rsidP="00A67B49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 w:rsidRPr="00226AA8">
                      <w:rPr>
                        <w:sz w:val="16"/>
                        <w:szCs w:val="16"/>
                        <w:lang w:val="de-DE"/>
                      </w:rPr>
                      <w:t>&lt;&lt;class A&gt;&gt;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4" type="#_x0000_t32" style="position:absolute;left:4021;top:6276;width:1;height:716" o:connectortype="straight">
              <v:stroke endarrow="open"/>
            </v:shape>
            <v:rect id="_x0000_s1055" style="position:absolute;left:1615;top:6403;width:1436;height:430">
              <v:textbox style="mso-next-textbox:#_x0000_s1055">
                <w:txbxContent>
                  <w:p w:rsidR="00A67B49" w:rsidRDefault="00A67B49" w:rsidP="00A67B49">
                    <w:r>
                      <w:rPr>
                        <w:sz w:val="16"/>
                        <w:szCs w:val="16"/>
                        <w:lang w:val="de-DE"/>
                      </w:rPr>
                      <w:t>&lt;&lt;Interface 1</w:t>
                    </w:r>
                    <w:r w:rsidRPr="00226AA8">
                      <w:rPr>
                        <w:sz w:val="16"/>
                        <w:szCs w:val="16"/>
                        <w:lang w:val="de-DE"/>
                      </w:rPr>
                      <w:t>&gt;&gt;</w:t>
                    </w:r>
                  </w:p>
                </w:txbxContent>
              </v:textbox>
            </v:rect>
            <v:shape id="_x0000_s1056" type="#_x0000_t32" style="position:absolute;left:2333;top:6833;width:1091;height:544;flip:x y" o:connectortype="straigh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2105;top:7112;width:1440;height:383" filled="f" stroked="f">
              <v:textbox style="mso-next-textbox:#_x0000_s1057">
                <w:txbxContent>
                  <w:p w:rsidR="00A67B49" w:rsidRPr="003B0C4B" w:rsidRDefault="00A67B49" w:rsidP="00A67B49">
                    <w:pPr>
                      <w:rPr>
                        <w:sz w:val="16"/>
                        <w:szCs w:val="16"/>
                        <w:lang w:val="de-DE"/>
                      </w:rPr>
                    </w:pPr>
                    <w:r w:rsidRPr="003B0C4B">
                      <w:rPr>
                        <w:sz w:val="16"/>
                        <w:szCs w:val="16"/>
                        <w:lang w:val="de-DE"/>
                      </w:rPr>
                      <w:t>&lt;&lt;realize&gt;&gt;</w:t>
                    </w:r>
                  </w:p>
                </w:txbxContent>
              </v:textbox>
            </v:shape>
            <v:shape id="_x0000_s1058" type="#_x0000_t32" style="position:absolute;left:2333;top:5893;width:1091;height:510;flip:x" o:connectortype="straight">
              <v:stroke endarrow="open"/>
            </v:shape>
            <v:shape id="_x0000_s1059" type="#_x0000_t202" style="position:absolute;left:2182;top:5854;width:990;height:383" filled="f" stroked="f">
              <v:textbox style="mso-next-textbox:#_x0000_s1059">
                <w:txbxContent>
                  <w:p w:rsidR="00A67B49" w:rsidRPr="003B0C4B" w:rsidRDefault="00A67B49" w:rsidP="00A67B49">
                    <w:pPr>
                      <w:rPr>
                        <w:sz w:val="16"/>
                        <w:szCs w:val="16"/>
                        <w:lang w:val="de-DE"/>
                      </w:rPr>
                    </w:pPr>
                    <w:r w:rsidRPr="003B0C4B">
                      <w:rPr>
                        <w:sz w:val="16"/>
                        <w:szCs w:val="16"/>
                        <w:lang w:val="de-DE"/>
                      </w:rPr>
                      <w:t>&lt;&lt;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>use</w:t>
                    </w:r>
                    <w:r w:rsidRPr="003B0C4B">
                      <w:rPr>
                        <w:sz w:val="16"/>
                        <w:szCs w:val="16"/>
                        <w:lang w:val="de-DE"/>
                      </w:rPr>
                      <w:t>&gt;&gt;</w:t>
                    </w:r>
                  </w:p>
                </w:txbxContent>
              </v:textbox>
            </v:shape>
            <w10:wrap type="square"/>
          </v:group>
        </w:pict>
      </w:r>
      <w:r w:rsidR="00A67B49">
        <w:t xml:space="preserve">The example states an interface violation. </w:t>
      </w:r>
      <w:r w:rsidR="00DD39A7">
        <w:t>Class</w:t>
      </w:r>
      <w:r w:rsidR="00A67B49">
        <w:t xml:space="preserve"> </w:t>
      </w:r>
      <w:r w:rsidR="00DD39A7">
        <w:t>A</w:t>
      </w:r>
      <w:r w:rsidR="00A67B49">
        <w:t xml:space="preserve"> references class B indirectly by using interface 1 but also directly.</w:t>
      </w:r>
    </w:p>
    <w:p w:rsidR="00D06EC1" w:rsidRDefault="00D06EC1" w:rsidP="00A67B49"/>
    <w:p w:rsidR="00A67B49" w:rsidRPr="00471894" w:rsidRDefault="009671B5" w:rsidP="00A67B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D39A7" w:rsidRDefault="00DD39A7" w:rsidP="00A67B49"/>
    <w:p w:rsidR="00D06EC1" w:rsidRDefault="00D06EC1" w:rsidP="00A67B49"/>
    <w:p w:rsidR="00D4697C" w:rsidRDefault="00D4697C" w:rsidP="001951A8">
      <w:r>
        <w:t xml:space="preserve">The </w:t>
      </w:r>
      <w:r w:rsidR="00AE261A">
        <w:t>i</w:t>
      </w:r>
      <w:r>
        <w:t>nterface</w:t>
      </w:r>
      <w:r w:rsidR="00AE261A">
        <w:t xml:space="preserve"> v</w:t>
      </w:r>
      <w:r>
        <w:t xml:space="preserve">iolation weight </w:t>
      </w:r>
      <w:r w:rsidR="00DD39A7">
        <w:t>(</w:t>
      </w:r>
      <w:r w:rsidR="00DD39A7" w:rsidRPr="005E749B">
        <w:t>W</w:t>
      </w:r>
      <w:r w:rsidR="00DD39A7">
        <w:rPr>
          <w:vertAlign w:val="subscript"/>
        </w:rPr>
        <w:t>IV</w:t>
      </w:r>
      <w:r w:rsidR="00DD39A7">
        <w:t xml:space="preserve">) </w:t>
      </w:r>
      <w:r w:rsidR="00AE261A">
        <w:t xml:space="preserve">depends </w:t>
      </w:r>
      <w:r>
        <w:t>on the coupling (C)</w:t>
      </w:r>
      <w:r w:rsidR="00AE261A">
        <w:t xml:space="preserve"> and the interface violation</w:t>
      </w:r>
      <w:r>
        <w:t xml:space="preserve"> score</w:t>
      </w:r>
      <w:r w:rsidR="00AE261A">
        <w:t xml:space="preserve"> itself:</w:t>
      </w:r>
    </w:p>
    <w:p w:rsidR="00CC68A0" w:rsidRPr="00471894" w:rsidRDefault="009671B5" w:rsidP="00CC68A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WeightInterfaceViolationRelevant</m:t>
                  </m:r>
                  <m:r>
                    <w:rPr>
                      <w:rFonts w:ascii="Cambria Math" w:hAnsi="Cambria Math"/>
                    </w:rPr>
                    <m:t>, C≥0.2 ∧IV&gt;0.0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WeightInfterfaceViolationIrrelevant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otherwise</m:t>
                  </m:r>
                </m:e>
              </m:eqArr>
            </m:e>
          </m:d>
        </m:oMath>
      </m:oMathPara>
    </w:p>
    <w:p w:rsidR="001951A8" w:rsidRDefault="00E61AF5" w:rsidP="00905D77">
      <w:pPr>
        <w:pStyle w:val="Heading3"/>
      </w:pPr>
      <w:bookmarkStart w:id="7" w:name="_Ref247003815"/>
      <w:r>
        <w:t>Name</w:t>
      </w:r>
      <w:r w:rsidR="00AE261A">
        <w:t xml:space="preserve"> r</w:t>
      </w:r>
      <w:r>
        <w:t>ese</w:t>
      </w:r>
      <w:r w:rsidR="00E87861">
        <w:t>mblance</w:t>
      </w:r>
      <w:bookmarkEnd w:id="7"/>
    </w:p>
    <w:p w:rsidR="00E87861" w:rsidRDefault="00E87861" w:rsidP="00E87861">
      <w:r>
        <w:t>Ratio of same class names of a component</w:t>
      </w:r>
      <w:r w:rsidR="008E2656">
        <w:t xml:space="preserve"> and the total number of classes.</w:t>
      </w:r>
    </w:p>
    <w:p w:rsidR="00E87861" w:rsidRPr="00471894" w:rsidRDefault="008E3722" w:rsidP="00E87861">
      <m:oMathPara>
        <m:oMath>
          <m:r>
            <w:rPr>
              <w:rFonts w:ascii="Cambria Math" w:hAnsi="Cambria Math"/>
            </w:rPr>
            <m:t>SN=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87861" w:rsidRDefault="009671B5" w:rsidP="00E878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SN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: Number of classes and interfaces with similar names 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N: </m:t>
          </m:r>
          <m:r>
            <m:rPr>
              <m:nor/>
            </m:rPr>
            <w:rPr>
              <w:rFonts w:ascii="Cambria Math" w:hAnsi="Cambria Math"/>
            </w:rPr>
            <m:t>Total number of classes and interfaces of the component</m:t>
          </m:r>
        </m:oMath>
      </m:oMathPara>
    </w:p>
    <w:p w:rsidR="00946785" w:rsidRDefault="00946785" w:rsidP="000F08C6">
      <w:r>
        <w:t xml:space="preserve">Which </w:t>
      </w:r>
      <w:r w:rsidR="00AE261A">
        <w:t>name r</w:t>
      </w:r>
      <w:r>
        <w:t>es</w:t>
      </w:r>
      <w:r w:rsidR="00AE261A">
        <w:t>em</w:t>
      </w:r>
      <w:r>
        <w:t xml:space="preserve">blance weight </w:t>
      </w:r>
      <w:r w:rsidR="005E749B">
        <w:t>(</w:t>
      </w:r>
      <w:r w:rsidR="005E749B" w:rsidRPr="005E749B">
        <w:t>W</w:t>
      </w:r>
      <w:r w:rsidR="005E749B" w:rsidRPr="005E749B">
        <w:rPr>
          <w:vertAlign w:val="subscript"/>
        </w:rPr>
        <w:t>SN</w:t>
      </w:r>
      <w:r w:rsidR="005E749B">
        <w:t xml:space="preserve">) </w:t>
      </w:r>
      <w:r w:rsidRPr="005E749B">
        <w:t>is</w:t>
      </w:r>
      <w:r w:rsidR="005E749B">
        <w:t xml:space="preserve"> used depends of the c</w:t>
      </w:r>
      <w:r>
        <w:t xml:space="preserve">oupling </w:t>
      </w:r>
      <w:r w:rsidR="005E749B">
        <w:t xml:space="preserve">(C) </w:t>
      </w:r>
      <w:r>
        <w:t xml:space="preserve">and </w:t>
      </w:r>
      <w:r w:rsidR="00AE261A">
        <w:t>n</w:t>
      </w:r>
      <w:r>
        <w:t>ame</w:t>
      </w:r>
      <w:r w:rsidR="00AE261A">
        <w:t xml:space="preserve"> r</w:t>
      </w:r>
      <w:r>
        <w:t>es</w:t>
      </w:r>
      <w:r w:rsidR="00AE261A">
        <w:t>e</w:t>
      </w:r>
      <w:r>
        <w:t>mblance</w:t>
      </w:r>
      <w:r w:rsidR="005E749B">
        <w:t xml:space="preserve"> (SN)</w:t>
      </w:r>
      <w:r>
        <w:t xml:space="preserve"> score.</w:t>
      </w:r>
      <w:r w:rsidR="00832627">
        <w:t xml:space="preserve"> The dependencies are also illustrated in </w:t>
      </w:r>
      <w:r w:rsidR="00832627">
        <w:fldChar w:fldCharType="begin"/>
      </w:r>
      <w:r w:rsidR="00832627">
        <w:instrText xml:space="preserve"> REF _Ref247008654 \h </w:instrText>
      </w:r>
      <w:r w:rsidR="00832627">
        <w:fldChar w:fldCharType="separate"/>
      </w:r>
      <w:r w:rsidR="00832627">
        <w:t xml:space="preserve">Figure </w:t>
      </w:r>
      <w:r w:rsidR="00832627">
        <w:rPr>
          <w:noProof/>
        </w:rPr>
        <w:t>5</w:t>
      </w:r>
      <w:r w:rsidR="00832627">
        <w:t xml:space="preserve"> Computation of Name Resemblance weight</w:t>
      </w:r>
      <w:r w:rsidR="00832627">
        <w:fldChar w:fldCharType="end"/>
      </w:r>
      <w:r w:rsidR="00832627">
        <w:t>.</w:t>
      </w:r>
    </w:p>
    <w:p w:rsidR="00946785" w:rsidRDefault="009671B5" w:rsidP="0094678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WeightLowCoupling</m:t>
                  </m:r>
                  <m:r>
                    <w:rPr>
                      <w:rFonts w:ascii="Cambria Math" w:hAnsi="Cambria Math"/>
                    </w:rPr>
                    <m:t>, C&lt;0.2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WeightHighCoupling, 0.2 ≤ C &lt; 0.7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WeightLowNameResamblance</m:t>
                  </m:r>
                  <m:r>
                    <w:rPr>
                      <w:rFonts w:ascii="Cambria Math" w:hAnsi="Cambria Math"/>
                    </w:rPr>
                    <m:t>, SN&lt;0.5∧C≥0.7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WeightMidNameResamblance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SN&lt;0.7∧C≥0.7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WeightHighNameResamblance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,0.7≤ </m:t>
                  </m:r>
                  <m:r>
                    <w:rPr>
                      <w:rFonts w:ascii="Cambria Math" w:hAnsi="Cambria Math"/>
                    </w:rPr>
                    <m:t>SN&lt;0.9∧C≥0.7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WeightHighestNameResamblance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otherwise</m:t>
                  </m:r>
                </m:e>
              </m:eqArr>
            </m:e>
          </m:d>
        </m:oMath>
      </m:oMathPara>
    </w:p>
    <w:p w:rsidR="00832627" w:rsidRDefault="00832627" w:rsidP="00832627">
      <w:pPr>
        <w:keepNext/>
        <w:jc w:val="center"/>
      </w:pPr>
      <w:r>
        <w:object w:dxaOrig="5444" w:dyaOrig="8134">
          <v:shape id="_x0000_i1028" type="#_x0000_t75" style="width:224.25pt;height:334.5pt" o:ole="">
            <v:imagedata r:id="rId13" o:title=""/>
          </v:shape>
          <o:OLEObject Type="Embed" ProgID="Visio.Drawing.11" ShapeID="_x0000_i1028" DrawAspect="Content" ObjectID="_1320750896" r:id="rId14"/>
        </w:object>
      </w:r>
    </w:p>
    <w:p w:rsidR="00832627" w:rsidRPr="00471894" w:rsidRDefault="00832627" w:rsidP="00832627">
      <w:pPr>
        <w:pStyle w:val="Caption"/>
        <w:jc w:val="center"/>
      </w:pPr>
      <w:bookmarkStart w:id="8" w:name="_Ref247008654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Computation of Name Resemblance weight</w:t>
      </w:r>
      <w:bookmarkEnd w:id="8"/>
    </w:p>
    <w:p w:rsidR="004033A7" w:rsidRDefault="00CA6245" w:rsidP="00905D77">
      <w:pPr>
        <w:pStyle w:val="Heading3"/>
      </w:pPr>
      <w:r>
        <w:t>Sliced</w:t>
      </w:r>
      <w:r w:rsidR="00AE261A">
        <w:t xml:space="preserve"> </w:t>
      </w:r>
      <w:r>
        <w:t>Layer</w:t>
      </w:r>
      <w:r w:rsidR="00AE261A">
        <w:t xml:space="preserve"> </w:t>
      </w:r>
      <w:r>
        <w:t>Architecture</w:t>
      </w:r>
      <w:r w:rsidR="00AE261A">
        <w:t xml:space="preserve"> </w:t>
      </w:r>
      <w:r>
        <w:t>Quality (SLAQ)</w:t>
      </w:r>
    </w:p>
    <w:p w:rsidR="00CA6245" w:rsidRDefault="00CA6245" w:rsidP="000F08C6">
      <w:r>
        <w:t>Th</w:t>
      </w:r>
      <w:r w:rsidR="00633024">
        <w:t xml:space="preserve">e Sliced-Layer-Architecture </w:t>
      </w:r>
      <w:r>
        <w:t>assumes that the source code is organized</w:t>
      </w:r>
      <w:r w:rsidR="00633024">
        <w:t xml:space="preserve"> in layers (technology orientated) and slices (service orientated). With this structure natural subsystems can be identified. </w:t>
      </w:r>
    </w:p>
    <w:p w:rsidR="00A616E3" w:rsidRPr="00CA6245" w:rsidRDefault="009671B5" w:rsidP="009D2EA2">
      <w:pPr>
        <w:jc w:val="center"/>
      </w:pPr>
      <w:r>
        <w:rPr>
          <w:noProof/>
          <w:lang w:val="de-DE" w:eastAsia="de-DE" w:bidi="ar-SA"/>
        </w:rPr>
        <w:pict>
          <v:group id="_x0000_s1104" style="position:absolute;left:0;text-align:left;margin-left:64.15pt;margin-top:4.35pt;width:291.75pt;height:125.6pt;z-index:251689984" coordorigin="1380,6787" coordsize="5835,2512">
            <v:shape id="_x0000_s1090" type="#_x0000_t32" style="position:absolute;left:4395;top:7049;width:0;height:2250" o:connectortype="straight"/>
            <v:shape id="_x0000_s1091" type="#_x0000_t32" style="position:absolute;left:5640;top:7032;width:0;height:2250" o:connectortype="straight"/>
            <v:group id="_x0000_s1103" style="position:absolute;left:1380;top:6787;width:5835;height:2377" coordorigin="1380,6787" coordsize="5835,2377">
              <v:group id="_x0000_s1102" style="position:absolute;left:2595;top:7211;width:4590;height:1953" coordorigin="2595,7211" coordsize="4590,1953">
                <v:group id="_x0000_s1101" style="position:absolute;left:3165;top:7211;width:3690;height:1953" coordorigin="3165,7211" coordsize="3690,1953">
                  <v:rect id="_x0000_s1089" style="position:absolute;left:3165;top:7211;width:3690;height:1953">
                    <v:fill opacity="0"/>
                    <v:textbox style="mso-next-textbox:#_x0000_s1089">
                      <w:txbxContent>
                        <w:p w:rsidR="00A616E3" w:rsidRDefault="00A616E3"/>
                      </w:txbxContent>
                    </v:textbox>
                  </v:rect>
                  <v:group id="_x0000_s1100" style="position:absolute;left:3225;top:7271;width:3570;height:1848" coordorigin="3225,7271" coordsize="3570,1848">
                    <v:rect id="_x0000_s1071" style="position:absolute;left:3225;top:7271;width:1110;height:390" fillcolor="#a5a5a5 [2092]" stroked="f"/>
                    <v:rect id="_x0000_s1072" style="position:absolute;left:3225;top:7761;width:1110;height:390" fillcolor="#a5a5a5 [2092]" stroked="f"/>
                    <v:rect id="_x0000_s1073" style="position:absolute;left:3225;top:8249;width:1110;height:390" fillcolor="#a5a5a5 [2092]" stroked="f"/>
                    <v:rect id="_x0000_s1074" style="position:absolute;left:4470;top:7274;width:1110;height:390" fillcolor="#a5a5a5 [2092]" stroked="f"/>
                    <v:rect id="_x0000_s1075" style="position:absolute;left:4470;top:7761;width:1110;height:390" fillcolor="#a5a5a5 [2092]" stroked="f"/>
                    <v:rect id="_x0000_s1076" style="position:absolute;left:4470;top:8249;width:1110;height:390" fillcolor="#a5a5a5 [2092]" stroked="f"/>
                    <v:rect id="_x0000_s1077" style="position:absolute;left:5685;top:7274;width:1110;height:390" fillcolor="#a5a5a5 [2092]" stroked="f"/>
                    <v:rect id="_x0000_s1078" style="position:absolute;left:5685;top:7761;width:1110;height:390" fillcolor="#a5a5a5 [2092]" stroked="f"/>
                    <v:rect id="_x0000_s1079" style="position:absolute;left:5685;top:8249;width:1110;height:390" fillcolor="#a5a5a5 [2092]" stroked="f"/>
                    <v:rect id="_x0000_s1083" style="position:absolute;left:3225;top:8728;width:1110;height:390" fillcolor="#a5a5a5 [2092]" stroked="f"/>
                    <v:rect id="_x0000_s1084" style="position:absolute;left:4470;top:8728;width:1110;height:390" fillcolor="#a5a5a5 [2092]" stroked="f"/>
                    <v:rect id="_x0000_s1085" style="position:absolute;left:5685;top:8729;width:1110;height:390" fillcolor="#a5a5a5 [2092]" stroked="f"/>
                  </v:group>
                </v:group>
                <v:shape id="_x0000_s1086" type="#_x0000_t32" style="position:absolute;left:2595;top:7709;width:4590;height:0" o:connectortype="straight"/>
                <v:shape id="_x0000_s1087" type="#_x0000_t32" style="position:absolute;left:2595;top:8204;width:4590;height:0" o:connectortype="straight"/>
                <v:shape id="_x0000_s1088" type="#_x0000_t32" style="position:absolute;left:2595;top:8698;width:4590;height:0" o:connectortype="straight"/>
              </v:group>
              <v:shape id="_x0000_s1093" type="#_x0000_t202" style="position:absolute;left:1860;top:7271;width:930;height:390" stroked="f">
                <v:textbox style="mso-next-textbox:#_x0000_s1093">
                  <w:txbxContent>
                    <w:p w:rsidR="00A616E3" w:rsidRPr="00A616E3" w:rsidRDefault="00A616E3" w:rsidP="00A616E3">
                      <w:pPr>
                        <w:jc w:val="right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View</w:t>
                      </w:r>
                    </w:p>
                  </w:txbxContent>
                </v:textbox>
              </v:shape>
              <v:shape id="_x0000_s1094" type="#_x0000_t202" style="position:absolute;left:1380;top:7756;width:1410;height:390" stroked="f">
                <v:fill opacity="0"/>
                <v:textbox style="mso-next-textbox:#_x0000_s1094">
                  <w:txbxContent>
                    <w:p w:rsidR="00A616E3" w:rsidRPr="00A616E3" w:rsidRDefault="00A616E3" w:rsidP="00A616E3">
                      <w:pPr>
                        <w:jc w:val="right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Controller</w:t>
                      </w:r>
                    </w:p>
                  </w:txbxContent>
                </v:textbox>
              </v:shape>
              <v:shape id="_x0000_s1095" type="#_x0000_t202" style="position:absolute;left:1380;top:8242;width:1410;height:390" stroked="f">
                <v:fill opacity="0"/>
                <v:textbox style="mso-next-textbox:#_x0000_s1095">
                  <w:txbxContent>
                    <w:p w:rsidR="00A616E3" w:rsidRPr="00A616E3" w:rsidRDefault="00A616E3" w:rsidP="00A616E3">
                      <w:pPr>
                        <w:jc w:val="right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Domain</w:t>
                      </w:r>
                    </w:p>
                  </w:txbxContent>
                </v:textbox>
              </v:shape>
              <v:shape id="_x0000_s1096" type="#_x0000_t202" style="position:absolute;left:1380;top:8728;width:1410;height:390" stroked="f">
                <v:fill opacity="0"/>
                <v:textbox style="mso-next-textbox:#_x0000_s1096">
                  <w:txbxContent>
                    <w:p w:rsidR="00A616E3" w:rsidRPr="00A616E3" w:rsidRDefault="00A616E3" w:rsidP="00A616E3">
                      <w:pPr>
                        <w:jc w:val="right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Data Access</w:t>
                      </w:r>
                    </w:p>
                  </w:txbxContent>
                </v:textbox>
              </v:shape>
              <v:shape id="_x0000_s1097" type="#_x0000_t202" style="position:absolute;left:3225;top:6821;width:1110;height:390" stroked="f">
                <v:fill opacity="0"/>
                <v:textbox style="mso-next-textbox:#_x0000_s1097">
                  <w:txbxContent>
                    <w:p w:rsidR="00573B15" w:rsidRPr="00A616E3" w:rsidRDefault="009D2EA2" w:rsidP="009D2EA2">
                      <w:pPr>
                        <w:jc w:val="right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Contracts</w:t>
                      </w:r>
                    </w:p>
                  </w:txbxContent>
                </v:textbox>
              </v:shape>
              <v:shape id="_x0000_s1098" type="#_x0000_t202" style="position:absolute;left:4275;top:6802;width:1410;height:390" stroked="f">
                <v:fill opacity="0"/>
                <v:textbox style="mso-next-textbox:#_x0000_s1098">
                  <w:txbxContent>
                    <w:p w:rsidR="009D2EA2" w:rsidRPr="00A616E3" w:rsidRDefault="009D2EA2" w:rsidP="009D2EA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Customers</w:t>
                      </w:r>
                    </w:p>
                  </w:txbxContent>
                </v:textbox>
              </v:shape>
              <v:shape id="_x0000_s1099" type="#_x0000_t202" style="position:absolute;left:5805;top:6787;width:1410;height:390" stroked="f">
                <v:fill opacity="0"/>
                <v:textbox style="mso-next-textbox:#_x0000_s1099">
                  <w:txbxContent>
                    <w:p w:rsidR="009D2EA2" w:rsidRPr="00A616E3" w:rsidRDefault="009D2EA2" w:rsidP="009D2EA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Users</w:t>
                      </w:r>
                    </w:p>
                  </w:txbxContent>
                </v:textbox>
              </v:shape>
            </v:group>
          </v:group>
        </w:pict>
      </w:r>
    </w:p>
    <w:p w:rsidR="004033A7" w:rsidRPr="00A616E3" w:rsidRDefault="004033A7" w:rsidP="009D2EA2">
      <w:pPr>
        <w:jc w:val="center"/>
        <w:rPr>
          <w:noProof/>
          <w:lang w:eastAsia="de-DE" w:bidi="ar-SA"/>
        </w:rPr>
      </w:pPr>
    </w:p>
    <w:p w:rsidR="00021B42" w:rsidRPr="00A616E3" w:rsidRDefault="00021B42" w:rsidP="009D2EA2">
      <w:pPr>
        <w:jc w:val="center"/>
        <w:rPr>
          <w:noProof/>
          <w:lang w:eastAsia="de-DE" w:bidi="ar-SA"/>
        </w:rPr>
      </w:pPr>
    </w:p>
    <w:p w:rsidR="00021B42" w:rsidRPr="00A616E3" w:rsidRDefault="00021B42" w:rsidP="009D2EA2">
      <w:pPr>
        <w:jc w:val="center"/>
        <w:rPr>
          <w:noProof/>
          <w:lang w:eastAsia="de-DE" w:bidi="ar-SA"/>
        </w:rPr>
      </w:pPr>
    </w:p>
    <w:p w:rsidR="00021B42" w:rsidRDefault="00021B42" w:rsidP="009D2EA2">
      <w:pPr>
        <w:jc w:val="center"/>
      </w:pPr>
    </w:p>
    <w:p w:rsidR="00A616E3" w:rsidRDefault="00A616E3" w:rsidP="005413D1"/>
    <w:p w:rsidR="00633024" w:rsidRDefault="00633024" w:rsidP="005413D1">
      <w:r>
        <w:t>The used subsystems can be found by examining the structure of packages.</w:t>
      </w:r>
      <w:r w:rsidRPr="00633024">
        <w:t xml:space="preserve"> </w:t>
      </w:r>
      <w:r w:rsidR="005413D1">
        <w:t xml:space="preserve">Slices are the first sub-packages following an </w:t>
      </w:r>
      <w:r>
        <w:t>identical</w:t>
      </w:r>
      <w:r w:rsidR="005413D1">
        <w:t xml:space="preserve"> prefix of all packages. All deeper following packages are considered to be layers.</w:t>
      </w:r>
    </w:p>
    <w:p w:rsidR="00021B42" w:rsidRPr="00021B42" w:rsidRDefault="00021B42" w:rsidP="00021B42">
      <w:pPr>
        <w:spacing w:line="240" w:lineRule="auto"/>
        <w:ind w:left="708" w:firstLine="708"/>
        <w:contextualSpacing/>
        <w:jc w:val="left"/>
        <w:rPr>
          <w:rFonts w:ascii="Courier New" w:hAnsi="Courier New" w:cs="Courier New"/>
          <w:noProof/>
        </w:rPr>
      </w:pPr>
      <w:r w:rsidRPr="00021B42">
        <w:rPr>
          <w:rFonts w:ascii="Courier New" w:hAnsi="Courier New" w:cs="Courier New"/>
          <w:noProof/>
        </w:rPr>
        <w:t>com.softhouse.manager.contracts.view</w:t>
      </w:r>
    </w:p>
    <w:p w:rsidR="00021B42" w:rsidRPr="00021B42" w:rsidRDefault="00021B42" w:rsidP="00021B42">
      <w:pPr>
        <w:spacing w:line="240" w:lineRule="auto"/>
        <w:ind w:left="708" w:firstLine="708"/>
        <w:contextualSpacing/>
        <w:jc w:val="left"/>
        <w:rPr>
          <w:rFonts w:ascii="Courier New" w:hAnsi="Courier New" w:cs="Courier New"/>
          <w:noProof/>
        </w:rPr>
      </w:pPr>
      <w:r w:rsidRPr="00021B42">
        <w:rPr>
          <w:rFonts w:ascii="Courier New" w:hAnsi="Courier New" w:cs="Courier New"/>
          <w:noProof/>
        </w:rPr>
        <w:t>com.softhouse.manager.contracts.administration</w:t>
      </w:r>
    </w:p>
    <w:p w:rsidR="00021B42" w:rsidRPr="00021B42" w:rsidRDefault="00021B42" w:rsidP="00021B42">
      <w:pPr>
        <w:spacing w:line="240" w:lineRule="auto"/>
        <w:ind w:left="708" w:firstLine="708"/>
        <w:contextualSpacing/>
        <w:jc w:val="left"/>
        <w:rPr>
          <w:rFonts w:ascii="Courier New" w:hAnsi="Courier New" w:cs="Courier New"/>
          <w:noProof/>
        </w:rPr>
      </w:pPr>
      <w:r w:rsidRPr="00021B42">
        <w:rPr>
          <w:rFonts w:ascii="Courier New" w:hAnsi="Courier New" w:cs="Courier New"/>
          <w:noProof/>
        </w:rPr>
        <w:t>com.softhouse.manager.contracts.data</w:t>
      </w:r>
    </w:p>
    <w:p w:rsidR="00021B42" w:rsidRPr="00021B42" w:rsidRDefault="00021B42" w:rsidP="00021B42">
      <w:pPr>
        <w:spacing w:line="240" w:lineRule="auto"/>
        <w:ind w:left="708" w:firstLine="708"/>
        <w:contextualSpacing/>
        <w:jc w:val="left"/>
        <w:rPr>
          <w:rFonts w:ascii="Courier New" w:hAnsi="Courier New" w:cs="Courier New"/>
          <w:noProof/>
        </w:rPr>
      </w:pPr>
      <w:r w:rsidRPr="00021B42">
        <w:rPr>
          <w:rFonts w:ascii="Courier New" w:hAnsi="Courier New" w:cs="Courier New"/>
          <w:noProof/>
        </w:rPr>
        <w:t>com.softhouse.manager.customers.view.administration</w:t>
      </w:r>
    </w:p>
    <w:p w:rsidR="00021B42" w:rsidRPr="00021B42" w:rsidRDefault="00021B42" w:rsidP="00021B42">
      <w:pPr>
        <w:spacing w:line="240" w:lineRule="auto"/>
        <w:ind w:left="708" w:firstLine="708"/>
        <w:contextualSpacing/>
        <w:jc w:val="left"/>
        <w:rPr>
          <w:rFonts w:ascii="Courier New" w:hAnsi="Courier New" w:cs="Courier New"/>
          <w:noProof/>
        </w:rPr>
      </w:pPr>
      <w:r w:rsidRPr="00021B42">
        <w:rPr>
          <w:rFonts w:ascii="Courier New" w:hAnsi="Courier New" w:cs="Courier New"/>
          <w:noProof/>
        </w:rPr>
        <w:t>com.softhouse.manager.customers.view</w:t>
      </w:r>
    </w:p>
    <w:p w:rsidR="00021B42" w:rsidRDefault="00021B42" w:rsidP="00021B42">
      <w:pPr>
        <w:spacing w:line="240" w:lineRule="auto"/>
        <w:ind w:left="1416"/>
        <w:contextualSpacing/>
        <w:jc w:val="left"/>
        <w:rPr>
          <w:rFonts w:ascii="Courier New" w:hAnsi="Courier New" w:cs="Courier New"/>
          <w:noProof/>
        </w:rPr>
      </w:pPr>
      <w:r w:rsidRPr="00021B42">
        <w:rPr>
          <w:rFonts w:ascii="Courier New" w:hAnsi="Courier New" w:cs="Courier New"/>
          <w:noProof/>
        </w:rPr>
        <w:t>com.softhouse.manager.customers.data</w:t>
      </w:r>
    </w:p>
    <w:p w:rsidR="00021B42" w:rsidRPr="00021B42" w:rsidRDefault="00021B42" w:rsidP="00021B42">
      <w:pPr>
        <w:spacing w:line="240" w:lineRule="auto"/>
        <w:ind w:left="1416"/>
        <w:contextualSpacing/>
        <w:jc w:val="left"/>
        <w:rPr>
          <w:rFonts w:ascii="Courier New" w:hAnsi="Courier New" w:cs="Courier New"/>
          <w:noProof/>
        </w:rPr>
      </w:pPr>
    </w:p>
    <w:p w:rsidR="00840049" w:rsidRPr="00471894" w:rsidRDefault="00840049" w:rsidP="00840049">
      <w:pPr>
        <w:jc w:val="center"/>
      </w:pPr>
      <m:oMathPara>
        <m:oMath>
          <m:r>
            <w:rPr>
              <w:rFonts w:ascii="Cambria Math" w:hAnsi="Cambria Math"/>
            </w:rPr>
            <m:t>SLAQ=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840049" w:rsidRDefault="009671B5" w:rsidP="008400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nor/>
            </m:rPr>
            <w:rPr>
              <w:rFonts w:ascii="Cambria Math" w:hAnsi="Cambria Math"/>
            </w:rPr>
            <m:t>: Number of existing subsystems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m:rPr>
              <m:nor/>
            </m:rPr>
            <w:rPr>
              <w:rFonts w:ascii="Cambria Math" w:hAnsi="Cambria Math"/>
            </w:rPr>
            <m:t>Number of expected subsystems</m:t>
          </m:r>
        </m:oMath>
      </m:oMathPara>
    </w:p>
    <w:p w:rsidR="00DD39A7" w:rsidRDefault="00C11371" w:rsidP="00021B42">
      <w:r w:rsidRPr="00C11371">
        <w:t>The number of expected subsystems is calculated from the max</w:t>
      </w:r>
      <w:r w:rsidR="00021B42">
        <w:t>imum</w:t>
      </w:r>
      <w:r w:rsidRPr="00C11371">
        <w:t xml:space="preserve"> </w:t>
      </w:r>
      <w:r>
        <w:t>o</w:t>
      </w:r>
      <w:r w:rsidR="00DD39A7">
        <w:t>f occurring</w:t>
      </w:r>
      <w:r w:rsidR="00840049">
        <w:t xml:space="preserve"> layers * slices. This leads to six subsystems in total for the example above.</w:t>
      </w:r>
    </w:p>
    <w:p w:rsidR="003D074D" w:rsidRDefault="003D074D" w:rsidP="00905D77">
      <w:pPr>
        <w:pStyle w:val="Heading3"/>
      </w:pPr>
      <w:r>
        <w:t>Subsystem</w:t>
      </w:r>
      <w:r w:rsidR="00AE261A">
        <w:t xml:space="preserve"> c</w:t>
      </w:r>
      <w:r>
        <w:t>omponent</w:t>
      </w:r>
      <w:r w:rsidR="00AE261A">
        <w:t xml:space="preserve"> m</w:t>
      </w:r>
      <w:r>
        <w:t>etric</w:t>
      </w:r>
    </w:p>
    <w:p w:rsidR="003D074D" w:rsidRPr="003D074D" w:rsidRDefault="003D074D" w:rsidP="003D074D">
      <w:r>
        <w:t>Checks if all a component</w:t>
      </w:r>
      <w:r w:rsidR="00DD39A7">
        <w:t>s</w:t>
      </w:r>
      <w:r>
        <w:t xml:space="preserve"> can be mapped to a natural system</w:t>
      </w:r>
    </w:p>
    <w:p w:rsidR="003D074D" w:rsidRPr="00471894" w:rsidRDefault="009671B5" w:rsidP="003D07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SLAQ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on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, all classes of a component are implemented in a unique natural system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, otherwise</m:t>
                  </m:r>
                </m:e>
              </m:eqArr>
            </m:e>
          </m:d>
        </m:oMath>
      </m:oMathPara>
    </w:p>
    <w:p w:rsidR="003D074D" w:rsidRPr="003D074D" w:rsidRDefault="009671B5" w:rsidP="003D07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WeightHighSLAQ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SLAQ</m:t>
                  </m:r>
                  <m:r>
                    <w:rPr>
                      <w:rFonts w:ascii="Cambria Math" w:hAnsi="Cambria Math"/>
                    </w:rPr>
                    <m:t>≥0.5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WeightLowSLAQ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otherwise</m:t>
                  </m:r>
                </m:e>
              </m:eqArr>
            </m:e>
          </m:d>
        </m:oMath>
      </m:oMathPara>
    </w:p>
    <w:sectPr w:rsidR="003D074D" w:rsidRPr="003D074D" w:rsidSect="004A20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0247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047211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8E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C30A20"/>
    <w:multiLevelType w:val="hybridMultilevel"/>
    <w:tmpl w:val="519EAED6"/>
    <w:lvl w:ilvl="0" w:tplc="062C248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67E58"/>
    <w:rsid w:val="00017C47"/>
    <w:rsid w:val="00021B42"/>
    <w:rsid w:val="000322EC"/>
    <w:rsid w:val="00043C63"/>
    <w:rsid w:val="00044FC0"/>
    <w:rsid w:val="00045527"/>
    <w:rsid w:val="0008001B"/>
    <w:rsid w:val="000E015D"/>
    <w:rsid w:val="000F08C6"/>
    <w:rsid w:val="000F28BB"/>
    <w:rsid w:val="00114CC1"/>
    <w:rsid w:val="0012080E"/>
    <w:rsid w:val="00133739"/>
    <w:rsid w:val="001451AE"/>
    <w:rsid w:val="00160FEE"/>
    <w:rsid w:val="00163733"/>
    <w:rsid w:val="00167273"/>
    <w:rsid w:val="00182DA7"/>
    <w:rsid w:val="001951A8"/>
    <w:rsid w:val="001F29DE"/>
    <w:rsid w:val="00220AC0"/>
    <w:rsid w:val="00226AA8"/>
    <w:rsid w:val="00255160"/>
    <w:rsid w:val="00281DFF"/>
    <w:rsid w:val="002A493E"/>
    <w:rsid w:val="00302305"/>
    <w:rsid w:val="0031613A"/>
    <w:rsid w:val="003856AF"/>
    <w:rsid w:val="003A0AD3"/>
    <w:rsid w:val="003A7084"/>
    <w:rsid w:val="003B0C4B"/>
    <w:rsid w:val="003B3A76"/>
    <w:rsid w:val="003B7840"/>
    <w:rsid w:val="003D074D"/>
    <w:rsid w:val="003E56BD"/>
    <w:rsid w:val="004033A7"/>
    <w:rsid w:val="00456A34"/>
    <w:rsid w:val="00471894"/>
    <w:rsid w:val="004906EF"/>
    <w:rsid w:val="004A2076"/>
    <w:rsid w:val="004A480C"/>
    <w:rsid w:val="005413D1"/>
    <w:rsid w:val="00573B15"/>
    <w:rsid w:val="005A4466"/>
    <w:rsid w:val="005A666D"/>
    <w:rsid w:val="005C10EC"/>
    <w:rsid w:val="005E388C"/>
    <w:rsid w:val="005E749B"/>
    <w:rsid w:val="005F5199"/>
    <w:rsid w:val="00630FCC"/>
    <w:rsid w:val="00633024"/>
    <w:rsid w:val="006648DE"/>
    <w:rsid w:val="006A0593"/>
    <w:rsid w:val="006D6B24"/>
    <w:rsid w:val="0070267C"/>
    <w:rsid w:val="007230E4"/>
    <w:rsid w:val="00731245"/>
    <w:rsid w:val="00744466"/>
    <w:rsid w:val="007C7445"/>
    <w:rsid w:val="007F5566"/>
    <w:rsid w:val="008165E1"/>
    <w:rsid w:val="00827408"/>
    <w:rsid w:val="00832627"/>
    <w:rsid w:val="00840049"/>
    <w:rsid w:val="00892CB2"/>
    <w:rsid w:val="008A0E08"/>
    <w:rsid w:val="008D5647"/>
    <w:rsid w:val="008E2656"/>
    <w:rsid w:val="008E3722"/>
    <w:rsid w:val="008F4AFA"/>
    <w:rsid w:val="00905D77"/>
    <w:rsid w:val="00936A75"/>
    <w:rsid w:val="00946785"/>
    <w:rsid w:val="009671B5"/>
    <w:rsid w:val="00977D81"/>
    <w:rsid w:val="00986773"/>
    <w:rsid w:val="009D2EA2"/>
    <w:rsid w:val="009F5ABD"/>
    <w:rsid w:val="00A37AAA"/>
    <w:rsid w:val="00A616E3"/>
    <w:rsid w:val="00A6384B"/>
    <w:rsid w:val="00A67B49"/>
    <w:rsid w:val="00A72035"/>
    <w:rsid w:val="00A80EC3"/>
    <w:rsid w:val="00AD02AD"/>
    <w:rsid w:val="00AD23C7"/>
    <w:rsid w:val="00AD48B0"/>
    <w:rsid w:val="00AE261A"/>
    <w:rsid w:val="00AF2076"/>
    <w:rsid w:val="00B51510"/>
    <w:rsid w:val="00B67E58"/>
    <w:rsid w:val="00B745EE"/>
    <w:rsid w:val="00BB4E51"/>
    <w:rsid w:val="00BC07CD"/>
    <w:rsid w:val="00BC7BE0"/>
    <w:rsid w:val="00C0647E"/>
    <w:rsid w:val="00C11371"/>
    <w:rsid w:val="00C411DB"/>
    <w:rsid w:val="00C91BBC"/>
    <w:rsid w:val="00CA5F83"/>
    <w:rsid w:val="00CA6245"/>
    <w:rsid w:val="00CB1A5E"/>
    <w:rsid w:val="00CB7AD1"/>
    <w:rsid w:val="00CC68A0"/>
    <w:rsid w:val="00CE1595"/>
    <w:rsid w:val="00D06EC1"/>
    <w:rsid w:val="00D34D96"/>
    <w:rsid w:val="00D4697C"/>
    <w:rsid w:val="00D618A0"/>
    <w:rsid w:val="00D6644C"/>
    <w:rsid w:val="00DD39A7"/>
    <w:rsid w:val="00DF75CD"/>
    <w:rsid w:val="00E41AD3"/>
    <w:rsid w:val="00E55771"/>
    <w:rsid w:val="00E61AF5"/>
    <w:rsid w:val="00E87861"/>
    <w:rsid w:val="00EA023E"/>
    <w:rsid w:val="00ED4533"/>
    <w:rsid w:val="00EE0D56"/>
    <w:rsid w:val="00F31C76"/>
    <w:rsid w:val="00F41E8B"/>
    <w:rsid w:val="00F758FE"/>
    <w:rsid w:val="00F8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hadowcolor="none"/>
    </o:shapedefaults>
    <o:shapelayout v:ext="edit">
      <o:idmap v:ext="edit" data="1"/>
      <o:rules v:ext="edit">
        <o:r id="V:Rule9" type="connector" idref="#_x0000_s1054">
          <o:proxy start="" idref="#_x0000_s1053" connectloc="2"/>
          <o:proxy end="" idref="#_x0000_s1052" connectloc="0"/>
        </o:r>
        <o:r id="V:Rule10" type="connector" idref="#_x0000_s1086"/>
        <o:r id="V:Rule11" type="connector" idref="#_x0000_s1056">
          <o:proxy start="" idref="#_x0000_s1052" connectloc="1"/>
          <o:proxy end="" idref="#_x0000_s1055" connectloc="2"/>
        </o:r>
        <o:r id="V:Rule12" type="connector" idref="#_x0000_s1088"/>
        <o:r id="V:Rule13" type="connector" idref="#_x0000_s1087"/>
        <o:r id="V:Rule14" type="connector" idref="#_x0000_s1091"/>
        <o:r id="V:Rule15" type="connector" idref="#_x0000_s1090"/>
        <o:r id="V:Rule16" type="connector" idref="#_x0000_s1058">
          <o:proxy start="" idref="#_x0000_s1053" connectloc="1"/>
          <o:proxy end="" idref="#_x0000_s1055" connectloc="0"/>
        </o:r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8C6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7273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BB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28BB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8BB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8BB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8BB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8BB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8BB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23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2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28B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F28B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8B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8B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8B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8B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8B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28B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8B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8B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28B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F28BB"/>
    <w:rPr>
      <w:b/>
      <w:bCs/>
    </w:rPr>
  </w:style>
  <w:style w:type="character" w:styleId="Emphasis">
    <w:name w:val="Emphasis"/>
    <w:uiPriority w:val="20"/>
    <w:qFormat/>
    <w:rsid w:val="000F28B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F2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8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28B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28B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8B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8BB"/>
    <w:rPr>
      <w:b/>
      <w:bCs/>
      <w:i/>
      <w:iCs/>
    </w:rPr>
  </w:style>
  <w:style w:type="character" w:styleId="SubtleEmphasis">
    <w:name w:val="Subtle Emphasis"/>
    <w:uiPriority w:val="19"/>
    <w:qFormat/>
    <w:rsid w:val="000F28BB"/>
    <w:rPr>
      <w:i/>
      <w:iCs/>
    </w:rPr>
  </w:style>
  <w:style w:type="character" w:styleId="IntenseEmphasis">
    <w:name w:val="Intense Emphasis"/>
    <w:uiPriority w:val="21"/>
    <w:qFormat/>
    <w:rsid w:val="000F28BB"/>
    <w:rPr>
      <w:b/>
      <w:bCs/>
    </w:rPr>
  </w:style>
  <w:style w:type="character" w:styleId="SubtleReference">
    <w:name w:val="Subtle Reference"/>
    <w:uiPriority w:val="31"/>
    <w:qFormat/>
    <w:rsid w:val="000F28BB"/>
    <w:rPr>
      <w:smallCaps/>
    </w:rPr>
  </w:style>
  <w:style w:type="character" w:styleId="IntenseReference">
    <w:name w:val="Intense Reference"/>
    <w:uiPriority w:val="32"/>
    <w:qFormat/>
    <w:rsid w:val="000F28BB"/>
    <w:rPr>
      <w:smallCaps/>
      <w:spacing w:val="5"/>
      <w:u w:val="single"/>
    </w:rPr>
  </w:style>
  <w:style w:type="character" w:styleId="BookTitle">
    <w:name w:val="Book Title"/>
    <w:uiPriority w:val="33"/>
    <w:qFormat/>
    <w:rsid w:val="000F28B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28B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16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B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4906EF"/>
    <w:pPr>
      <w:spacing w:line="240" w:lineRule="auto"/>
    </w:pPr>
    <w:rPr>
      <w:b/>
      <w:bCs/>
      <w:sz w:val="18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A1B20-B654-44F8-9ED8-6D64B387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1012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</dc:creator>
  <cp:lastModifiedBy>Henning</cp:lastModifiedBy>
  <cp:revision>15</cp:revision>
  <dcterms:created xsi:type="dcterms:W3CDTF">2009-11-13T14:57:00Z</dcterms:created>
  <dcterms:modified xsi:type="dcterms:W3CDTF">2009-11-26T13:28:00Z</dcterms:modified>
</cp:coreProperties>
</file>