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35C6" w:rsidRPr="005C3BDA" w:rsidRDefault="005C3BDA" w:rsidP="005C3BDA">
      <w:pPr>
        <w:pStyle w:val="berschrift1"/>
        <w:rPr>
          <w:lang w:val="en-GB"/>
        </w:rPr>
      </w:pPr>
      <w:proofErr w:type="spellStart"/>
      <w:r w:rsidRPr="005C3BDA">
        <w:rPr>
          <w:lang w:val="en-GB"/>
        </w:rPr>
        <w:t>SoMoX</w:t>
      </w:r>
      <w:proofErr w:type="spellEnd"/>
      <w:r w:rsidRPr="005C3BDA">
        <w:rPr>
          <w:lang w:val="en-GB"/>
        </w:rPr>
        <w:t xml:space="preserve"> Review Guidelines</w:t>
      </w:r>
    </w:p>
    <w:p w:rsidR="005C3BDA" w:rsidRDefault="005C3BDA" w:rsidP="005C3BDA">
      <w:pPr>
        <w:rPr>
          <w:lang w:val="en-GB"/>
        </w:rPr>
      </w:pPr>
      <w:r w:rsidRPr="005C3BDA">
        <w:rPr>
          <w:lang w:val="en-GB"/>
        </w:rPr>
        <w:t xml:space="preserve">This document serves as starting point to understand or review the current version of the </w:t>
      </w:r>
      <w:proofErr w:type="spellStart"/>
      <w:r>
        <w:rPr>
          <w:lang w:val="en-GB"/>
        </w:rPr>
        <w:t>SoMoX</w:t>
      </w:r>
      <w:proofErr w:type="spellEnd"/>
      <w:r>
        <w:rPr>
          <w:lang w:val="en-GB"/>
        </w:rPr>
        <w:t xml:space="preserve"> code, especially of the </w:t>
      </w:r>
      <w:proofErr w:type="spellStart"/>
      <w:r>
        <w:rPr>
          <w:lang w:val="en-GB"/>
        </w:rPr>
        <w:t>plugin</w:t>
      </w:r>
      <w:proofErr w:type="spellEnd"/>
      <w:r>
        <w:rPr>
          <w:lang w:val="en-GB"/>
        </w:rPr>
        <w:t xml:space="preserve"> used to covert a </w:t>
      </w:r>
      <w:proofErr w:type="spellStart"/>
      <w:r>
        <w:rPr>
          <w:lang w:val="en-GB"/>
        </w:rPr>
        <w:t>SISSy</w:t>
      </w:r>
      <w:proofErr w:type="spellEnd"/>
      <w:r>
        <w:rPr>
          <w:lang w:val="en-GB"/>
        </w:rPr>
        <w:t xml:space="preserve"> model into a SAMM model.</w:t>
      </w:r>
    </w:p>
    <w:p w:rsidR="005C3BDA" w:rsidRDefault="005C3BDA" w:rsidP="005C3BDA">
      <w:pPr>
        <w:rPr>
          <w:lang w:val="en-GB"/>
        </w:rPr>
      </w:pPr>
    </w:p>
    <w:p w:rsidR="005C3BDA" w:rsidRDefault="005C3BDA" w:rsidP="005C3BDA">
      <w:pPr>
        <w:rPr>
          <w:lang w:val="en-GB"/>
        </w:rPr>
      </w:pPr>
      <w:r>
        <w:rPr>
          <w:lang w:val="en-GB"/>
        </w:rPr>
        <w:t xml:space="preserve">Besides the </w:t>
      </w:r>
      <w:proofErr w:type="spellStart"/>
      <w:r>
        <w:rPr>
          <w:lang w:val="en-GB"/>
        </w:rPr>
        <w:t>plugins</w:t>
      </w:r>
      <w:proofErr w:type="spellEnd"/>
      <w:r>
        <w:rPr>
          <w:lang w:val="en-GB"/>
        </w:rPr>
        <w:t xml:space="preserve"> </w:t>
      </w:r>
      <w:proofErr w:type="spellStart"/>
      <w:r>
        <w:rPr>
          <w:lang w:val="en-GB"/>
        </w:rPr>
        <w:t>somox.core</w:t>
      </w:r>
      <w:proofErr w:type="spellEnd"/>
      <w:r>
        <w:rPr>
          <w:lang w:val="en-GB"/>
        </w:rPr>
        <w:t xml:space="preserve"> and </w:t>
      </w:r>
      <w:proofErr w:type="spellStart"/>
      <w:r>
        <w:rPr>
          <w:lang w:val="en-GB"/>
        </w:rPr>
        <w:t>somox.core.ui</w:t>
      </w:r>
      <w:proofErr w:type="spellEnd"/>
      <w:r>
        <w:rPr>
          <w:lang w:val="en-GB"/>
        </w:rPr>
        <w:t xml:space="preserve"> which are currently not fully used, </w:t>
      </w:r>
      <w:proofErr w:type="spellStart"/>
      <w:r>
        <w:rPr>
          <w:lang w:val="en-GB"/>
        </w:rPr>
        <w:t>SoMoX</w:t>
      </w:r>
      <w:proofErr w:type="spellEnd"/>
      <w:r>
        <w:rPr>
          <w:lang w:val="en-GB"/>
        </w:rPr>
        <w:t xml:space="preserve"> consists of the following interesting </w:t>
      </w:r>
      <w:proofErr w:type="spellStart"/>
      <w:r>
        <w:rPr>
          <w:lang w:val="en-GB"/>
        </w:rPr>
        <w:t>plugins</w:t>
      </w:r>
      <w:proofErr w:type="spellEnd"/>
      <w:r>
        <w:rPr>
          <w:lang w:val="en-GB"/>
        </w:rPr>
        <w:t>:</w:t>
      </w:r>
      <w:r>
        <w:rPr>
          <w:lang w:val="en-GB"/>
        </w:rPr>
        <w:br/>
      </w:r>
    </w:p>
    <w:tbl>
      <w:tblPr>
        <w:tblStyle w:val="Tabellengitternetz"/>
        <w:tblW w:w="0" w:type="auto"/>
        <w:tblLook w:val="04A0"/>
      </w:tblPr>
      <w:tblGrid>
        <w:gridCol w:w="4077"/>
        <w:gridCol w:w="5135"/>
      </w:tblGrid>
      <w:tr w:rsidR="005C3BDA" w:rsidTr="00547707">
        <w:tc>
          <w:tcPr>
            <w:tcW w:w="4077" w:type="dxa"/>
          </w:tcPr>
          <w:p w:rsidR="005C3BDA" w:rsidRPr="00547707" w:rsidRDefault="005C3BDA"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org.somox.filter</w:t>
            </w:r>
            <w:proofErr w:type="spellEnd"/>
          </w:p>
        </w:tc>
        <w:tc>
          <w:tcPr>
            <w:tcW w:w="5135" w:type="dxa"/>
          </w:tcPr>
          <w:p w:rsidR="005C3BDA" w:rsidRDefault="005C3BDA" w:rsidP="005C3BDA">
            <w:pPr>
              <w:ind w:firstLine="0"/>
              <w:rPr>
                <w:lang w:val="en-GB"/>
              </w:rPr>
            </w:pPr>
            <w:r>
              <w:rPr>
                <w:lang w:val="en-GB"/>
              </w:rPr>
              <w:t>Filter framework used to filter any kind of collection, i.e., a list of classes</w:t>
            </w:r>
          </w:p>
        </w:tc>
      </w:tr>
      <w:tr w:rsidR="005C3BDA" w:rsidTr="00547707">
        <w:tc>
          <w:tcPr>
            <w:tcW w:w="4077" w:type="dxa"/>
          </w:tcPr>
          <w:p w:rsidR="005C3BDA" w:rsidRPr="00547707" w:rsidRDefault="005C3BDA"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org.somox.metrics</w:t>
            </w:r>
            <w:proofErr w:type="spellEnd"/>
          </w:p>
        </w:tc>
        <w:tc>
          <w:tcPr>
            <w:tcW w:w="5135" w:type="dxa"/>
          </w:tcPr>
          <w:p w:rsidR="005C3BDA" w:rsidRDefault="005C3BDA" w:rsidP="005C3BDA">
            <w:pPr>
              <w:ind w:firstLine="0"/>
              <w:rPr>
                <w:lang w:val="en-GB"/>
              </w:rPr>
            </w:pPr>
            <w:proofErr w:type="spellStart"/>
            <w:r>
              <w:rPr>
                <w:lang w:val="en-GB"/>
              </w:rPr>
              <w:t>Plugin</w:t>
            </w:r>
            <w:proofErr w:type="spellEnd"/>
            <w:r>
              <w:rPr>
                <w:lang w:val="en-GB"/>
              </w:rPr>
              <w:t xml:space="preserve"> containing all metrics used by </w:t>
            </w:r>
            <w:proofErr w:type="spellStart"/>
            <w:r>
              <w:rPr>
                <w:lang w:val="en-GB"/>
              </w:rPr>
              <w:t>SoMoX</w:t>
            </w:r>
            <w:proofErr w:type="spellEnd"/>
            <w:r>
              <w:rPr>
                <w:lang w:val="en-GB"/>
              </w:rPr>
              <w:t xml:space="preserve"> to cluster classes into components</w:t>
            </w:r>
          </w:p>
        </w:tc>
      </w:tr>
      <w:tr w:rsidR="005C3BDA" w:rsidTr="00547707">
        <w:tc>
          <w:tcPr>
            <w:tcW w:w="4077" w:type="dxa"/>
          </w:tcPr>
          <w:p w:rsidR="005C3BDA" w:rsidRPr="00547707" w:rsidRDefault="005C3BDA"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org.somox.metrics.dsl</w:t>
            </w:r>
            <w:proofErr w:type="spellEnd"/>
          </w:p>
        </w:tc>
        <w:tc>
          <w:tcPr>
            <w:tcW w:w="5135" w:type="dxa"/>
          </w:tcPr>
          <w:p w:rsidR="005C3BDA" w:rsidRDefault="005C3BDA" w:rsidP="005C3BDA">
            <w:pPr>
              <w:ind w:firstLine="0"/>
              <w:rPr>
                <w:lang w:val="en-GB"/>
              </w:rPr>
            </w:pPr>
            <w:proofErr w:type="spellStart"/>
            <w:r>
              <w:rPr>
                <w:lang w:val="en-GB"/>
              </w:rPr>
              <w:t>Plugin</w:t>
            </w:r>
            <w:proofErr w:type="spellEnd"/>
            <w:r>
              <w:rPr>
                <w:lang w:val="en-GB"/>
              </w:rPr>
              <w:t xml:space="preserve"> containing an </w:t>
            </w:r>
            <w:proofErr w:type="spellStart"/>
            <w:r>
              <w:rPr>
                <w:lang w:val="en-GB"/>
              </w:rPr>
              <w:t>xText</w:t>
            </w:r>
            <w:proofErr w:type="spellEnd"/>
            <w:r>
              <w:rPr>
                <w:lang w:val="en-GB"/>
              </w:rPr>
              <w:t xml:space="preserve"> DSL to describe new combined metrics (not yet fully implemented)</w:t>
            </w:r>
          </w:p>
        </w:tc>
      </w:tr>
      <w:tr w:rsidR="005C3BDA" w:rsidTr="00547707">
        <w:tc>
          <w:tcPr>
            <w:tcW w:w="4077" w:type="dxa"/>
          </w:tcPr>
          <w:p w:rsidR="005C3BDA" w:rsidRPr="00547707" w:rsidRDefault="005C3BDA"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org.</w:t>
            </w:r>
            <w:r w:rsidR="00547707" w:rsidRPr="00547707">
              <w:rPr>
                <w:rFonts w:ascii="Courier New" w:hAnsi="Courier New" w:cs="Courier New"/>
                <w:b/>
                <w:sz w:val="16"/>
                <w:szCs w:val="16"/>
                <w:lang w:val="en-GB"/>
              </w:rPr>
              <w:t>somox.analyzer.sissymodelanalyser</w:t>
            </w:r>
            <w:proofErr w:type="spellEnd"/>
          </w:p>
        </w:tc>
        <w:tc>
          <w:tcPr>
            <w:tcW w:w="5135" w:type="dxa"/>
          </w:tcPr>
          <w:p w:rsidR="005C3BDA" w:rsidRDefault="00547707" w:rsidP="005C3BDA">
            <w:pPr>
              <w:ind w:firstLine="0"/>
              <w:rPr>
                <w:lang w:val="en-GB"/>
              </w:rPr>
            </w:pPr>
            <w:proofErr w:type="spellStart"/>
            <w:r>
              <w:rPr>
                <w:lang w:val="en-GB"/>
              </w:rPr>
              <w:t>Plugin</w:t>
            </w:r>
            <w:proofErr w:type="spellEnd"/>
            <w:r>
              <w:rPr>
                <w:lang w:val="en-GB"/>
              </w:rPr>
              <w:t xml:space="preserve"> containing the clustering of classes into SAMM components</w:t>
            </w:r>
          </w:p>
        </w:tc>
      </w:tr>
      <w:tr w:rsidR="00547707" w:rsidTr="00547707">
        <w:tc>
          <w:tcPr>
            <w:tcW w:w="4077" w:type="dxa"/>
          </w:tcPr>
          <w:p w:rsidR="00547707" w:rsidRPr="00547707" w:rsidRDefault="00547707"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org.somox.analyzer.sissymodelanalyser.ui</w:t>
            </w:r>
            <w:proofErr w:type="spellEnd"/>
          </w:p>
        </w:tc>
        <w:tc>
          <w:tcPr>
            <w:tcW w:w="5135" w:type="dxa"/>
          </w:tcPr>
          <w:p w:rsidR="00547707" w:rsidRDefault="00547707" w:rsidP="005C3BDA">
            <w:pPr>
              <w:ind w:firstLine="0"/>
              <w:rPr>
                <w:lang w:val="en-GB"/>
              </w:rPr>
            </w:pPr>
            <w:proofErr w:type="spellStart"/>
            <w:r>
              <w:rPr>
                <w:lang w:val="en-GB"/>
              </w:rPr>
              <w:t>Plugin</w:t>
            </w:r>
            <w:proofErr w:type="spellEnd"/>
            <w:r>
              <w:rPr>
                <w:lang w:val="en-GB"/>
              </w:rPr>
              <w:t xml:space="preserve"> containing the launch </w:t>
            </w:r>
            <w:proofErr w:type="spellStart"/>
            <w:r>
              <w:rPr>
                <w:lang w:val="en-GB"/>
              </w:rPr>
              <w:t>config</w:t>
            </w:r>
            <w:proofErr w:type="spellEnd"/>
            <w:r>
              <w:rPr>
                <w:lang w:val="en-GB"/>
              </w:rPr>
              <w:t xml:space="preserve"> used to start </w:t>
            </w:r>
            <w:proofErr w:type="spellStart"/>
            <w:r>
              <w:rPr>
                <w:lang w:val="en-GB"/>
              </w:rPr>
              <w:t>SoMoX</w:t>
            </w:r>
            <w:proofErr w:type="spellEnd"/>
            <w:r>
              <w:rPr>
                <w:lang w:val="en-GB"/>
              </w:rPr>
              <w:t xml:space="preserve"> in the current implementation, currently works around the core </w:t>
            </w:r>
            <w:proofErr w:type="spellStart"/>
            <w:r>
              <w:rPr>
                <w:lang w:val="en-GB"/>
              </w:rPr>
              <w:t>plugin</w:t>
            </w:r>
            <w:proofErr w:type="spellEnd"/>
          </w:p>
        </w:tc>
      </w:tr>
      <w:tr w:rsidR="00547707" w:rsidTr="00547707">
        <w:tc>
          <w:tcPr>
            <w:tcW w:w="4077" w:type="dxa"/>
          </w:tcPr>
          <w:p w:rsidR="00547707" w:rsidRPr="00547707" w:rsidRDefault="00547707"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org.jgrapht</w:t>
            </w:r>
            <w:proofErr w:type="spellEnd"/>
          </w:p>
          <w:p w:rsidR="00547707" w:rsidRPr="00547707" w:rsidRDefault="00547707" w:rsidP="005C3BDA">
            <w:pPr>
              <w:ind w:firstLine="0"/>
              <w:rPr>
                <w:rFonts w:ascii="Courier New" w:hAnsi="Courier New" w:cs="Courier New"/>
                <w:b/>
                <w:sz w:val="16"/>
                <w:szCs w:val="16"/>
                <w:lang w:val="en-GB"/>
              </w:rPr>
            </w:pPr>
            <w:proofErr w:type="spellStart"/>
            <w:r w:rsidRPr="00547707">
              <w:rPr>
                <w:rFonts w:ascii="Courier New" w:hAnsi="Courier New" w:cs="Courier New"/>
                <w:b/>
                <w:sz w:val="16"/>
                <w:szCs w:val="16"/>
                <w:lang w:val="en-GB"/>
              </w:rPr>
              <w:t>uk.ac.shef.dcs.simmetrics</w:t>
            </w:r>
            <w:proofErr w:type="spellEnd"/>
          </w:p>
        </w:tc>
        <w:tc>
          <w:tcPr>
            <w:tcW w:w="5135" w:type="dxa"/>
          </w:tcPr>
          <w:p w:rsidR="00547707" w:rsidRDefault="00547707" w:rsidP="005C3BDA">
            <w:pPr>
              <w:ind w:firstLine="0"/>
              <w:rPr>
                <w:lang w:val="en-GB"/>
              </w:rPr>
            </w:pPr>
            <w:r>
              <w:rPr>
                <w:lang w:val="en-GB"/>
              </w:rPr>
              <w:t>Helper libraries for graph structures and string resemblance algorithms</w:t>
            </w:r>
          </w:p>
        </w:tc>
      </w:tr>
    </w:tbl>
    <w:p w:rsidR="005C3BDA" w:rsidRDefault="005C3BDA" w:rsidP="005C3BDA">
      <w:pPr>
        <w:rPr>
          <w:lang w:val="en-GB"/>
        </w:rPr>
      </w:pPr>
    </w:p>
    <w:p w:rsidR="009A7574" w:rsidRDefault="00547707" w:rsidP="005C3BDA">
      <w:pPr>
        <w:rPr>
          <w:lang w:val="en-GB"/>
        </w:rPr>
      </w:pPr>
      <w:r>
        <w:rPr>
          <w:lang w:val="en-GB"/>
        </w:rPr>
        <w:t xml:space="preserve">The main focus of the review should go to the metric computation and the model analyser. </w:t>
      </w:r>
    </w:p>
    <w:p w:rsidR="009A7574" w:rsidRDefault="009A7574" w:rsidP="005C3BDA">
      <w:pPr>
        <w:rPr>
          <w:lang w:val="en-GB"/>
        </w:rPr>
      </w:pPr>
    </w:p>
    <w:p w:rsidR="009A7574" w:rsidRDefault="009A7574" w:rsidP="009A7574">
      <w:pPr>
        <w:pStyle w:val="berschrift2"/>
        <w:rPr>
          <w:lang w:val="en-GB"/>
        </w:rPr>
      </w:pPr>
      <w:r>
        <w:rPr>
          <w:lang w:val="en-GB"/>
        </w:rPr>
        <w:t xml:space="preserve">The metrics </w:t>
      </w:r>
      <w:proofErr w:type="spellStart"/>
      <w:r>
        <w:rPr>
          <w:lang w:val="en-GB"/>
        </w:rPr>
        <w:t>plugin</w:t>
      </w:r>
      <w:proofErr w:type="spellEnd"/>
    </w:p>
    <w:p w:rsidR="00547707" w:rsidRDefault="009A7574" w:rsidP="005C3BDA">
      <w:pPr>
        <w:rPr>
          <w:lang w:val="en-GB"/>
        </w:rPr>
      </w:pPr>
      <w:r>
        <w:rPr>
          <w:noProof/>
          <w:lang w:val="de-DE" w:eastAsia="de-DE" w:bidi="ar-SA"/>
        </w:rPr>
        <w:drawing>
          <wp:anchor distT="0" distB="0" distL="114300" distR="114300" simplePos="0" relativeHeight="251658240" behindDoc="0" locked="0" layoutInCell="1" allowOverlap="1">
            <wp:simplePos x="0" y="0"/>
            <wp:positionH relativeFrom="column">
              <wp:posOffset>865505</wp:posOffset>
            </wp:positionH>
            <wp:positionV relativeFrom="paragraph">
              <wp:posOffset>255270</wp:posOffset>
            </wp:positionV>
            <wp:extent cx="3702050" cy="3949700"/>
            <wp:effectExtent l="19050" t="0" r="0" b="0"/>
            <wp:wrapTopAndBottom/>
            <wp:docPr id="1" name="Grafik 0" descr="metr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5" cstate="print"/>
                    <a:stretch>
                      <a:fillRect/>
                    </a:stretch>
                  </pic:blipFill>
                  <pic:spPr>
                    <a:xfrm>
                      <a:off x="0" y="0"/>
                      <a:ext cx="3702050" cy="3949700"/>
                    </a:xfrm>
                    <a:prstGeom prst="rect">
                      <a:avLst/>
                    </a:prstGeom>
                  </pic:spPr>
                </pic:pic>
              </a:graphicData>
            </a:graphic>
          </wp:anchor>
        </w:drawing>
      </w:r>
      <w:r w:rsidR="00547707">
        <w:rPr>
          <w:lang w:val="en-GB"/>
        </w:rPr>
        <w:t>The metrics form a class hierarchy shown in the following figure:</w:t>
      </w:r>
      <w:r w:rsidR="00BD06F8">
        <w:rPr>
          <w:lang w:val="en-GB"/>
        </w:rPr>
        <w:br/>
      </w:r>
    </w:p>
    <w:p w:rsidR="00547707" w:rsidRDefault="00547707" w:rsidP="00BD06F8">
      <w:pPr>
        <w:jc w:val="center"/>
        <w:rPr>
          <w:lang w:val="en-GB"/>
        </w:rPr>
      </w:pPr>
    </w:p>
    <w:p w:rsidR="00391E2C" w:rsidRDefault="00391E2C" w:rsidP="00391E2C">
      <w:pPr>
        <w:rPr>
          <w:lang w:val="en-GB"/>
        </w:rPr>
      </w:pPr>
      <w:r>
        <w:rPr>
          <w:lang w:val="en-GB"/>
        </w:rPr>
        <w:t xml:space="preserve">Every metric implements the interface </w:t>
      </w:r>
      <w:proofErr w:type="spellStart"/>
      <w:r>
        <w:rPr>
          <w:lang w:val="en-GB"/>
        </w:rPr>
        <w:t>IMetric</w:t>
      </w:r>
      <w:proofErr w:type="spellEnd"/>
      <w:r>
        <w:rPr>
          <w:lang w:val="en-GB"/>
        </w:rPr>
        <w:t xml:space="preserve"> that provides all common functionality of a metric, especially the method </w:t>
      </w:r>
      <w:proofErr w:type="spellStart"/>
      <w:r>
        <w:rPr>
          <w:lang w:val="en-GB"/>
        </w:rPr>
        <w:t>computeDirected</w:t>
      </w:r>
      <w:proofErr w:type="spellEnd"/>
      <w:r>
        <w:rPr>
          <w:lang w:val="en-GB"/>
        </w:rPr>
        <w:t xml:space="preserve"> which computes a metric between 2 component candidates. It computes the value directed, i.e., the metric value for A </w:t>
      </w:r>
      <w:r w:rsidRPr="00391E2C">
        <w:rPr>
          <w:lang w:val="en-GB"/>
        </w:rPr>
        <w:sym w:font="Wingdings" w:char="F0E0"/>
      </w:r>
      <w:r>
        <w:rPr>
          <w:lang w:val="en-GB"/>
        </w:rPr>
        <w:t xml:space="preserve"> B is different from the value B </w:t>
      </w:r>
      <w:r w:rsidRPr="00391E2C">
        <w:rPr>
          <w:lang w:val="en-GB"/>
        </w:rPr>
        <w:sym w:font="Wingdings" w:char="F0E0"/>
      </w:r>
      <w:r>
        <w:rPr>
          <w:lang w:val="en-GB"/>
        </w:rPr>
        <w:t xml:space="preserve"> A. They are the same if the metric returns true </w:t>
      </w:r>
      <w:r w:rsidR="00061370">
        <w:rPr>
          <w:lang w:val="en-GB"/>
        </w:rPr>
        <w:t>for</w:t>
      </w:r>
      <w:r>
        <w:rPr>
          <w:lang w:val="en-GB"/>
        </w:rPr>
        <w:t xml:space="preserve"> </w:t>
      </w:r>
      <w:proofErr w:type="spellStart"/>
      <w:r>
        <w:rPr>
          <w:lang w:val="en-GB"/>
        </w:rPr>
        <w:t>isCommutative</w:t>
      </w:r>
      <w:proofErr w:type="spellEnd"/>
      <w:r>
        <w:rPr>
          <w:lang w:val="en-GB"/>
        </w:rPr>
        <w:t>.</w:t>
      </w:r>
    </w:p>
    <w:p w:rsidR="00391E2C" w:rsidRDefault="00391E2C" w:rsidP="00391E2C">
      <w:pPr>
        <w:rPr>
          <w:lang w:val="en-GB"/>
        </w:rPr>
      </w:pPr>
      <w:r>
        <w:rPr>
          <w:lang w:val="en-GB"/>
        </w:rPr>
        <w:t xml:space="preserve">There is a default implementation of the </w:t>
      </w:r>
      <w:proofErr w:type="spellStart"/>
      <w:r>
        <w:rPr>
          <w:lang w:val="en-GB"/>
        </w:rPr>
        <w:t>IMetric</w:t>
      </w:r>
      <w:proofErr w:type="spellEnd"/>
      <w:r>
        <w:rPr>
          <w:lang w:val="en-GB"/>
        </w:rPr>
        <w:t xml:space="preserve"> interface as an </w:t>
      </w:r>
      <w:proofErr w:type="spellStart"/>
      <w:r>
        <w:rPr>
          <w:lang w:val="en-GB"/>
        </w:rPr>
        <w:t>AbstractMetric</w:t>
      </w:r>
      <w:proofErr w:type="spellEnd"/>
      <w:r w:rsidR="009A7574">
        <w:rPr>
          <w:lang w:val="en-GB"/>
        </w:rPr>
        <w:t xml:space="preserve"> which gives reasonable defaults for the methods it can implement. Based on it, there </w:t>
      </w:r>
      <w:proofErr w:type="gramStart"/>
      <w:r w:rsidR="009A7574">
        <w:rPr>
          <w:lang w:val="en-GB"/>
        </w:rPr>
        <w:t>is</w:t>
      </w:r>
      <w:proofErr w:type="gramEnd"/>
      <w:r w:rsidR="009A7574">
        <w:rPr>
          <w:lang w:val="en-GB"/>
        </w:rPr>
        <w:t xml:space="preserve"> a counting metric</w:t>
      </w:r>
      <w:r w:rsidR="00EC0A7B">
        <w:rPr>
          <w:lang w:val="en-GB"/>
        </w:rPr>
        <w:t xml:space="preserve"> (a base metric)</w:t>
      </w:r>
      <w:r w:rsidR="009A7574">
        <w:rPr>
          <w:lang w:val="en-GB"/>
        </w:rPr>
        <w:t xml:space="preserve"> which counts</w:t>
      </w:r>
      <w:r w:rsidR="00EC0A7B">
        <w:rPr>
          <w:lang w:val="en-GB"/>
        </w:rPr>
        <w:t xml:space="preserve"> for example</w:t>
      </w:r>
      <w:r w:rsidR="009A7574">
        <w:rPr>
          <w:lang w:val="en-GB"/>
        </w:rPr>
        <w:t xml:space="preserve"> the number of elements in a collection and a composed metric which derives its value by some computation using two or more other metrics. Special types of a composed metric are</w:t>
      </w:r>
      <w:r w:rsidR="00CB7DD4">
        <w:rPr>
          <w:lang w:val="en-GB"/>
        </w:rPr>
        <w:t xml:space="preserve"> </w:t>
      </w:r>
      <w:proofErr w:type="spellStart"/>
      <w:r w:rsidR="00CB7DD4">
        <w:rPr>
          <w:lang w:val="en-GB"/>
        </w:rPr>
        <w:t>i</w:t>
      </w:r>
      <w:proofErr w:type="spellEnd"/>
      <w:r w:rsidR="00CB7DD4">
        <w:rPr>
          <w:lang w:val="en-GB"/>
        </w:rPr>
        <w:t xml:space="preserve">) </w:t>
      </w:r>
      <w:r w:rsidR="009A7574">
        <w:rPr>
          <w:lang w:val="en-GB"/>
        </w:rPr>
        <w:t>weighted metric</w:t>
      </w:r>
      <w:r w:rsidR="00CB7DD4">
        <w:rPr>
          <w:lang w:val="en-GB"/>
        </w:rPr>
        <w:t xml:space="preserve"> which compute</w:t>
      </w:r>
      <w:r w:rsidR="009A7574">
        <w:rPr>
          <w:lang w:val="en-GB"/>
        </w:rPr>
        <w:t xml:space="preserve"> a weighted sum, </w:t>
      </w:r>
      <w:r w:rsidR="00CB7DD4">
        <w:rPr>
          <w:lang w:val="en-GB"/>
        </w:rPr>
        <w:t xml:space="preserve">ii) </w:t>
      </w:r>
      <w:r w:rsidR="009A7574">
        <w:rPr>
          <w:lang w:val="en-GB"/>
        </w:rPr>
        <w:t xml:space="preserve">stepwise metric which scales another metric based on its value, and </w:t>
      </w:r>
      <w:r w:rsidR="00CB7DD4">
        <w:rPr>
          <w:lang w:val="en-GB"/>
        </w:rPr>
        <w:t xml:space="preserve">iii) </w:t>
      </w:r>
      <w:r w:rsidR="009A7574">
        <w:rPr>
          <w:lang w:val="en-GB"/>
        </w:rPr>
        <w:t>ratio metric which computes the ratio of two other metrics.</w:t>
      </w:r>
    </w:p>
    <w:p w:rsidR="009A7574" w:rsidRDefault="009A7574" w:rsidP="00391E2C">
      <w:pPr>
        <w:rPr>
          <w:lang w:val="en-GB"/>
        </w:rPr>
      </w:pPr>
      <w:r>
        <w:rPr>
          <w:lang w:val="en-GB"/>
        </w:rPr>
        <w:t xml:space="preserve">All metrics used in </w:t>
      </w:r>
      <w:proofErr w:type="spellStart"/>
      <w:r>
        <w:rPr>
          <w:lang w:val="en-GB"/>
        </w:rPr>
        <w:t>SoMoX</w:t>
      </w:r>
      <w:proofErr w:type="spellEnd"/>
      <w:r>
        <w:rPr>
          <w:lang w:val="en-GB"/>
        </w:rPr>
        <w:t xml:space="preserve"> must be registered using a </w:t>
      </w:r>
      <w:proofErr w:type="spellStart"/>
      <w:r>
        <w:rPr>
          <w:lang w:val="en-GB"/>
        </w:rPr>
        <w:t>SoMoX</w:t>
      </w:r>
      <w:proofErr w:type="spellEnd"/>
      <w:r>
        <w:rPr>
          <w:lang w:val="en-GB"/>
        </w:rPr>
        <w:t xml:space="preserve"> metric extension point. They can be of two types: Basic metrics are directly implemented using the </w:t>
      </w:r>
      <w:proofErr w:type="spellStart"/>
      <w:r>
        <w:rPr>
          <w:lang w:val="en-GB"/>
        </w:rPr>
        <w:t>IMetric</w:t>
      </w:r>
      <w:proofErr w:type="spellEnd"/>
      <w:r>
        <w:rPr>
          <w:lang w:val="en-GB"/>
        </w:rPr>
        <w:t xml:space="preserve"> type hierarchy and </w:t>
      </w:r>
      <w:proofErr w:type="spellStart"/>
      <w:r>
        <w:rPr>
          <w:lang w:val="en-GB"/>
        </w:rPr>
        <w:t>metricDSLs</w:t>
      </w:r>
      <w:proofErr w:type="spellEnd"/>
      <w:r>
        <w:rPr>
          <w:lang w:val="en-GB"/>
        </w:rPr>
        <w:t xml:space="preserve"> use a metric DSL to describe especially new composed metrics.</w:t>
      </w:r>
    </w:p>
    <w:p w:rsidR="009A7574" w:rsidRDefault="009A7574" w:rsidP="009A7574">
      <w:pPr>
        <w:pStyle w:val="berschrift2"/>
        <w:rPr>
          <w:lang w:val="en-GB"/>
        </w:rPr>
      </w:pPr>
      <w:r>
        <w:rPr>
          <w:lang w:val="en-GB"/>
        </w:rPr>
        <w:t xml:space="preserve">The analyser </w:t>
      </w:r>
      <w:proofErr w:type="spellStart"/>
      <w:r>
        <w:rPr>
          <w:lang w:val="en-GB"/>
        </w:rPr>
        <w:t>plugin</w:t>
      </w:r>
      <w:proofErr w:type="spellEnd"/>
    </w:p>
    <w:p w:rsidR="009A7574" w:rsidRDefault="009A7574" w:rsidP="009A7574">
      <w:pPr>
        <w:rPr>
          <w:lang w:val="en-GB"/>
        </w:rPr>
      </w:pPr>
      <w:r>
        <w:rPr>
          <w:lang w:val="en-GB"/>
        </w:rPr>
        <w:t xml:space="preserve">The analyser </w:t>
      </w:r>
      <w:proofErr w:type="spellStart"/>
      <w:r>
        <w:rPr>
          <w:lang w:val="en-GB"/>
        </w:rPr>
        <w:t>plugin</w:t>
      </w:r>
      <w:proofErr w:type="spellEnd"/>
      <w:r>
        <w:rPr>
          <w:lang w:val="en-GB"/>
        </w:rPr>
        <w:t xml:space="preserve"> uses a GAST model</w:t>
      </w:r>
      <w:r w:rsidR="009551AD">
        <w:rPr>
          <w:lang w:val="en-GB"/>
        </w:rPr>
        <w:t xml:space="preserve"> as input</w:t>
      </w:r>
      <w:r>
        <w:rPr>
          <w:lang w:val="en-GB"/>
        </w:rPr>
        <w:t xml:space="preserve"> and by metric computation and clustering derives a component structure</w:t>
      </w:r>
      <w:r w:rsidR="009551AD">
        <w:rPr>
          <w:lang w:val="en-GB"/>
        </w:rPr>
        <w:t xml:space="preserve"> and a source code decorator</w:t>
      </w:r>
      <w:r>
        <w:rPr>
          <w:lang w:val="en-GB"/>
        </w:rPr>
        <w:t xml:space="preserve"> from the code.</w:t>
      </w:r>
    </w:p>
    <w:p w:rsidR="009A7574" w:rsidRDefault="009A7574" w:rsidP="009A7574">
      <w:pPr>
        <w:rPr>
          <w:lang w:val="en-GB"/>
        </w:rPr>
      </w:pPr>
      <w:r>
        <w:rPr>
          <w:lang w:val="en-GB"/>
        </w:rPr>
        <w:t xml:space="preserve">The analysis process starts in </w:t>
      </w:r>
      <w:proofErr w:type="spellStart"/>
      <w:r>
        <w:rPr>
          <w:lang w:val="en-GB"/>
        </w:rPr>
        <w:t>SimpleModelAnalyser</w:t>
      </w:r>
      <w:proofErr w:type="spellEnd"/>
      <w:r>
        <w:rPr>
          <w:lang w:val="en-GB"/>
        </w:rPr>
        <w:t xml:space="preserve"> and consists of two steps: First, identify a set of primitive components in the GAST model. Currently it uses the simple strategy to declare all top level classes and their nested classes as initial primitive components. </w:t>
      </w:r>
      <w:r w:rsidR="00F1748C">
        <w:rPr>
          <w:lang w:val="en-GB"/>
        </w:rPr>
        <w:t xml:space="preserve">If the class has an interface, it is used as component interface. If not, all public methods are used as derived provided interface. After that step, </w:t>
      </w:r>
      <w:proofErr w:type="spellStart"/>
      <w:r w:rsidR="00F1748C">
        <w:rPr>
          <w:lang w:val="en-GB"/>
        </w:rPr>
        <w:t>SoMoX</w:t>
      </w:r>
      <w:proofErr w:type="spellEnd"/>
      <w:r w:rsidR="00F1748C">
        <w:rPr>
          <w:lang w:val="en-GB"/>
        </w:rPr>
        <w:t xml:space="preserve"> enters the clustering step which assembles primitive components based on their inter-component relationships. This is encapsulated in a strategy and implemented in </w:t>
      </w:r>
      <w:proofErr w:type="spellStart"/>
      <w:r w:rsidR="00F1748C">
        <w:rPr>
          <w:lang w:val="en-GB"/>
        </w:rPr>
        <w:t>ComponentDetectionByClustering</w:t>
      </w:r>
      <w:proofErr w:type="spellEnd"/>
      <w:r w:rsidR="00F1748C">
        <w:rPr>
          <w:lang w:val="en-GB"/>
        </w:rPr>
        <w:t xml:space="preserve">. The class first initialises all metrics registered for </w:t>
      </w:r>
      <w:proofErr w:type="spellStart"/>
      <w:r w:rsidR="00F1748C">
        <w:rPr>
          <w:lang w:val="en-GB"/>
        </w:rPr>
        <w:t>SoMoX</w:t>
      </w:r>
      <w:proofErr w:type="spellEnd"/>
      <w:r w:rsidR="00F1748C">
        <w:rPr>
          <w:lang w:val="en-GB"/>
        </w:rPr>
        <w:t xml:space="preserve"> via extensions. Then it computes a helper graph, in which the nodes contain all classes of all primitive components and the directed edges </w:t>
      </w:r>
      <w:r w:rsidR="00CD1FD4">
        <w:rPr>
          <w:lang w:val="en-GB"/>
        </w:rPr>
        <w:t xml:space="preserve">hold the results of all computed metrics for the adjacent nodes (e.g. </w:t>
      </w:r>
      <w:r w:rsidR="00F1748C">
        <w:rPr>
          <w:lang w:val="en-GB"/>
        </w:rPr>
        <w:t>count</w:t>
      </w:r>
      <w:r w:rsidR="00135A55">
        <w:rPr>
          <w:lang w:val="en-GB"/>
        </w:rPr>
        <w:t>s of</w:t>
      </w:r>
      <w:r w:rsidR="00F1748C">
        <w:rPr>
          <w:lang w:val="en-GB"/>
        </w:rPr>
        <w:t xml:space="preserve"> the number of accesses between the </w:t>
      </w:r>
      <w:r w:rsidR="00135A55">
        <w:rPr>
          <w:lang w:val="en-GB"/>
        </w:rPr>
        <w:t>adjacent nodes</w:t>
      </w:r>
      <w:r w:rsidR="00CD1FD4">
        <w:rPr>
          <w:lang w:val="en-GB"/>
        </w:rPr>
        <w:t xml:space="preserve">; </w:t>
      </w:r>
      <w:r w:rsidR="00F1748C">
        <w:rPr>
          <w:lang w:val="en-GB"/>
        </w:rPr>
        <w:t xml:space="preserve">see </w:t>
      </w:r>
      <w:proofErr w:type="spellStart"/>
      <w:r w:rsidR="00F1748C">
        <w:rPr>
          <w:lang w:val="en-GB"/>
        </w:rPr>
        <w:t>getAccessGraph</w:t>
      </w:r>
      <w:proofErr w:type="spellEnd"/>
      <w:r w:rsidR="00F1748C">
        <w:rPr>
          <w:lang w:val="en-GB"/>
        </w:rPr>
        <w:t xml:space="preserve"> method</w:t>
      </w:r>
      <w:r w:rsidR="00287B52">
        <w:rPr>
          <w:lang w:val="en-GB"/>
        </w:rPr>
        <w:t xml:space="preserve"> and the following example figure</w:t>
      </w:r>
      <w:r w:rsidR="00F1748C">
        <w:rPr>
          <w:lang w:val="en-GB"/>
        </w:rPr>
        <w:t xml:space="preserve">). </w:t>
      </w:r>
    </w:p>
    <w:p w:rsidR="00287B52" w:rsidRDefault="00287B52" w:rsidP="009A7574">
      <w:pPr>
        <w:rPr>
          <w:lang w:val="en-GB"/>
        </w:rPr>
      </w:pPr>
    </w:p>
    <w:p w:rsidR="00287B52" w:rsidRDefault="00287B52" w:rsidP="00287B52">
      <w:pPr>
        <w:jc w:val="center"/>
        <w:rPr>
          <w:lang w:val="en-GB"/>
        </w:rPr>
      </w:pPr>
      <w:r>
        <w:rPr>
          <w:noProof/>
          <w:lang w:val="de-DE" w:eastAsia="de-DE" w:bidi="ar-SA"/>
        </w:rPr>
        <w:drawing>
          <wp:inline distT="0" distB="0" distL="0" distR="0">
            <wp:extent cx="5759450" cy="1003300"/>
            <wp:effectExtent l="19050" t="0" r="0" b="0"/>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t="39409" b="41133"/>
                    <a:stretch>
                      <a:fillRect/>
                    </a:stretch>
                  </pic:blipFill>
                  <pic:spPr bwMode="auto">
                    <a:xfrm>
                      <a:off x="0" y="0"/>
                      <a:ext cx="5759450" cy="1003300"/>
                    </a:xfrm>
                    <a:prstGeom prst="rect">
                      <a:avLst/>
                    </a:prstGeom>
                    <a:noFill/>
                    <a:ln w="9525">
                      <a:noFill/>
                      <a:miter lim="800000"/>
                      <a:headEnd/>
                      <a:tailEnd/>
                    </a:ln>
                  </pic:spPr>
                </pic:pic>
              </a:graphicData>
            </a:graphic>
          </wp:inline>
        </w:drawing>
      </w:r>
    </w:p>
    <w:p w:rsidR="00287B52" w:rsidRDefault="00287B52" w:rsidP="009A7574">
      <w:pPr>
        <w:rPr>
          <w:lang w:val="en-GB"/>
        </w:rPr>
      </w:pPr>
    </w:p>
    <w:p w:rsidR="00287B52" w:rsidRDefault="00287B52" w:rsidP="009A7574">
      <w:pPr>
        <w:rPr>
          <w:lang w:val="en-GB"/>
        </w:rPr>
      </w:pPr>
    </w:p>
    <w:p w:rsidR="00F1748C" w:rsidRDefault="00F1748C" w:rsidP="009A7574">
      <w:pPr>
        <w:rPr>
          <w:lang w:val="en-GB"/>
        </w:rPr>
      </w:pPr>
      <w:r>
        <w:rPr>
          <w:lang w:val="en-GB"/>
        </w:rPr>
        <w:t xml:space="preserve">Now the clustering itself starts. It consists of three steps </w:t>
      </w:r>
      <w:proofErr w:type="gramStart"/>
      <w:r>
        <w:rPr>
          <w:lang w:val="en-GB"/>
        </w:rPr>
        <w:t>in each iteration</w:t>
      </w:r>
      <w:proofErr w:type="gramEnd"/>
      <w:r>
        <w:rPr>
          <w:lang w:val="en-GB"/>
        </w:rPr>
        <w:t xml:space="preserve">. </w:t>
      </w:r>
    </w:p>
    <w:p w:rsidR="00F1748C" w:rsidRDefault="00F1748C" w:rsidP="00F1748C">
      <w:pPr>
        <w:pStyle w:val="Listenabsatz"/>
        <w:numPr>
          <w:ilvl w:val="0"/>
          <w:numId w:val="1"/>
        </w:numPr>
        <w:rPr>
          <w:lang w:val="en-GB"/>
        </w:rPr>
      </w:pPr>
      <w:r>
        <w:rPr>
          <w:lang w:val="en-GB"/>
        </w:rPr>
        <w:t>Compute relationship graph</w:t>
      </w:r>
    </w:p>
    <w:p w:rsidR="00925659" w:rsidRDefault="00925659" w:rsidP="00F1748C">
      <w:pPr>
        <w:pStyle w:val="Listenabsatz"/>
        <w:numPr>
          <w:ilvl w:val="0"/>
          <w:numId w:val="1"/>
        </w:numPr>
        <w:rPr>
          <w:lang w:val="en-GB"/>
        </w:rPr>
      </w:pPr>
      <w:r>
        <w:rPr>
          <w:lang w:val="en-GB"/>
        </w:rPr>
        <w:t>Project graph to current threshold</w:t>
      </w:r>
    </w:p>
    <w:p w:rsidR="00F1748C" w:rsidRDefault="00925659" w:rsidP="00F1748C">
      <w:pPr>
        <w:pStyle w:val="Listenabsatz"/>
        <w:numPr>
          <w:ilvl w:val="0"/>
          <w:numId w:val="1"/>
        </w:numPr>
        <w:rPr>
          <w:lang w:val="en-GB"/>
        </w:rPr>
      </w:pPr>
      <w:r>
        <w:rPr>
          <w:lang w:val="en-GB"/>
        </w:rPr>
        <w:t>Assemble new composite components from existing components</w:t>
      </w:r>
    </w:p>
    <w:p w:rsidR="00925659" w:rsidRDefault="00925659" w:rsidP="00925659">
      <w:pPr>
        <w:rPr>
          <w:lang w:val="en-GB"/>
        </w:rPr>
      </w:pPr>
      <w:r>
        <w:rPr>
          <w:lang w:val="en-GB"/>
        </w:rPr>
        <w:t>The first action computes a directed graph which has the current component candidates as nodes. The edges contain the lazily computed metric values for all metrics used on the respective edge starting from the top-level metric. The edges of the graph are computed in an optimized way. First, we examine the graph of the last iteration and determine what changed. For all connections between old nodes and new nodes and for all new nodes with each other, the edges are computed. Again, each single computation is optimized and uses a master-worker concurrency pattern. A unit of work is the computation of a pair of edges between two nodes (we compute pair</w:t>
      </w:r>
      <w:r w:rsidR="00D42940">
        <w:rPr>
          <w:lang w:val="en-GB"/>
        </w:rPr>
        <w:t xml:space="preserve"> wise and therefore</w:t>
      </w:r>
      <w:r>
        <w:rPr>
          <w:lang w:val="en-GB"/>
        </w:rPr>
        <w:t xml:space="preserve"> use the </w:t>
      </w:r>
      <w:proofErr w:type="spellStart"/>
      <w:r>
        <w:rPr>
          <w:lang w:val="en-GB"/>
        </w:rPr>
        <w:t>isCommutative</w:t>
      </w:r>
      <w:proofErr w:type="spellEnd"/>
      <w:r>
        <w:rPr>
          <w:lang w:val="en-GB"/>
        </w:rPr>
        <w:t xml:space="preserve"> flag of a metric to avoid some computations). First, all work that needs to be </w:t>
      </w:r>
      <w:r>
        <w:rPr>
          <w:lang w:val="en-GB"/>
        </w:rPr>
        <w:lastRenderedPageBreak/>
        <w:t xml:space="preserve">done is collected and stored. Then all the work is presented to the workers who take one piece of work, compute it and return the results. If all work is done, the new graph edges are constructed. </w:t>
      </w:r>
    </w:p>
    <w:p w:rsidR="00085EA3" w:rsidRDefault="00925659" w:rsidP="00925659">
      <w:pPr>
        <w:rPr>
          <w:lang w:val="en-GB"/>
        </w:rPr>
      </w:pPr>
      <w:r>
        <w:rPr>
          <w:lang w:val="en-GB"/>
        </w:rPr>
        <w:t xml:space="preserve">In the second step the graph’s edges are filtered in a </w:t>
      </w:r>
      <w:proofErr w:type="spellStart"/>
      <w:r>
        <w:rPr>
          <w:lang w:val="en-GB"/>
        </w:rPr>
        <w:t>subgraph</w:t>
      </w:r>
      <w:proofErr w:type="spellEnd"/>
      <w:r>
        <w:rPr>
          <w:lang w:val="en-GB"/>
        </w:rPr>
        <w:t xml:space="preserve"> by removing all edges whose overall metric is not </w:t>
      </w:r>
      <w:r w:rsidR="004B20DF">
        <w:rPr>
          <w:lang w:val="en-GB"/>
        </w:rPr>
        <w:t>exceeding</w:t>
      </w:r>
      <w:r>
        <w:rPr>
          <w:lang w:val="en-GB"/>
        </w:rPr>
        <w:t xml:space="preserve"> the current value of the threshold which indicated the assembly of a composite </w:t>
      </w:r>
      <w:proofErr w:type="gramStart"/>
      <w:r>
        <w:rPr>
          <w:lang w:val="en-GB"/>
        </w:rPr>
        <w:t>component</w:t>
      </w:r>
      <w:r w:rsidR="004B20DF">
        <w:rPr>
          <w:lang w:val="en-GB"/>
        </w:rPr>
        <w:t xml:space="preserve"> </w:t>
      </w:r>
      <w:r w:rsidR="00BA331C">
        <w:rPr>
          <w:lang w:val="en-GB"/>
        </w:rPr>
        <w:t>.</w:t>
      </w:r>
      <w:proofErr w:type="gramEnd"/>
      <w:r>
        <w:rPr>
          <w:lang w:val="en-GB"/>
        </w:rPr>
        <w:t xml:space="preserve"> </w:t>
      </w:r>
      <w:r w:rsidR="00287B52">
        <w:rPr>
          <w:lang w:val="en-GB"/>
        </w:rPr>
        <w:t xml:space="preserve">In the following figure, we see such a graph, where all edges are removed with </w:t>
      </w:r>
      <w:proofErr w:type="spellStart"/>
      <w:r w:rsidR="00287B52">
        <w:rPr>
          <w:lang w:val="en-GB"/>
        </w:rPr>
        <w:t>DefaultCompositionIndicatingMetric</w:t>
      </w:r>
      <w:proofErr w:type="spellEnd"/>
      <w:r w:rsidR="00287B52">
        <w:rPr>
          <w:lang w:val="en-GB"/>
        </w:rPr>
        <w:t xml:space="preserve"> &lt;0</w:t>
      </w:r>
      <w:r w:rsidR="00C3199F">
        <w:rPr>
          <w:lang w:val="en-GB"/>
        </w:rPr>
        <w:t>.</w:t>
      </w:r>
      <w:r w:rsidR="00287B52">
        <w:rPr>
          <w:lang w:val="en-GB"/>
        </w:rPr>
        <w:t xml:space="preserve">8. </w:t>
      </w:r>
    </w:p>
    <w:p w:rsidR="00287B52" w:rsidRDefault="00287B52" w:rsidP="00287B52">
      <w:pPr>
        <w:jc w:val="center"/>
        <w:rPr>
          <w:lang w:val="en-GB"/>
        </w:rPr>
      </w:pPr>
      <w:r>
        <w:rPr>
          <w:noProof/>
          <w:lang w:val="de-DE" w:eastAsia="de-DE" w:bidi="ar-SA"/>
        </w:rPr>
        <w:drawing>
          <wp:inline distT="0" distB="0" distL="0" distR="0">
            <wp:extent cx="4956704" cy="2578100"/>
            <wp:effectExtent l="19050" t="0" r="0" b="0"/>
            <wp:docPr id="3"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l="19625" t="28079" r="9151" b="30542"/>
                    <a:stretch>
                      <a:fillRect/>
                    </a:stretch>
                  </pic:blipFill>
                  <pic:spPr bwMode="auto">
                    <a:xfrm>
                      <a:off x="0" y="0"/>
                      <a:ext cx="4956704" cy="2578100"/>
                    </a:xfrm>
                    <a:prstGeom prst="rect">
                      <a:avLst/>
                    </a:prstGeom>
                    <a:noFill/>
                    <a:ln w="9525">
                      <a:noFill/>
                      <a:miter lim="800000"/>
                      <a:headEnd/>
                      <a:tailEnd/>
                    </a:ln>
                  </pic:spPr>
                </pic:pic>
              </a:graphicData>
            </a:graphic>
          </wp:inline>
        </w:drawing>
      </w:r>
    </w:p>
    <w:p w:rsidR="00287B52" w:rsidRDefault="00287B52" w:rsidP="00925659">
      <w:pPr>
        <w:rPr>
          <w:lang w:val="en-GB"/>
        </w:rPr>
      </w:pPr>
    </w:p>
    <w:p w:rsidR="00925659" w:rsidRDefault="00037322" w:rsidP="00925659">
      <w:pPr>
        <w:rPr>
          <w:lang w:val="en-GB"/>
        </w:rPr>
      </w:pPr>
      <w:r>
        <w:rPr>
          <w:lang w:val="en-GB"/>
        </w:rPr>
        <w:t xml:space="preserve">The filtered graph has one weakly connected component which is composed into a composite component in the next step: </w:t>
      </w:r>
      <w:r w:rsidR="00085EA3">
        <w:rPr>
          <w:lang w:val="en-GB"/>
        </w:rPr>
        <w:t>For the third step we search i</w:t>
      </w:r>
      <w:r w:rsidR="00925659">
        <w:rPr>
          <w:lang w:val="en-GB"/>
        </w:rPr>
        <w:t>n this filtered graph all weak</w:t>
      </w:r>
      <w:r w:rsidR="0093793D">
        <w:rPr>
          <w:lang w:val="en-GB"/>
        </w:rPr>
        <w:t>ly connected components (</w:t>
      </w:r>
      <w:r w:rsidR="00925659">
        <w:rPr>
          <w:lang w:val="en-GB"/>
        </w:rPr>
        <w:t xml:space="preserve">using the </w:t>
      </w:r>
      <w:proofErr w:type="spellStart"/>
      <w:r w:rsidR="00925659">
        <w:rPr>
          <w:lang w:val="en-GB"/>
        </w:rPr>
        <w:t>JGraphT</w:t>
      </w:r>
      <w:proofErr w:type="spellEnd"/>
      <w:r w:rsidR="00925659">
        <w:rPr>
          <w:lang w:val="en-GB"/>
        </w:rPr>
        <w:t xml:space="preserve"> API) and for each weak</w:t>
      </w:r>
      <w:r w:rsidR="00BA331C">
        <w:rPr>
          <w:lang w:val="en-GB"/>
        </w:rPr>
        <w:t>ly connected</w:t>
      </w:r>
      <w:r w:rsidR="00925659">
        <w:rPr>
          <w:lang w:val="en-GB"/>
        </w:rPr>
        <w:t xml:space="preserve"> component in the graph, we create </w:t>
      </w:r>
      <w:r w:rsidR="00085EA3">
        <w:rPr>
          <w:lang w:val="en-GB"/>
        </w:rPr>
        <w:t>a composite component. This is done by using the edges in the weak</w:t>
      </w:r>
      <w:r w:rsidR="001D67F1">
        <w:rPr>
          <w:lang w:val="en-GB"/>
        </w:rPr>
        <w:t>ly connected</w:t>
      </w:r>
      <w:r w:rsidR="00085EA3">
        <w:rPr>
          <w:lang w:val="en-GB"/>
        </w:rPr>
        <w:t xml:space="preserve"> component and trying to use them as assembly connectors (which usually makes sense for high coupling values). </w:t>
      </w:r>
      <w:r w:rsidR="00BA331C">
        <w:rPr>
          <w:lang w:val="en-GB"/>
        </w:rPr>
        <w:t xml:space="preserve"> Intuitively, the components represented by adjacent nodes of </w:t>
      </w:r>
      <w:proofErr w:type="gramStart"/>
      <w:r w:rsidR="00BA331C">
        <w:rPr>
          <w:lang w:val="en-GB"/>
        </w:rPr>
        <w:t>a</w:t>
      </w:r>
      <w:proofErr w:type="gramEnd"/>
      <w:r w:rsidR="00BA331C">
        <w:rPr>
          <w:lang w:val="en-GB"/>
        </w:rPr>
        <w:t xml:space="preserve"> edge passing the threshold will be transitively assembled into a composite component.</w:t>
      </w:r>
    </w:p>
    <w:p w:rsidR="00287B52" w:rsidRDefault="00287B52" w:rsidP="00925659">
      <w:pPr>
        <w:rPr>
          <w:lang w:val="en-GB"/>
        </w:rPr>
      </w:pPr>
      <w:r>
        <w:rPr>
          <w:lang w:val="en-GB"/>
        </w:rPr>
        <w:t>For the example above the next graph clustering step produces the following graph where the newly created compos</w:t>
      </w:r>
      <w:r w:rsidR="001D67F1">
        <w:rPr>
          <w:lang w:val="en-GB"/>
        </w:rPr>
        <w:t xml:space="preserve">ite component is highlighted </w:t>
      </w:r>
      <w:r>
        <w:rPr>
          <w:lang w:val="en-GB"/>
        </w:rPr>
        <w:t>yellow.</w:t>
      </w:r>
    </w:p>
    <w:p w:rsidR="00287B52" w:rsidRDefault="00287B52" w:rsidP="00925659">
      <w:pPr>
        <w:rPr>
          <w:lang w:val="en-GB"/>
        </w:rPr>
      </w:pPr>
      <w:r>
        <w:rPr>
          <w:noProof/>
          <w:lang w:val="de-DE" w:eastAsia="de-DE" w:bidi="ar-SA"/>
        </w:rPr>
        <w:drawing>
          <wp:inline distT="0" distB="0" distL="0" distR="0">
            <wp:extent cx="4838700" cy="2856768"/>
            <wp:effectExtent l="19050" t="0" r="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l="19405" t="10099" r="11687" b="44458"/>
                    <a:stretch>
                      <a:fillRect/>
                    </a:stretch>
                  </pic:blipFill>
                  <pic:spPr bwMode="auto">
                    <a:xfrm>
                      <a:off x="0" y="0"/>
                      <a:ext cx="4838700" cy="2856768"/>
                    </a:xfrm>
                    <a:prstGeom prst="rect">
                      <a:avLst/>
                    </a:prstGeom>
                    <a:noFill/>
                    <a:ln w="9525">
                      <a:noFill/>
                      <a:miter lim="800000"/>
                      <a:headEnd/>
                      <a:tailEnd/>
                    </a:ln>
                  </pic:spPr>
                </pic:pic>
              </a:graphicData>
            </a:graphic>
          </wp:inline>
        </w:drawing>
      </w:r>
    </w:p>
    <w:p w:rsidR="00287B52" w:rsidRDefault="00287B52" w:rsidP="00925659">
      <w:pPr>
        <w:rPr>
          <w:lang w:val="en-GB"/>
        </w:rPr>
      </w:pPr>
    </w:p>
    <w:p w:rsidR="00085EA3" w:rsidRDefault="00085EA3" w:rsidP="00925659">
      <w:pPr>
        <w:rPr>
          <w:lang w:val="en-GB"/>
        </w:rPr>
      </w:pPr>
      <w:r>
        <w:rPr>
          <w:lang w:val="en-GB"/>
        </w:rPr>
        <w:t>Whenever we find components</w:t>
      </w:r>
      <w:r w:rsidR="00621F70">
        <w:rPr>
          <w:lang w:val="en-GB"/>
        </w:rPr>
        <w:t>,</w:t>
      </w:r>
      <w:r>
        <w:rPr>
          <w:lang w:val="en-GB"/>
        </w:rPr>
        <w:t xml:space="preserve"> we create new composite components and repeat then the steps</w:t>
      </w:r>
      <w:r w:rsidR="00621F70">
        <w:rPr>
          <w:lang w:val="en-GB"/>
        </w:rPr>
        <w:t xml:space="preserve"> 1.-3</w:t>
      </w:r>
      <w:r>
        <w:rPr>
          <w:lang w:val="en-GB"/>
        </w:rPr>
        <w:t xml:space="preserve">. If we do not find any </w:t>
      </w:r>
      <w:r w:rsidR="00621F70">
        <w:rPr>
          <w:lang w:val="en-GB"/>
        </w:rPr>
        <w:t>further</w:t>
      </w:r>
      <w:r>
        <w:rPr>
          <w:lang w:val="en-GB"/>
        </w:rPr>
        <w:t xml:space="preserve"> components</w:t>
      </w:r>
      <w:r w:rsidR="00621F70">
        <w:rPr>
          <w:lang w:val="en-GB"/>
        </w:rPr>
        <w:t>,</w:t>
      </w:r>
      <w:r>
        <w:rPr>
          <w:lang w:val="en-GB"/>
        </w:rPr>
        <w:t xml:space="preserve"> we decrement the threshold by the decrement step and enter the loop again until we reach the minimum threshold.</w:t>
      </w:r>
    </w:p>
    <w:p w:rsidR="00085EA3" w:rsidRDefault="00085EA3" w:rsidP="00925659">
      <w:pPr>
        <w:rPr>
          <w:lang w:val="en-GB"/>
        </w:rPr>
      </w:pPr>
    </w:p>
    <w:p w:rsidR="00085EA3" w:rsidRDefault="00085EA3" w:rsidP="00925659">
      <w:pPr>
        <w:rPr>
          <w:lang w:val="en-GB"/>
        </w:rPr>
      </w:pPr>
      <w:r>
        <w:rPr>
          <w:lang w:val="en-GB"/>
        </w:rPr>
        <w:lastRenderedPageBreak/>
        <w:t>As a summary, the code aims at being clear and readable while still employing some performance tweaks like the master-worker pattern, the graph repair step, or the access cache.</w:t>
      </w:r>
    </w:p>
    <w:p w:rsidR="00085EA3" w:rsidRPr="00925659" w:rsidRDefault="00085EA3" w:rsidP="00925659">
      <w:pPr>
        <w:rPr>
          <w:lang w:val="en-GB"/>
        </w:rPr>
      </w:pPr>
    </w:p>
    <w:sectPr w:rsidR="00085EA3" w:rsidRPr="00925659" w:rsidSect="00D035C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00098"/>
    <w:multiLevelType w:val="hybridMultilevel"/>
    <w:tmpl w:val="F8BA836A"/>
    <w:lvl w:ilvl="0" w:tplc="0407000F">
      <w:start w:val="1"/>
      <w:numFmt w:val="decimal"/>
      <w:lvlText w:val="%1."/>
      <w:lvlJc w:val="left"/>
      <w:pPr>
        <w:ind w:left="1080" w:hanging="360"/>
      </w:p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useFELayout/>
  </w:compat>
  <w:rsids>
    <w:rsidRoot w:val="005C3BDA"/>
    <w:rsid w:val="00037322"/>
    <w:rsid w:val="00061370"/>
    <w:rsid w:val="00085EA3"/>
    <w:rsid w:val="00135A55"/>
    <w:rsid w:val="001D67F1"/>
    <w:rsid w:val="00287B52"/>
    <w:rsid w:val="00391E2C"/>
    <w:rsid w:val="004B20DF"/>
    <w:rsid w:val="004F4CFC"/>
    <w:rsid w:val="00547707"/>
    <w:rsid w:val="005C3BDA"/>
    <w:rsid w:val="00621F70"/>
    <w:rsid w:val="0082424A"/>
    <w:rsid w:val="008F311D"/>
    <w:rsid w:val="00925659"/>
    <w:rsid w:val="0093793D"/>
    <w:rsid w:val="009551AD"/>
    <w:rsid w:val="009A7574"/>
    <w:rsid w:val="00BA331C"/>
    <w:rsid w:val="00BD06F8"/>
    <w:rsid w:val="00C3199F"/>
    <w:rsid w:val="00CB7DD4"/>
    <w:rsid w:val="00CD1FD4"/>
    <w:rsid w:val="00D035C6"/>
    <w:rsid w:val="00D20F65"/>
    <w:rsid w:val="00D42940"/>
    <w:rsid w:val="00D4418A"/>
    <w:rsid w:val="00DB3AC2"/>
    <w:rsid w:val="00EC0A7B"/>
    <w:rsid w:val="00F1748C"/>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C3BDA"/>
  </w:style>
  <w:style w:type="paragraph" w:styleId="berschrift1">
    <w:name w:val="heading 1"/>
    <w:basedOn w:val="Standard"/>
    <w:next w:val="Standard"/>
    <w:link w:val="berschrift1Zchn"/>
    <w:uiPriority w:val="9"/>
    <w:qFormat/>
    <w:rsid w:val="005C3BDA"/>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berschrift2">
    <w:name w:val="heading 2"/>
    <w:basedOn w:val="Standard"/>
    <w:next w:val="Standard"/>
    <w:link w:val="berschrift2Zchn"/>
    <w:uiPriority w:val="9"/>
    <w:unhideWhenUsed/>
    <w:qFormat/>
    <w:rsid w:val="005C3BDA"/>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berschrift3">
    <w:name w:val="heading 3"/>
    <w:basedOn w:val="Standard"/>
    <w:next w:val="Standard"/>
    <w:link w:val="berschrift3Zchn"/>
    <w:uiPriority w:val="9"/>
    <w:semiHidden/>
    <w:unhideWhenUsed/>
    <w:qFormat/>
    <w:rsid w:val="005C3BDA"/>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berschrift4">
    <w:name w:val="heading 4"/>
    <w:basedOn w:val="Standard"/>
    <w:next w:val="Standard"/>
    <w:link w:val="berschrift4Zchn"/>
    <w:uiPriority w:val="9"/>
    <w:semiHidden/>
    <w:unhideWhenUsed/>
    <w:qFormat/>
    <w:rsid w:val="005C3BDA"/>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berschrift5">
    <w:name w:val="heading 5"/>
    <w:basedOn w:val="Standard"/>
    <w:next w:val="Standard"/>
    <w:link w:val="berschrift5Zchn"/>
    <w:uiPriority w:val="9"/>
    <w:semiHidden/>
    <w:unhideWhenUsed/>
    <w:qFormat/>
    <w:rsid w:val="005C3BDA"/>
    <w:pPr>
      <w:spacing w:before="200" w:after="80"/>
      <w:ind w:firstLine="0"/>
      <w:outlineLvl w:val="4"/>
    </w:pPr>
    <w:rPr>
      <w:rFonts w:asciiTheme="majorHAnsi" w:eastAsiaTheme="majorEastAsia" w:hAnsiTheme="majorHAnsi" w:cstheme="majorBidi"/>
      <w:color w:val="4F81BD" w:themeColor="accent1"/>
    </w:rPr>
  </w:style>
  <w:style w:type="paragraph" w:styleId="berschrift6">
    <w:name w:val="heading 6"/>
    <w:basedOn w:val="Standard"/>
    <w:next w:val="Standard"/>
    <w:link w:val="berschrift6Zchn"/>
    <w:uiPriority w:val="9"/>
    <w:semiHidden/>
    <w:unhideWhenUsed/>
    <w:qFormat/>
    <w:rsid w:val="005C3BDA"/>
    <w:pPr>
      <w:spacing w:before="280" w:after="100"/>
      <w:ind w:firstLine="0"/>
      <w:outlineLvl w:val="5"/>
    </w:pPr>
    <w:rPr>
      <w:rFonts w:asciiTheme="majorHAnsi" w:eastAsiaTheme="majorEastAsia" w:hAnsiTheme="majorHAnsi" w:cstheme="majorBidi"/>
      <w:i/>
      <w:iCs/>
      <w:color w:val="4F81BD" w:themeColor="accent1"/>
    </w:rPr>
  </w:style>
  <w:style w:type="paragraph" w:styleId="berschrift7">
    <w:name w:val="heading 7"/>
    <w:basedOn w:val="Standard"/>
    <w:next w:val="Standard"/>
    <w:link w:val="berschrift7Zchn"/>
    <w:uiPriority w:val="9"/>
    <w:semiHidden/>
    <w:unhideWhenUsed/>
    <w:qFormat/>
    <w:rsid w:val="005C3BDA"/>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berschrift8">
    <w:name w:val="heading 8"/>
    <w:basedOn w:val="Standard"/>
    <w:next w:val="Standard"/>
    <w:link w:val="berschrift8Zchn"/>
    <w:uiPriority w:val="9"/>
    <w:semiHidden/>
    <w:unhideWhenUsed/>
    <w:qFormat/>
    <w:rsid w:val="005C3BDA"/>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berschrift9">
    <w:name w:val="heading 9"/>
    <w:basedOn w:val="Standard"/>
    <w:next w:val="Standard"/>
    <w:link w:val="berschrift9Zchn"/>
    <w:uiPriority w:val="9"/>
    <w:semiHidden/>
    <w:unhideWhenUsed/>
    <w:qFormat/>
    <w:rsid w:val="005C3BDA"/>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C3BDA"/>
    <w:rPr>
      <w:rFonts w:asciiTheme="majorHAnsi" w:eastAsiaTheme="majorEastAsia" w:hAnsiTheme="majorHAnsi" w:cstheme="majorBidi"/>
      <w:b/>
      <w:bCs/>
      <w:color w:val="365F91" w:themeColor="accent1" w:themeShade="BF"/>
      <w:sz w:val="24"/>
      <w:szCs w:val="24"/>
    </w:rPr>
  </w:style>
  <w:style w:type="character" w:customStyle="1" w:styleId="berschrift2Zchn">
    <w:name w:val="Überschrift 2 Zchn"/>
    <w:basedOn w:val="Absatz-Standardschriftart"/>
    <w:link w:val="berschrift2"/>
    <w:uiPriority w:val="9"/>
    <w:rsid w:val="005C3BDA"/>
    <w:rPr>
      <w:rFonts w:asciiTheme="majorHAnsi" w:eastAsiaTheme="majorEastAsia" w:hAnsiTheme="majorHAnsi" w:cstheme="majorBidi"/>
      <w:color w:val="365F91" w:themeColor="accent1" w:themeShade="BF"/>
      <w:sz w:val="24"/>
      <w:szCs w:val="24"/>
    </w:rPr>
  </w:style>
  <w:style w:type="character" w:customStyle="1" w:styleId="berschrift3Zchn">
    <w:name w:val="Überschrift 3 Zchn"/>
    <w:basedOn w:val="Absatz-Standardschriftart"/>
    <w:link w:val="berschrift3"/>
    <w:uiPriority w:val="9"/>
    <w:semiHidden/>
    <w:rsid w:val="005C3BDA"/>
    <w:rPr>
      <w:rFonts w:asciiTheme="majorHAnsi" w:eastAsiaTheme="majorEastAsia" w:hAnsiTheme="majorHAnsi" w:cstheme="majorBidi"/>
      <w:color w:val="4F81BD" w:themeColor="accent1"/>
      <w:sz w:val="24"/>
      <w:szCs w:val="24"/>
    </w:rPr>
  </w:style>
  <w:style w:type="character" w:customStyle="1" w:styleId="berschrift4Zchn">
    <w:name w:val="Überschrift 4 Zchn"/>
    <w:basedOn w:val="Absatz-Standardschriftart"/>
    <w:link w:val="berschrift4"/>
    <w:uiPriority w:val="9"/>
    <w:semiHidden/>
    <w:rsid w:val="005C3BDA"/>
    <w:rPr>
      <w:rFonts w:asciiTheme="majorHAnsi" w:eastAsiaTheme="majorEastAsia" w:hAnsiTheme="majorHAnsi" w:cstheme="majorBidi"/>
      <w:i/>
      <w:iCs/>
      <w:color w:val="4F81BD" w:themeColor="accent1"/>
      <w:sz w:val="24"/>
      <w:szCs w:val="24"/>
    </w:rPr>
  </w:style>
  <w:style w:type="character" w:customStyle="1" w:styleId="berschrift5Zchn">
    <w:name w:val="Überschrift 5 Zchn"/>
    <w:basedOn w:val="Absatz-Standardschriftart"/>
    <w:link w:val="berschrift5"/>
    <w:uiPriority w:val="9"/>
    <w:semiHidden/>
    <w:rsid w:val="005C3BDA"/>
    <w:rPr>
      <w:rFonts w:asciiTheme="majorHAnsi" w:eastAsiaTheme="majorEastAsia" w:hAnsiTheme="majorHAnsi" w:cstheme="majorBidi"/>
      <w:color w:val="4F81BD" w:themeColor="accent1"/>
    </w:rPr>
  </w:style>
  <w:style w:type="character" w:customStyle="1" w:styleId="berschrift6Zchn">
    <w:name w:val="Überschrift 6 Zchn"/>
    <w:basedOn w:val="Absatz-Standardschriftart"/>
    <w:link w:val="berschrift6"/>
    <w:uiPriority w:val="9"/>
    <w:semiHidden/>
    <w:rsid w:val="005C3BDA"/>
    <w:rPr>
      <w:rFonts w:asciiTheme="majorHAnsi" w:eastAsiaTheme="majorEastAsia" w:hAnsiTheme="majorHAnsi" w:cstheme="majorBidi"/>
      <w:i/>
      <w:iCs/>
      <w:color w:val="4F81BD" w:themeColor="accent1"/>
    </w:rPr>
  </w:style>
  <w:style w:type="character" w:customStyle="1" w:styleId="berschrift7Zchn">
    <w:name w:val="Überschrift 7 Zchn"/>
    <w:basedOn w:val="Absatz-Standardschriftart"/>
    <w:link w:val="berschrift7"/>
    <w:uiPriority w:val="9"/>
    <w:semiHidden/>
    <w:rsid w:val="005C3BDA"/>
    <w:rPr>
      <w:rFonts w:asciiTheme="majorHAnsi" w:eastAsiaTheme="majorEastAsia" w:hAnsiTheme="majorHAnsi" w:cstheme="majorBidi"/>
      <w:b/>
      <w:bCs/>
      <w:color w:val="9BBB59" w:themeColor="accent3"/>
      <w:sz w:val="20"/>
      <w:szCs w:val="20"/>
    </w:rPr>
  </w:style>
  <w:style w:type="character" w:customStyle="1" w:styleId="berschrift8Zchn">
    <w:name w:val="Überschrift 8 Zchn"/>
    <w:basedOn w:val="Absatz-Standardschriftart"/>
    <w:link w:val="berschrift8"/>
    <w:uiPriority w:val="9"/>
    <w:semiHidden/>
    <w:rsid w:val="005C3BDA"/>
    <w:rPr>
      <w:rFonts w:asciiTheme="majorHAnsi" w:eastAsiaTheme="majorEastAsia" w:hAnsiTheme="majorHAnsi" w:cstheme="majorBidi"/>
      <w:b/>
      <w:bCs/>
      <w:i/>
      <w:iCs/>
      <w:color w:val="9BBB59" w:themeColor="accent3"/>
      <w:sz w:val="20"/>
      <w:szCs w:val="20"/>
    </w:rPr>
  </w:style>
  <w:style w:type="character" w:customStyle="1" w:styleId="berschrift9Zchn">
    <w:name w:val="Überschrift 9 Zchn"/>
    <w:basedOn w:val="Absatz-Standardschriftart"/>
    <w:link w:val="berschrift9"/>
    <w:uiPriority w:val="9"/>
    <w:semiHidden/>
    <w:rsid w:val="005C3BDA"/>
    <w:rPr>
      <w:rFonts w:asciiTheme="majorHAnsi" w:eastAsiaTheme="majorEastAsia" w:hAnsiTheme="majorHAnsi" w:cstheme="majorBidi"/>
      <w:i/>
      <w:iCs/>
      <w:color w:val="9BBB59" w:themeColor="accent3"/>
      <w:sz w:val="20"/>
      <w:szCs w:val="20"/>
    </w:rPr>
  </w:style>
  <w:style w:type="paragraph" w:styleId="Beschriftung">
    <w:name w:val="caption"/>
    <w:basedOn w:val="Standard"/>
    <w:next w:val="Standard"/>
    <w:uiPriority w:val="35"/>
    <w:semiHidden/>
    <w:unhideWhenUsed/>
    <w:qFormat/>
    <w:rsid w:val="005C3BDA"/>
    <w:rPr>
      <w:b/>
      <w:bCs/>
      <w:sz w:val="18"/>
      <w:szCs w:val="18"/>
    </w:rPr>
  </w:style>
  <w:style w:type="paragraph" w:styleId="Titel">
    <w:name w:val="Title"/>
    <w:basedOn w:val="Standard"/>
    <w:next w:val="Standard"/>
    <w:link w:val="TitelZchn"/>
    <w:uiPriority w:val="10"/>
    <w:qFormat/>
    <w:rsid w:val="005C3BDA"/>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elZchn">
    <w:name w:val="Titel Zchn"/>
    <w:basedOn w:val="Absatz-Standardschriftart"/>
    <w:link w:val="Titel"/>
    <w:uiPriority w:val="10"/>
    <w:rsid w:val="005C3BDA"/>
    <w:rPr>
      <w:rFonts w:asciiTheme="majorHAnsi" w:eastAsiaTheme="majorEastAsia" w:hAnsiTheme="majorHAnsi" w:cstheme="majorBidi"/>
      <w:i/>
      <w:iCs/>
      <w:color w:val="243F60" w:themeColor="accent1" w:themeShade="7F"/>
      <w:sz w:val="60"/>
      <w:szCs w:val="60"/>
    </w:rPr>
  </w:style>
  <w:style w:type="paragraph" w:styleId="Untertitel">
    <w:name w:val="Subtitle"/>
    <w:basedOn w:val="Standard"/>
    <w:next w:val="Standard"/>
    <w:link w:val="UntertitelZchn"/>
    <w:uiPriority w:val="11"/>
    <w:qFormat/>
    <w:rsid w:val="005C3BDA"/>
    <w:pPr>
      <w:spacing w:before="200" w:after="900"/>
      <w:ind w:firstLine="0"/>
      <w:jc w:val="right"/>
    </w:pPr>
    <w:rPr>
      <w:i/>
      <w:iCs/>
      <w:sz w:val="24"/>
      <w:szCs w:val="24"/>
    </w:rPr>
  </w:style>
  <w:style w:type="character" w:customStyle="1" w:styleId="UntertitelZchn">
    <w:name w:val="Untertitel Zchn"/>
    <w:basedOn w:val="Absatz-Standardschriftart"/>
    <w:link w:val="Untertitel"/>
    <w:uiPriority w:val="11"/>
    <w:rsid w:val="005C3BDA"/>
    <w:rPr>
      <w:rFonts w:asciiTheme="minorHAnsi"/>
      <w:i/>
      <w:iCs/>
      <w:sz w:val="24"/>
      <w:szCs w:val="24"/>
    </w:rPr>
  </w:style>
  <w:style w:type="character" w:styleId="Fett">
    <w:name w:val="Strong"/>
    <w:basedOn w:val="Absatz-Standardschriftart"/>
    <w:uiPriority w:val="22"/>
    <w:qFormat/>
    <w:rsid w:val="005C3BDA"/>
    <w:rPr>
      <w:b/>
      <w:bCs/>
      <w:spacing w:val="0"/>
    </w:rPr>
  </w:style>
  <w:style w:type="character" w:styleId="Hervorhebung">
    <w:name w:val="Emphasis"/>
    <w:uiPriority w:val="20"/>
    <w:qFormat/>
    <w:rsid w:val="005C3BDA"/>
    <w:rPr>
      <w:b/>
      <w:bCs/>
      <w:i/>
      <w:iCs/>
      <w:color w:val="5A5A5A" w:themeColor="text1" w:themeTint="A5"/>
    </w:rPr>
  </w:style>
  <w:style w:type="paragraph" w:styleId="KeinLeerraum">
    <w:name w:val="No Spacing"/>
    <w:basedOn w:val="Standard"/>
    <w:link w:val="KeinLeerraumZchn"/>
    <w:uiPriority w:val="1"/>
    <w:qFormat/>
    <w:rsid w:val="005C3BDA"/>
    <w:pPr>
      <w:ind w:firstLine="0"/>
    </w:pPr>
  </w:style>
  <w:style w:type="character" w:customStyle="1" w:styleId="KeinLeerraumZchn">
    <w:name w:val="Kein Leerraum Zchn"/>
    <w:basedOn w:val="Absatz-Standardschriftart"/>
    <w:link w:val="KeinLeerraum"/>
    <w:uiPriority w:val="1"/>
    <w:rsid w:val="005C3BDA"/>
  </w:style>
  <w:style w:type="paragraph" w:styleId="Listenabsatz">
    <w:name w:val="List Paragraph"/>
    <w:basedOn w:val="Standard"/>
    <w:uiPriority w:val="34"/>
    <w:qFormat/>
    <w:rsid w:val="005C3BDA"/>
    <w:pPr>
      <w:ind w:left="720"/>
      <w:contextualSpacing/>
    </w:pPr>
  </w:style>
  <w:style w:type="paragraph" w:styleId="Anfhrungszeichen">
    <w:name w:val="Quote"/>
    <w:basedOn w:val="Standard"/>
    <w:next w:val="Standard"/>
    <w:link w:val="AnfhrungszeichenZchn"/>
    <w:uiPriority w:val="29"/>
    <w:qFormat/>
    <w:rsid w:val="005C3BDA"/>
    <w:rPr>
      <w:rFonts w:asciiTheme="majorHAnsi" w:eastAsiaTheme="majorEastAsia" w:hAnsiTheme="majorHAnsi" w:cstheme="majorBidi"/>
      <w:i/>
      <w:iCs/>
      <w:color w:val="5A5A5A" w:themeColor="text1" w:themeTint="A5"/>
    </w:rPr>
  </w:style>
  <w:style w:type="character" w:customStyle="1" w:styleId="AnfhrungszeichenZchn">
    <w:name w:val="Anführungszeichen Zchn"/>
    <w:basedOn w:val="Absatz-Standardschriftart"/>
    <w:link w:val="Anfhrungszeichen"/>
    <w:uiPriority w:val="29"/>
    <w:rsid w:val="005C3BDA"/>
    <w:rPr>
      <w:rFonts w:asciiTheme="majorHAnsi" w:eastAsiaTheme="majorEastAsia" w:hAnsiTheme="majorHAnsi" w:cstheme="majorBidi"/>
      <w:i/>
      <w:iCs/>
      <w:color w:val="5A5A5A" w:themeColor="text1" w:themeTint="A5"/>
    </w:rPr>
  </w:style>
  <w:style w:type="paragraph" w:styleId="IntensivesAnfhrungszeichen">
    <w:name w:val="Intense Quote"/>
    <w:basedOn w:val="Standard"/>
    <w:next w:val="Standard"/>
    <w:link w:val="IntensivesAnfhrungszeichenZchn"/>
    <w:uiPriority w:val="30"/>
    <w:qFormat/>
    <w:rsid w:val="005C3BDA"/>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ivesAnfhrungszeichenZchn">
    <w:name w:val="Intensives Anführungszeichen Zchn"/>
    <w:basedOn w:val="Absatz-Standardschriftart"/>
    <w:link w:val="IntensivesAnfhrungszeichen"/>
    <w:uiPriority w:val="30"/>
    <w:rsid w:val="005C3BDA"/>
    <w:rPr>
      <w:rFonts w:asciiTheme="majorHAnsi" w:eastAsiaTheme="majorEastAsia" w:hAnsiTheme="majorHAnsi" w:cstheme="majorBidi"/>
      <w:i/>
      <w:iCs/>
      <w:color w:val="FFFFFF" w:themeColor="background1"/>
      <w:sz w:val="24"/>
      <w:szCs w:val="24"/>
      <w:shd w:val="clear" w:color="auto" w:fill="4F81BD" w:themeFill="accent1"/>
    </w:rPr>
  </w:style>
  <w:style w:type="character" w:styleId="SchwacheHervorhebung">
    <w:name w:val="Subtle Emphasis"/>
    <w:uiPriority w:val="19"/>
    <w:qFormat/>
    <w:rsid w:val="005C3BDA"/>
    <w:rPr>
      <w:i/>
      <w:iCs/>
      <w:color w:val="5A5A5A" w:themeColor="text1" w:themeTint="A5"/>
    </w:rPr>
  </w:style>
  <w:style w:type="character" w:styleId="IntensiveHervorhebung">
    <w:name w:val="Intense Emphasis"/>
    <w:uiPriority w:val="21"/>
    <w:qFormat/>
    <w:rsid w:val="005C3BDA"/>
    <w:rPr>
      <w:b/>
      <w:bCs/>
      <w:i/>
      <w:iCs/>
      <w:color w:val="4F81BD" w:themeColor="accent1"/>
      <w:sz w:val="22"/>
      <w:szCs w:val="22"/>
    </w:rPr>
  </w:style>
  <w:style w:type="character" w:styleId="SchwacherVerweis">
    <w:name w:val="Subtle Reference"/>
    <w:uiPriority w:val="31"/>
    <w:qFormat/>
    <w:rsid w:val="005C3BDA"/>
    <w:rPr>
      <w:color w:val="auto"/>
      <w:u w:val="single" w:color="9BBB59" w:themeColor="accent3"/>
    </w:rPr>
  </w:style>
  <w:style w:type="character" w:styleId="IntensiverVerweis">
    <w:name w:val="Intense Reference"/>
    <w:basedOn w:val="Absatz-Standardschriftart"/>
    <w:uiPriority w:val="32"/>
    <w:qFormat/>
    <w:rsid w:val="005C3BDA"/>
    <w:rPr>
      <w:b/>
      <w:bCs/>
      <w:color w:val="76923C" w:themeColor="accent3" w:themeShade="BF"/>
      <w:u w:val="single" w:color="9BBB59" w:themeColor="accent3"/>
    </w:rPr>
  </w:style>
  <w:style w:type="character" w:styleId="Buchtitel">
    <w:name w:val="Book Title"/>
    <w:basedOn w:val="Absatz-Standardschriftart"/>
    <w:uiPriority w:val="33"/>
    <w:qFormat/>
    <w:rsid w:val="005C3BDA"/>
    <w:rPr>
      <w:rFonts w:asciiTheme="majorHAnsi" w:eastAsiaTheme="majorEastAsia" w:hAnsiTheme="majorHAnsi" w:cstheme="majorBidi"/>
      <w:b/>
      <w:bCs/>
      <w:i/>
      <w:iCs/>
      <w:color w:val="auto"/>
    </w:rPr>
  </w:style>
  <w:style w:type="paragraph" w:styleId="Inhaltsverzeichnisberschrift">
    <w:name w:val="TOC Heading"/>
    <w:basedOn w:val="berschrift1"/>
    <w:next w:val="Standard"/>
    <w:uiPriority w:val="39"/>
    <w:semiHidden/>
    <w:unhideWhenUsed/>
    <w:qFormat/>
    <w:rsid w:val="005C3BDA"/>
    <w:pPr>
      <w:outlineLvl w:val="9"/>
    </w:pPr>
  </w:style>
  <w:style w:type="table" w:styleId="Tabellengitternetz">
    <w:name w:val="Table Grid"/>
    <w:basedOn w:val="NormaleTabelle"/>
    <w:uiPriority w:val="59"/>
    <w:rsid w:val="005C3BD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BD06F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D06F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869</Words>
  <Characters>5476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Steffen Becker</dc:creator>
  <cp:keywords/>
  <dc:description/>
  <cp:lastModifiedBy>kelsaka</cp:lastModifiedBy>
  <cp:revision>19</cp:revision>
  <dcterms:created xsi:type="dcterms:W3CDTF">2009-12-10T13:39:00Z</dcterms:created>
  <dcterms:modified xsi:type="dcterms:W3CDTF">2009-12-13T12:13:00Z</dcterms:modified>
</cp:coreProperties>
</file>