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5394B" w:rsidRPr="00ED11A1" w:rsidRDefault="0085394B" w:rsidP="00A35877">
      <w:pPr>
        <w:pStyle w:val="Default"/>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E848C1">
        <w:rPr>
          <w:sz w:val="20"/>
        </w:rPr>
        <w:t>May</w:t>
      </w:r>
      <w:r w:rsidR="00A35877">
        <w:rPr>
          <w:sz w:val="20"/>
        </w:rPr>
        <w:t xml:space="preserve"> 2</w:t>
      </w:r>
      <w:r w:rsidR="00E848C1">
        <w:rPr>
          <w:sz w:val="20"/>
        </w:rPr>
        <w:t>5</w:t>
      </w:r>
      <w:r w:rsidR="00A803B8" w:rsidRPr="00ED11A1">
        <w:rPr>
          <w:sz w:val="20"/>
          <w:vertAlign w:val="superscript"/>
        </w:rPr>
        <w:t>th</w:t>
      </w:r>
      <w:r w:rsidR="00E4546F" w:rsidRPr="00ED11A1">
        <w:rPr>
          <w:sz w:val="20"/>
        </w:rPr>
        <w:t>, 201</w:t>
      </w:r>
      <w:r w:rsidR="0076798E" w:rsidRPr="00ED11A1">
        <w:rPr>
          <w:sz w:val="20"/>
        </w:rPr>
        <w:t>2</w:t>
      </w:r>
      <w:r w:rsidRPr="00ED11A1">
        <w:rPr>
          <w:sz w:val="20"/>
        </w:rPr>
        <w:t xml:space="preserve"> (the “Agreement”) between </w:t>
      </w:r>
      <w:r w:rsidR="00E848C1" w:rsidRPr="006258CD">
        <w:rPr>
          <w:sz w:val="22"/>
          <w:szCs w:val="22"/>
        </w:rPr>
        <w:t>M</w:t>
      </w:r>
      <w:r w:rsidR="00672673">
        <w:rPr>
          <w:sz w:val="22"/>
          <w:szCs w:val="22"/>
        </w:rPr>
        <w:t xml:space="preserve">ontek </w:t>
      </w:r>
      <w:r w:rsidR="00E848C1" w:rsidRPr="006258CD">
        <w:rPr>
          <w:sz w:val="22"/>
          <w:szCs w:val="22"/>
        </w:rPr>
        <w:t xml:space="preserve">Tech Services Pvt. Ltd. </w:t>
      </w:r>
      <w:r w:rsidRPr="00ED11A1">
        <w:rPr>
          <w:sz w:val="20"/>
        </w:rPr>
        <w:t>(“Contractor”),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E848C1">
        <w:rPr>
          <w:sz w:val="20"/>
        </w:rPr>
        <w:t>May</w:t>
      </w:r>
      <w:r w:rsidR="00A803B8" w:rsidRPr="00ED11A1">
        <w:rPr>
          <w:sz w:val="20"/>
        </w:rPr>
        <w:t xml:space="preserve"> </w:t>
      </w:r>
      <w:r w:rsidR="00A35877">
        <w:rPr>
          <w:sz w:val="20"/>
        </w:rPr>
        <w:t>2</w:t>
      </w:r>
      <w:r w:rsidR="00E848C1">
        <w:rPr>
          <w:sz w:val="20"/>
        </w:rPr>
        <w:t>8</w:t>
      </w:r>
      <w:r w:rsidR="0076798E" w:rsidRPr="00ED11A1">
        <w:rPr>
          <w:sz w:val="20"/>
          <w:vertAlign w:val="superscript"/>
        </w:rPr>
        <w:t>th</w:t>
      </w:r>
      <w:r w:rsidR="00F115F6" w:rsidRPr="00ED11A1">
        <w:rPr>
          <w:sz w:val="20"/>
        </w:rPr>
        <w:t>, 201</w:t>
      </w:r>
      <w:r w:rsidR="00EE3154" w:rsidRPr="00ED11A1">
        <w:rPr>
          <w:sz w:val="20"/>
        </w:rPr>
        <w:t>2</w:t>
      </w:r>
      <w:r w:rsidRPr="00ED11A1">
        <w:rPr>
          <w:sz w:val="20"/>
        </w:rPr>
        <w:t xml:space="preserve"> and shall continue until </w:t>
      </w:r>
      <w:r w:rsidR="0076798E" w:rsidRPr="00A35877">
        <w:rPr>
          <w:sz w:val="20"/>
          <w:highlight w:val="yellow"/>
        </w:rPr>
        <w:t>May</w:t>
      </w:r>
      <w:r w:rsidR="00A803B8" w:rsidRPr="00A35877">
        <w:rPr>
          <w:sz w:val="20"/>
          <w:highlight w:val="yellow"/>
        </w:rPr>
        <w:t xml:space="preserve"> </w:t>
      </w:r>
      <w:r w:rsidR="0076798E" w:rsidRPr="00A35877">
        <w:rPr>
          <w:sz w:val="20"/>
          <w:highlight w:val="yellow"/>
        </w:rPr>
        <w:t>11</w:t>
      </w:r>
      <w:r w:rsidR="00077A4F" w:rsidRPr="00A35877">
        <w:rPr>
          <w:sz w:val="20"/>
          <w:highlight w:val="yellow"/>
          <w:vertAlign w:val="superscript"/>
        </w:rPr>
        <w:t>th</w:t>
      </w:r>
      <w:r w:rsidR="00EE3154" w:rsidRPr="00A35877">
        <w:rPr>
          <w:sz w:val="20"/>
          <w:highlight w:val="yellow"/>
        </w:rPr>
        <w:t xml:space="preserve">, </w:t>
      </w:r>
      <w:r w:rsidR="00DC1EF3" w:rsidRPr="00A35877">
        <w:rPr>
          <w:sz w:val="20"/>
          <w:highlight w:val="yellow"/>
        </w:rPr>
        <w:t>201</w:t>
      </w:r>
      <w:r w:rsidR="004E39C2" w:rsidRPr="00A35877">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This assignment is “Unit 4 – MS CRM Dynamics 2011 development”. </w:t>
            </w:r>
          </w:p>
          <w:p w:rsidR="00427CA8" w:rsidRPr="00A35877" w:rsidRDefault="0079024A" w:rsidP="00F844BE">
            <w:pPr>
              <w:pStyle w:val="ListParagraph"/>
              <w:numPr>
                <w:ilvl w:val="0"/>
                <w:numId w:val="15"/>
              </w:numPr>
              <w:jc w:val="both"/>
              <w:rPr>
                <w:rFonts w:ascii="Times New Roman" w:hAnsi="Times New Roman"/>
                <w:highlight w:val="yellow"/>
              </w:rPr>
            </w:pPr>
            <w:r w:rsidRPr="00A35877">
              <w:rPr>
                <w:rFonts w:ascii="Times New Roman" w:hAnsi="Times New Roman"/>
                <w:szCs w:val="20"/>
                <w:highlight w:val="yellow"/>
              </w:rPr>
              <w:t xml:space="preserve">The scope of the engagement between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&amp; </w:t>
            </w:r>
            <w:r w:rsidR="00CA1662" w:rsidRPr="00A35877">
              <w:rPr>
                <w:rFonts w:ascii="Times New Roman" w:hAnsi="Times New Roman"/>
                <w:szCs w:val="20"/>
                <w:highlight w:val="yellow"/>
              </w:rPr>
              <w:t>Co</w:t>
            </w:r>
            <w:r w:rsidR="0038553D" w:rsidRPr="00A35877">
              <w:rPr>
                <w:rFonts w:ascii="Times New Roman" w:hAnsi="Times New Roman"/>
                <w:szCs w:val="20"/>
                <w:highlight w:val="yellow"/>
              </w:rPr>
              <w:t>ntractor</w:t>
            </w:r>
            <w:r w:rsidRPr="00A35877">
              <w:rPr>
                <w:rFonts w:ascii="Times New Roman" w:hAnsi="Times New Roman"/>
                <w:szCs w:val="20"/>
                <w:highlight w:val="yellow"/>
              </w:rPr>
              <w:t xml:space="preserve"> is to assist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in developing </w:t>
            </w:r>
            <w:r w:rsidR="00ED11A1" w:rsidRPr="00A35877">
              <w:rPr>
                <w:rFonts w:ascii="Times New Roman" w:hAnsi="Times New Roman"/>
                <w:szCs w:val="20"/>
                <w:highlight w:val="yellow"/>
              </w:rPr>
              <w:t>t</w:t>
            </w:r>
            <w:r w:rsidR="0018695F" w:rsidRPr="00A35877">
              <w:rPr>
                <w:rFonts w:ascii="Times New Roman" w:hAnsi="Times New Roman"/>
                <w:szCs w:val="20"/>
                <w:highlight w:val="yellow"/>
              </w:rPr>
              <w:t>he Company</w:t>
            </w:r>
            <w:r w:rsidR="00B31C38" w:rsidRPr="00A35877">
              <w:rPr>
                <w:rFonts w:ascii="Times New Roman" w:hAnsi="Times New Roman"/>
                <w:szCs w:val="20"/>
                <w:highlight w:val="yellow"/>
              </w:rPr>
              <w:t>’s</w:t>
            </w:r>
            <w:r w:rsidR="00CA1662" w:rsidRPr="00A35877">
              <w:rPr>
                <w:rFonts w:ascii="Times New Roman" w:hAnsi="Times New Roman"/>
                <w:szCs w:val="20"/>
                <w:highlight w:val="yellow"/>
              </w:rPr>
              <w:t xml:space="preserve"> client’s </w:t>
            </w:r>
            <w:r w:rsidRPr="00A35877">
              <w:rPr>
                <w:rFonts w:ascii="Times New Roman" w:hAnsi="Times New Roman"/>
                <w:szCs w:val="20"/>
                <w:highlight w:val="yellow"/>
              </w:rPr>
              <w:t>CRM Education solution in CRM 2011, working alongside the current CRM development team using Agile development methods</w:t>
            </w:r>
            <w:r w:rsidR="00BE7F86"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Rohit Iyer &amp; Priyank Jain (Contractor’s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 xml:space="preserve">esources) who are proficient with MS CRM Dynamics 2011 skills will work with Company’s Project Manager &amp; Company’s development team to understand functional &amp; technical requirements. Contractor’s Resources will report to Company’s Project Manager – </w:t>
            </w:r>
            <w:r w:rsidR="004032F4" w:rsidRPr="00A35877">
              <w:rPr>
                <w:rFonts w:ascii="Times New Roman" w:hAnsi="Times New Roman"/>
                <w:color w:val="000000" w:themeColor="text1"/>
                <w:sz w:val="20"/>
                <w:szCs w:val="20"/>
                <w:highlight w:val="yellow"/>
              </w:rPr>
              <w:t xml:space="preserve">Ravi Pinninty (Ravi) from onsite and </w:t>
            </w:r>
            <w:r w:rsidRPr="00A35877">
              <w:rPr>
                <w:rFonts w:ascii="Times New Roman" w:hAnsi="Times New Roman"/>
                <w:color w:val="000000" w:themeColor="text1"/>
                <w:sz w:val="20"/>
                <w:szCs w:val="20"/>
                <w:highlight w:val="yellow"/>
              </w:rPr>
              <w:t>Mahesh Patkar (“Mahesh”)</w:t>
            </w:r>
            <w:r w:rsidR="004032F4" w:rsidRPr="00A35877">
              <w:rPr>
                <w:rFonts w:ascii="Times New Roman" w:hAnsi="Times New Roman"/>
                <w:color w:val="000000" w:themeColor="text1"/>
                <w:sz w:val="20"/>
                <w:szCs w:val="20"/>
                <w:highlight w:val="yellow"/>
              </w:rPr>
              <w:t xml:space="preserve"> from offshore.</w:t>
            </w:r>
          </w:p>
          <w:p w:rsidR="00ED11A1" w:rsidRPr="00A35877" w:rsidRDefault="001A609D"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w:t>
            </w:r>
            <w:r w:rsidR="00ED11A1" w:rsidRPr="00A35877">
              <w:rPr>
                <w:rFonts w:ascii="Times New Roman" w:hAnsi="Times New Roman"/>
                <w:color w:val="000000" w:themeColor="text1"/>
                <w:sz w:val="20"/>
                <w:szCs w:val="20"/>
                <w:highlight w:val="yellow"/>
              </w:rPr>
              <w:t>esources would need to work from Company’s office in Pune during this assignment.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esources will be provided the environment and projects access in Company’s office in Pune. Company will provide the licenses needed as per the current code setup.</w:t>
            </w:r>
          </w:p>
          <w:p w:rsidR="00351EA5" w:rsidRPr="00A35877" w:rsidRDefault="00351EA5" w:rsidP="00F844BE">
            <w:pPr>
              <w:pStyle w:val="ListParagraph"/>
              <w:numPr>
                <w:ilvl w:val="0"/>
                <w:numId w:val="15"/>
              </w:numPr>
              <w:jc w:val="both"/>
              <w:rPr>
                <w:rFonts w:ascii="Times New Roman" w:hAnsi="Times New Roman"/>
                <w:highlight w:val="yellow"/>
              </w:rPr>
            </w:pPr>
            <w:r w:rsidRPr="00A35877">
              <w:rPr>
                <w:rFonts w:ascii="Times New Roman" w:hAnsi="Times New Roman"/>
                <w:bCs/>
                <w:szCs w:val="20"/>
                <w:highlight w:val="yellow"/>
              </w:rPr>
              <w:t>Co</w:t>
            </w:r>
            <w:r w:rsidR="0038553D" w:rsidRPr="00A35877">
              <w:rPr>
                <w:rFonts w:ascii="Times New Roman" w:hAnsi="Times New Roman"/>
                <w:bCs/>
                <w:szCs w:val="20"/>
                <w:highlight w:val="yellow"/>
              </w:rPr>
              <w:t>ntractor</w:t>
            </w:r>
            <w:r w:rsidR="006E2F2D" w:rsidRPr="00A35877">
              <w:rPr>
                <w:rFonts w:ascii="Times New Roman" w:hAnsi="Times New Roman"/>
                <w:bCs/>
                <w:szCs w:val="20"/>
                <w:highlight w:val="yellow"/>
              </w:rPr>
              <w:t>’s Resources</w:t>
            </w:r>
            <w:r w:rsidRPr="00A35877">
              <w:rPr>
                <w:rFonts w:ascii="Times New Roman" w:hAnsi="Times New Roman"/>
                <w:szCs w:val="20"/>
                <w:highlight w:val="yellow"/>
              </w:rPr>
              <w:t xml:space="preserve"> agrees to perform its services diligently and to use its best efforts to meet the needs and requirements of </w:t>
            </w:r>
            <w:r w:rsidR="0018695F" w:rsidRPr="00A35877">
              <w:rPr>
                <w:rFonts w:ascii="Times New Roman" w:hAnsi="Times New Roman"/>
                <w:bCs/>
                <w:szCs w:val="20"/>
                <w:highlight w:val="yellow"/>
              </w:rPr>
              <w:t>The Company</w:t>
            </w:r>
            <w:r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Contractor’s </w:t>
            </w:r>
            <w:r w:rsidR="006E2F2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w:t>
            </w:r>
            <w:r w:rsidR="006E2F2D" w:rsidRPr="00A35877">
              <w:rPr>
                <w:rFonts w:ascii="Times New Roman" w:hAnsi="Times New Roman"/>
                <w:color w:val="000000" w:themeColor="text1"/>
                <w:sz w:val="20"/>
                <w:szCs w:val="20"/>
                <w:highlight w:val="yellow"/>
              </w:rPr>
              <w:t>s</w:t>
            </w:r>
            <w:r w:rsidRPr="00A35877">
              <w:rPr>
                <w:rFonts w:ascii="Times New Roman" w:hAnsi="Times New Roman"/>
                <w:color w:val="000000" w:themeColor="text1"/>
                <w:sz w:val="20"/>
                <w:szCs w:val="20"/>
                <w:highlight w:val="yellow"/>
              </w:rPr>
              <w:t xml:space="preserve"> will participate in daily meetings and stand up calls for monitoring the project progress.</w:t>
            </w:r>
          </w:p>
          <w:p w:rsidR="00FE7107" w:rsidRPr="00A35877" w:rsidRDefault="00FE7107" w:rsidP="00F844BE">
            <w:pPr>
              <w:pStyle w:val="ListParagraph"/>
              <w:numPr>
                <w:ilvl w:val="0"/>
                <w:numId w:val="15"/>
              </w:numPr>
              <w:jc w:val="both"/>
              <w:rPr>
                <w:color w:val="000000" w:themeColor="text1"/>
                <w:highlight w:val="yellow"/>
              </w:rPr>
            </w:pPr>
            <w:r w:rsidRPr="00A35877">
              <w:rPr>
                <w:rFonts w:ascii="Times New Roman" w:hAnsi="Times New Roman"/>
                <w:color w:val="000000" w:themeColor="text1"/>
                <w:sz w:val="20"/>
                <w:szCs w:val="20"/>
                <w:highlight w:val="yellow"/>
              </w:rPr>
              <w:t>Contractor’s Resources will have to escalate any issues related to the activity to Company’s Project Manager in no more than 2 HRS if they will hamper the agreed timeline of the activity.</w:t>
            </w:r>
          </w:p>
          <w:p w:rsidR="00E778E1" w:rsidRPr="00A35877" w:rsidRDefault="00E778E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A35877" w:rsidRDefault="00FE7107" w:rsidP="00F844BE">
            <w:pPr>
              <w:pStyle w:val="ListParagraph"/>
              <w:numPr>
                <w:ilvl w:val="0"/>
                <w:numId w:val="8"/>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Contractor’s Resources will have to send regular status reports of the work completed against the activity assigned to them by Company’s Project Manager &amp; enter the hours spent in either FL EPM or PTS tool.</w:t>
            </w:r>
          </w:p>
          <w:p w:rsidR="00FE7107" w:rsidRPr="00A35877" w:rsidRDefault="00FE7107"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Resources will have to follow all the processes set by Project Manager which are also followed by rest of the team.</w:t>
            </w:r>
          </w:p>
          <w:p w:rsidR="006E2F2D" w:rsidRPr="00A35877" w:rsidRDefault="006E2F2D" w:rsidP="00F844BE">
            <w:pPr>
              <w:pStyle w:val="BodyText"/>
              <w:numPr>
                <w:ilvl w:val="0"/>
                <w:numId w:val="15"/>
              </w:numPr>
              <w:jc w:val="both"/>
              <w:rPr>
                <w:sz w:val="22"/>
                <w:szCs w:val="22"/>
                <w:highlight w:val="yellow"/>
              </w:rPr>
            </w:pPr>
            <w:r w:rsidRPr="00A35877">
              <w:rPr>
                <w:sz w:val="22"/>
                <w:szCs w:val="22"/>
                <w:highlight w:val="yellow"/>
              </w:rPr>
              <w:t>The essential coding standards, check list review mechanism, peer review etc is expected to be followed up by the Contractor to ensure quality code delivery.</w:t>
            </w:r>
          </w:p>
          <w:p w:rsidR="00B1767B" w:rsidRPr="00A35877" w:rsidRDefault="00B1767B" w:rsidP="00F844BE">
            <w:pPr>
              <w:pStyle w:val="ListParagraph"/>
              <w:numPr>
                <w:ilvl w:val="0"/>
                <w:numId w:val="15"/>
              </w:numPr>
              <w:jc w:val="both"/>
              <w:rPr>
                <w:rFonts w:ascii="Times New Roman" w:hAnsi="Times New Roman"/>
                <w:highlight w:val="yellow"/>
              </w:rPr>
            </w:pPr>
            <w:r w:rsidRPr="00A35877">
              <w:rPr>
                <w:rFonts w:ascii="Times New Roman" w:hAnsi="Times New Roman"/>
                <w:highlight w:val="yellow"/>
              </w:rPr>
              <w:t>Contractor will provide warranty for a period of 30 days from the date of project completion (Project Completion being the date when last Scrum code within the scope of this engagement is delivered by Contractor to Company or end of 13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A35877" w:rsidRDefault="00B1767B" w:rsidP="00F844BE">
            <w:pPr>
              <w:pStyle w:val="BodyText"/>
              <w:numPr>
                <w:ilvl w:val="0"/>
                <w:numId w:val="15"/>
              </w:numPr>
              <w:jc w:val="both"/>
              <w:rPr>
                <w:sz w:val="22"/>
                <w:szCs w:val="22"/>
                <w:highlight w:val="yellow"/>
              </w:rPr>
            </w:pPr>
            <w:r w:rsidRPr="00A35877">
              <w:rPr>
                <w:sz w:val="22"/>
                <w:szCs w:val="22"/>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F844BE">
            <w:pPr>
              <w:pStyle w:val="BodyText"/>
              <w:numPr>
                <w:ilvl w:val="0"/>
                <w:numId w:val="15"/>
              </w:numPr>
              <w:jc w:val="both"/>
              <w:rPr>
                <w:sz w:val="22"/>
                <w:szCs w:val="22"/>
              </w:rPr>
            </w:pPr>
            <w:r w:rsidRPr="00A35877">
              <w:rPr>
                <w:sz w:val="22"/>
                <w:szCs w:val="22"/>
                <w:highlight w:val="yellow"/>
              </w:rPr>
              <w:t>Contractor will provide crash course training to Contractor Resources on Agile / Sprints / Scrum &amp; JQuery.</w:t>
            </w:r>
            <w:bookmarkStart w:id="1" w:name="_GoBack"/>
            <w:bookmarkEnd w:id="1"/>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A35877"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Unit tested</w:t>
      </w:r>
      <w:r w:rsidR="00BE7F86" w:rsidRPr="00A35877">
        <w:rPr>
          <w:rFonts w:ascii="Times New Roman" w:hAnsi="Times New Roman"/>
          <w:color w:val="000000"/>
          <w:highlight w:val="yellow"/>
        </w:rPr>
        <w:t>, reviewed</w:t>
      </w:r>
      <w:r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C</w:t>
      </w:r>
      <w:r w:rsidRPr="00A35877">
        <w:rPr>
          <w:rFonts w:ascii="Times New Roman" w:hAnsi="Times New Roman"/>
          <w:color w:val="000000"/>
          <w:highlight w:val="yellow"/>
        </w:rPr>
        <w:t>ode to cover the requirements mentioned abov</w:t>
      </w:r>
      <w:r w:rsidR="00673F12" w:rsidRPr="00A35877">
        <w:rPr>
          <w:rFonts w:ascii="Times New Roman" w:hAnsi="Times New Roman"/>
          <w:color w:val="000000"/>
          <w:highlight w:val="yellow"/>
        </w:rPr>
        <w:t>e</w:t>
      </w:r>
      <w:r w:rsidR="00BE7F86" w:rsidRPr="00A35877">
        <w:rPr>
          <w:rFonts w:ascii="Times New Roman" w:hAnsi="Times New Roman"/>
          <w:color w:val="000000"/>
          <w:highlight w:val="yellow"/>
        </w:rPr>
        <w:t xml:space="preserve"> Or discussed during scrum calls. </w:t>
      </w:r>
      <w:r w:rsidR="00914673" w:rsidRPr="00A35877">
        <w:rPr>
          <w:rFonts w:ascii="Times New Roman" w:hAnsi="Times New Roman"/>
          <w:color w:val="000000"/>
          <w:highlight w:val="yellow"/>
        </w:rPr>
        <w:t>Unit Test results are mandatory.</w:t>
      </w:r>
    </w:p>
    <w:p w:rsidR="00583547" w:rsidRPr="00A35877"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Design document</w:t>
      </w:r>
      <w:r w:rsidR="006E2F2D"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 xml:space="preserve">(if any) </w:t>
      </w:r>
      <w:r w:rsidR="00583547" w:rsidRPr="00A35877">
        <w:rPr>
          <w:rFonts w:ascii="Times New Roman" w:hAnsi="Times New Roman"/>
          <w:color w:val="000000"/>
          <w:highlight w:val="yellow"/>
        </w:rPr>
        <w:t xml:space="preserve">describing changes </w:t>
      </w:r>
      <w:r w:rsidR="00631FA5" w:rsidRPr="00A35877">
        <w:rPr>
          <w:rFonts w:ascii="Times New Roman" w:hAnsi="Times New Roman"/>
          <w:color w:val="000000"/>
          <w:highlight w:val="yellow"/>
        </w:rPr>
        <w:t xml:space="preserve">done </w:t>
      </w:r>
      <w:r w:rsidR="00583547" w:rsidRPr="00A35877">
        <w:rPr>
          <w:rFonts w:ascii="Times New Roman" w:hAnsi="Times New Roman"/>
          <w:color w:val="000000"/>
          <w:highlight w:val="yellow"/>
        </w:rPr>
        <w:t>to the existing code.</w:t>
      </w:r>
      <w:r w:rsidR="00631FA5" w:rsidRPr="00A35877">
        <w:rPr>
          <w:rFonts w:ascii="Times New Roman" w:hAnsi="Times New Roman"/>
          <w:color w:val="000000"/>
          <w:highlight w:val="yellow"/>
        </w:rPr>
        <w:t xml:space="preserve"> This will be needed after the code development is completed.</w:t>
      </w:r>
      <w:r w:rsidR="00583547" w:rsidRPr="00A35877">
        <w:rPr>
          <w:rFonts w:ascii="Times New Roman" w:hAnsi="Times New Roman"/>
          <w:color w:val="000000"/>
          <w:highlight w:val="yellow"/>
        </w:rPr>
        <w:t xml:space="preserve"> This will need to be updated </w:t>
      </w:r>
      <w:r w:rsidR="00631FA5" w:rsidRPr="00A35877">
        <w:rPr>
          <w:rFonts w:ascii="Times New Roman" w:hAnsi="Times New Roman"/>
          <w:color w:val="000000"/>
          <w:highlight w:val="yellow"/>
        </w:rPr>
        <w:t>if there are any changes done as part of the bug fixing</w:t>
      </w:r>
      <w:r w:rsidR="00583547" w:rsidRPr="00A35877">
        <w:rPr>
          <w:rFonts w:ascii="Times New Roman" w:hAnsi="Times New Roman"/>
          <w:color w:val="000000"/>
          <w:highlight w:val="yellow"/>
        </w:rPr>
        <w:t xml:space="preserve">. </w:t>
      </w:r>
    </w:p>
    <w:p w:rsidR="00E4546F" w:rsidRPr="00A35877"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highlight w:val="yellow"/>
        </w:rPr>
        <w:t>Contractor’s Resources</w:t>
      </w:r>
      <w:r w:rsidR="00B23C8B" w:rsidRPr="00A35877">
        <w:rPr>
          <w:rFonts w:ascii="Times New Roman" w:hAnsi="Times New Roman"/>
          <w:color w:val="000000"/>
          <w:highlight w:val="yellow"/>
        </w:rPr>
        <w:t xml:space="preserve"> </w:t>
      </w:r>
      <w:r w:rsidR="00583547" w:rsidRPr="00A35877">
        <w:rPr>
          <w:rFonts w:ascii="Times New Roman" w:hAnsi="Times New Roman"/>
          <w:color w:val="000000"/>
          <w:highlight w:val="yellow"/>
        </w:rPr>
        <w:t>will need to complete handover formalities (docume</w:t>
      </w:r>
      <w:r w:rsidR="005F36D8" w:rsidRPr="00A35877">
        <w:rPr>
          <w:rFonts w:ascii="Times New Roman" w:hAnsi="Times New Roman"/>
          <w:color w:val="000000"/>
          <w:highlight w:val="yellow"/>
        </w:rPr>
        <w:t>ntation, code-walkthrough</w:t>
      </w:r>
      <w:r w:rsidR="00C5126A" w:rsidRPr="00A35877">
        <w:rPr>
          <w:rFonts w:ascii="Times New Roman" w:hAnsi="Times New Roman"/>
          <w:color w:val="000000"/>
          <w:highlight w:val="yellow"/>
        </w:rPr>
        <w:t>, code setup</w:t>
      </w:r>
      <w:r w:rsidR="00357F29" w:rsidRPr="00A35877">
        <w:rPr>
          <w:rFonts w:ascii="Times New Roman" w:hAnsi="Times New Roman"/>
          <w:color w:val="000000"/>
          <w:highlight w:val="yellow"/>
        </w:rPr>
        <w:t xml:space="preserve"> document</w:t>
      </w:r>
      <w:r w:rsidR="005F36D8" w:rsidRPr="00A35877">
        <w:rPr>
          <w:rFonts w:ascii="Times New Roman" w:hAnsi="Times New Roman"/>
          <w:color w:val="000000"/>
          <w:highlight w:val="yellow"/>
        </w:rPr>
        <w:t xml:space="preserve"> etc.)</w:t>
      </w:r>
      <w:r w:rsidR="009D31F0" w:rsidRPr="00A35877">
        <w:rPr>
          <w:rFonts w:ascii="Times New Roman" w:hAnsi="Times New Roman"/>
          <w:color w:val="000000"/>
          <w:highlight w:val="yellow"/>
        </w:rPr>
        <w:t xml:space="preserve"> on or before </w:t>
      </w:r>
      <w:r w:rsidR="00673F12" w:rsidRPr="00A35877">
        <w:rPr>
          <w:rFonts w:ascii="Times New Roman" w:hAnsi="Times New Roman"/>
          <w:color w:val="000000"/>
          <w:highlight w:val="yellow"/>
        </w:rPr>
        <w:t>release from project</w:t>
      </w:r>
      <w:r w:rsidR="00283CC7" w:rsidRPr="00A35877">
        <w:rPr>
          <w:rFonts w:ascii="Times New Roman" w:hAnsi="Times New Roman"/>
          <w:color w:val="00000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9F11F6" w:rsidRPr="00ED11A1" w:rsidRDefault="007847CE"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85394B" w:rsidRPr="00ED11A1" w:rsidRDefault="007847CE" w:rsidP="00F844BE">
      <w:pPr>
        <w:pStyle w:val="Heading1Text"/>
        <w:numPr>
          <w:ilvl w:val="0"/>
          <w:numId w:val="0"/>
        </w:numPr>
        <w:tabs>
          <w:tab w:val="clear" w:pos="360"/>
          <w:tab w:val="left" w:pos="1440"/>
        </w:tabs>
        <w:spacing w:before="0" w:after="0"/>
        <w:ind w:left="1440" w:hanging="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7847CE"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of work / services done by Contractor’s Resources</w:t>
            </w:r>
          </w:p>
          <w:p w:rsidR="00D64710" w:rsidRPr="00664C08"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 xml:space="preserve">Contractor will submit invoices for payment on a </w:t>
            </w:r>
            <w:r w:rsidR="00CE6F09" w:rsidRPr="00664C08">
              <w:rPr>
                <w:color w:val="000000" w:themeColor="text1"/>
                <w:sz w:val="20"/>
              </w:rPr>
              <w:t>monthly</w:t>
            </w:r>
            <w:r w:rsidRPr="00664C08">
              <w:rPr>
                <w:color w:val="000000" w:themeColor="text1"/>
                <w:sz w:val="20"/>
              </w:rPr>
              <w:t xml:space="preserve"> basis. Contractor’s invoice shall have attached a copy of the verified </w:t>
            </w:r>
            <w:r w:rsidR="00664C08">
              <w:rPr>
                <w:color w:val="000000" w:themeColor="text1"/>
                <w:sz w:val="20"/>
              </w:rPr>
              <w:t xml:space="preserve">&amp; approved </w:t>
            </w:r>
            <w:r w:rsidRPr="00664C08">
              <w:rPr>
                <w:color w:val="000000" w:themeColor="text1"/>
                <w:sz w:val="20"/>
              </w:rPr>
              <w:t>time sheets</w:t>
            </w:r>
            <w:r w:rsidR="00664C08">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Invoices can be submitted via Email to the Company / Company Representative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r w:rsidRPr="00D64710">
              <w:rPr>
                <w:color w:val="000000" w:themeColor="text1"/>
                <w:sz w:val="20"/>
              </w:rPr>
              <w:t>Invoices will include the following information:</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Name of Contractor’s Resources</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 xml:space="preserve">Appropriate </w:t>
            </w:r>
            <w:r w:rsidR="00664C08">
              <w:rPr>
                <w:color w:val="000000" w:themeColor="text1"/>
                <w:sz w:val="20"/>
              </w:rPr>
              <w:t>month</w:t>
            </w:r>
            <w:r w:rsidRPr="00D64710">
              <w:rPr>
                <w:color w:val="000000" w:themeColor="text1"/>
                <w:sz w:val="20"/>
              </w:rPr>
              <w:t xml:space="preserve"> indicated</w:t>
            </w:r>
          </w:p>
          <w:p w:rsid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Days worked during invoice period</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Amount Owed</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Company acknowledges that it will not approach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This </w:t>
      </w:r>
      <w:r w:rsidR="006E2F2D" w:rsidRPr="00A35877">
        <w:rPr>
          <w:rFonts w:ascii="Times New Roman" w:hAnsi="Times New Roman"/>
          <w:color w:val="000000"/>
          <w:sz w:val="20"/>
          <w:szCs w:val="20"/>
          <w:highlight w:val="yellow"/>
        </w:rPr>
        <w:t>SOW</w:t>
      </w:r>
      <w:r w:rsidRPr="00A35877">
        <w:rPr>
          <w:rFonts w:ascii="Times New Roman" w:hAnsi="Times New Roman"/>
          <w:color w:val="000000"/>
          <w:sz w:val="20"/>
          <w:szCs w:val="20"/>
          <w:highlight w:val="yellow"/>
        </w:rPr>
        <w:t xml:space="preserve"> may be terminated by The Company at any time by giving 2 weeks written notice to Contractor, or immediately for cause, including but not limited to a violation of one of the covenants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w:t>
      </w:r>
    </w:p>
    <w:p w:rsidR="00E778E1" w:rsidRPr="00A35877"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(except only those works or designs originated, conceived, wr</w:t>
      </w:r>
      <w:r w:rsidR="006E2F2D" w:rsidRPr="00A35877">
        <w:rPr>
          <w:rFonts w:ascii="Times New Roman" w:hAnsi="Times New Roman"/>
          <w:color w:val="000000"/>
          <w:sz w:val="20"/>
          <w:szCs w:val="20"/>
          <w:highlight w:val="yellow"/>
        </w:rPr>
        <w:t>itten or made by the Contractor’s Resources</w:t>
      </w:r>
      <w:r w:rsidRPr="00A35877">
        <w:rPr>
          <w:rFonts w:ascii="Times New Roman" w:hAnsi="Times New Roman"/>
          <w:color w:val="000000"/>
          <w:sz w:val="20"/>
          <w:szCs w:val="20"/>
          <w:highlight w:val="yellow"/>
        </w:rPr>
        <w:t xml:space="preserve"> wholly outside their working time which are wholly unconnected with their appointment) during the period of their appointment by the Client</w:t>
      </w:r>
      <w:r w:rsidR="00BB0FFF" w:rsidRPr="00A35877">
        <w:rPr>
          <w:rFonts w:ascii="Times New Roman" w:hAnsi="Times New Roman"/>
          <w:color w:val="000000"/>
          <w:sz w:val="20"/>
          <w:szCs w:val="20"/>
          <w:highlight w:val="yellow"/>
        </w:rPr>
        <w:t>.</w:t>
      </w:r>
    </w:p>
    <w:p w:rsidR="00833F06" w:rsidRPr="00A35877" w:rsidRDefault="00833F06">
      <w:pPr>
        <w:spacing w:after="200" w:line="276" w:lineRule="auto"/>
        <w:rPr>
          <w:sz w:val="20"/>
          <w:highlight w:val="yellow"/>
        </w:rPr>
      </w:pPr>
      <w:r w:rsidRPr="00A35877">
        <w:rPr>
          <w:sz w:val="20"/>
          <w:highlight w:val="yellow"/>
        </w:rPr>
        <w:br w:type="page"/>
      </w:r>
    </w:p>
    <w:p w:rsidR="00752651"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lastRenderedPageBreak/>
        <w:t xml:space="preserve">Contractor realizes Company may disclose to </w:t>
      </w:r>
      <w:r w:rsidR="006E2F2D" w:rsidRPr="00A35877">
        <w:rPr>
          <w:rFonts w:ascii="Times New Roman" w:hAnsi="Times New Roman"/>
          <w:color w:val="000000"/>
          <w:sz w:val="20"/>
          <w:szCs w:val="20"/>
          <w:highlight w:val="yellow"/>
        </w:rPr>
        <w:t>C</w:t>
      </w:r>
      <w:r w:rsidRPr="00A35877">
        <w:rPr>
          <w:rFonts w:ascii="Times New Roman" w:hAnsi="Times New Roman"/>
          <w:color w:val="000000"/>
          <w:sz w:val="20"/>
          <w:szCs w:val="20"/>
          <w:highlight w:val="yellow"/>
        </w:rPr>
        <w:t>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confidential information related to the business processes, apparatus, products, researches, research programs or any and all other information considered proprietary in nature. In consideration of the terms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Contractor agrees that any confidential information, including but not limited to, written embodiment thereof, is the property of Company and is to be held by Contractor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in trust solely for Company's benefit and shall not be used or disclosed to others either during or after termination of the agreement. </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including copies, note extracts, etc. of any kind are to be returned to Company</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knowledge transfer during such instances would be Contractor’s responsibility and no additional charge will be applicable against the same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resource is required to keep the Company project manager updated about any project related activity, leaves (atleast 2 weeks in advance in case of any planned leave)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Contractor Representative and Company/ Company Rep will have weekly touch point to review contractor resource performance, improvements, issues/challenges to ensure further benefit to project.</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bCs/>
          <w:highlight w:val="yellow"/>
        </w:rPr>
        <w:t>E</w:t>
      </w:r>
      <w:r w:rsidRPr="00A35877">
        <w:rPr>
          <w:rFonts w:ascii="Times New Roman" w:hAnsi="Times New Roman"/>
          <w:highlight w:val="yellow"/>
        </w:rPr>
        <w:t xml:space="preserve">ach party shall for the duration of this Statement Of Work comply with the provisions of the </w:t>
      </w:r>
      <w:r w:rsidR="00670D6F" w:rsidRPr="00A35877">
        <w:rPr>
          <w:rFonts w:ascii="Times New Roman" w:hAnsi="Times New Roman"/>
          <w:highlight w:val="yellow"/>
        </w:rPr>
        <w:t xml:space="preserve">UK </w:t>
      </w:r>
      <w:r w:rsidRPr="00A35877">
        <w:rPr>
          <w:rFonts w:ascii="Times New Roman" w:hAnsi="Times New Roman"/>
          <w:highlight w:val="yellow"/>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672673" w:rsidP="00672673">
            <w:pPr>
              <w:keepNext/>
              <w:keepLines/>
              <w:tabs>
                <w:tab w:val="left" w:pos="1530"/>
              </w:tabs>
              <w:spacing w:after="0"/>
              <w:jc w:val="both"/>
              <w:rPr>
                <w:sz w:val="20"/>
              </w:rPr>
            </w:pPr>
            <w:r>
              <w:rPr>
                <w:szCs w:val="22"/>
              </w:rPr>
              <w:t>Montek</w:t>
            </w:r>
            <w:r w:rsidR="00E848C1" w:rsidRPr="006258CD">
              <w:rPr>
                <w:szCs w:val="22"/>
              </w:rPr>
              <w:t xml:space="preserve"> Tech Services Pvt. Ltd.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Name: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E848C1">
            <w:pPr>
              <w:keepNext/>
              <w:keepLines/>
              <w:tabs>
                <w:tab w:val="left" w:pos="1530"/>
              </w:tabs>
              <w:spacing w:after="0"/>
              <w:jc w:val="both"/>
              <w:rPr>
                <w:sz w:val="20"/>
              </w:rPr>
            </w:pPr>
            <w:r w:rsidRPr="00ED11A1">
              <w:rPr>
                <w:sz w:val="20"/>
              </w:rPr>
              <w:t>Date:</w:t>
            </w:r>
            <w:r w:rsidR="005F36D8" w:rsidRPr="00ED11A1">
              <w:rPr>
                <w:sz w:val="20"/>
                <w:u w:val="single"/>
              </w:rPr>
              <w:t xml:space="preserve"> </w:t>
            </w:r>
            <w:r w:rsidR="00E848C1">
              <w:rPr>
                <w:sz w:val="20"/>
                <w:u w:val="single"/>
              </w:rPr>
              <w:t>25</w:t>
            </w:r>
            <w:r w:rsidR="00E848C1" w:rsidRPr="00E848C1">
              <w:rPr>
                <w:sz w:val="20"/>
                <w:u w:val="single"/>
                <w:vertAlign w:val="superscript"/>
              </w:rPr>
              <w:t>th</w:t>
            </w:r>
            <w:r w:rsidR="00E848C1">
              <w:rPr>
                <w:sz w:val="20"/>
                <w:u w:val="single"/>
              </w:rPr>
              <w:t xml:space="preserve"> May 2012</w:t>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Date:</w:t>
            </w:r>
            <w:r w:rsidR="00E848C1">
              <w:rPr>
                <w:sz w:val="20"/>
                <w:u w:val="single"/>
              </w:rPr>
              <w:t xml:space="preserve"> 25</w:t>
            </w:r>
            <w:r w:rsidR="00E848C1" w:rsidRPr="00E848C1">
              <w:rPr>
                <w:sz w:val="20"/>
                <w:u w:val="single"/>
                <w:vertAlign w:val="superscript"/>
              </w:rPr>
              <w:t>th</w:t>
            </w:r>
            <w:r w:rsidR="00E848C1">
              <w:rPr>
                <w:sz w:val="20"/>
                <w:u w:val="single"/>
              </w:rPr>
              <w:t xml:space="preserve"> May 2012</w:t>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B4" w:rsidRDefault="00446AB4">
      <w:pPr>
        <w:spacing w:after="0"/>
      </w:pPr>
      <w:r>
        <w:separator/>
      </w:r>
    </w:p>
  </w:endnote>
  <w:endnote w:type="continuationSeparator" w:id="0">
    <w:p w:rsidR="00446AB4" w:rsidRDefault="00446A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6A605A">
                <w:rPr>
                  <w:noProof/>
                </w:rPr>
                <w:t>1</w:t>
              </w:r>
            </w:fldSimple>
            <w:r>
              <w:t xml:space="preserve"> of </w:t>
            </w:r>
            <w:fldSimple w:instr=" NUMPAGES  ">
              <w:r w:rsidR="006A605A">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B4" w:rsidRDefault="00446AB4">
      <w:pPr>
        <w:spacing w:after="0"/>
      </w:pPr>
      <w:r>
        <w:separator/>
      </w:r>
    </w:p>
  </w:footnote>
  <w:footnote w:type="continuationSeparator" w:id="0">
    <w:p w:rsidR="00446AB4" w:rsidRDefault="00446A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A631A"/>
    <w:rsid w:val="002B7F27"/>
    <w:rsid w:val="002C48E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AB4"/>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64C08"/>
    <w:rsid w:val="00670D6F"/>
    <w:rsid w:val="00672673"/>
    <w:rsid w:val="00673F12"/>
    <w:rsid w:val="006A605A"/>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47CE"/>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A8C30-6C6F-4996-90D4-D35FA1DC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2012-05-25T09:09:00Z</dcterms:created>
  <dcterms:modified xsi:type="dcterms:W3CDTF">2012-05-25T09:09:00Z</dcterms:modified>
</cp:coreProperties>
</file>