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hd w:fill="ffffff" w:val="clear"/>
        <w:spacing w:after="80" w:before="360" w:lineRule="auto"/>
        <w:jc w:val="center"/>
        <w:rPr>
          <w:rFonts w:ascii="Georgia" w:cs="Georgia" w:eastAsia="Georgia" w:hAnsi="Georgia"/>
          <w:color w:val="351c75"/>
          <w:sz w:val="60"/>
          <w:szCs w:val="60"/>
          <w:u w:val="single"/>
        </w:rPr>
      </w:pPr>
      <w:bookmarkStart w:colFirst="0" w:colLast="0" w:name="_yiiqfgorosa" w:id="0"/>
      <w:bookmarkEnd w:id="0"/>
      <w:r w:rsidDel="00000000" w:rsidR="00000000" w:rsidRPr="00000000">
        <w:rPr>
          <w:rFonts w:ascii="Georgia" w:cs="Georgia" w:eastAsia="Georgia" w:hAnsi="Georgia"/>
          <w:color w:val="351c75"/>
          <w:sz w:val="60"/>
          <w:szCs w:val="60"/>
          <w:u w:val="single"/>
          <w:rtl w:val="0"/>
        </w:rPr>
        <w:t xml:space="preserve">Goods Receipt Journal Entry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03">
      <w:pPr>
        <w:shd w:fill="ffffff" w:val="clear"/>
        <w:spacing w:after="240" w:before="240" w:line="3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When goods are received but not yet paid for (purchased on credit), the journal entry to record the receipt of goods typically looks like this:</w:t>
      </w:r>
    </w:p>
    <w:p w:rsidR="00000000" w:rsidDel="00000000" w:rsidP="00000000" w:rsidRDefault="00000000" w:rsidRPr="00000000" w14:paraId="00000004">
      <w:pPr>
        <w:shd w:fill="ffffff" w:val="clear"/>
        <w:spacing w:after="240" w:before="240" w:line="36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Date</w:t>
      </w:r>
      <w:r w:rsidDel="00000000" w:rsidR="00000000" w:rsidRPr="00000000">
        <w:rPr>
          <w:rFonts w:ascii="Arial" w:cs="Arial" w:eastAsia="Arial" w:hAnsi="Arial"/>
          <w:color w:val="333333"/>
          <w:sz w:val="24"/>
          <w:szCs w:val="24"/>
          <w:rtl w:val="0"/>
        </w:rPr>
        <w:t xml:space="preserve">: [Date the goods were received]</w:t>
      </w:r>
    </w:p>
    <w:tbl>
      <w:tblPr>
        <w:tblStyle w:val="Table1"/>
        <w:tblW w:w="5355.0" w:type="dxa"/>
        <w:jc w:val="left"/>
        <w:tblBorders>
          <w:top w:color="bbbbbb" w:space="0" w:sz="6" w:val="dashed"/>
          <w:left w:color="bbbbbb" w:space="0" w:sz="6" w:val="dashed"/>
          <w:bottom w:color="bbbbbb" w:space="0" w:sz="6" w:val="dashed"/>
          <w:right w:color="bbbbbb" w:space="0" w:sz="6" w:val="dashed"/>
          <w:insideH w:color="bbbbbb" w:space="0" w:sz="6" w:val="dashed"/>
          <w:insideV w:color="bbbbbb" w:space="0" w:sz="6" w:val="dashed"/>
        </w:tblBorders>
        <w:tblLayout w:type="fixed"/>
        <w:tblLook w:val="0600"/>
      </w:tblPr>
      <w:tblGrid>
        <w:gridCol w:w="2540"/>
        <w:gridCol w:w="1355"/>
        <w:gridCol w:w="1460"/>
        <w:tblGridChange w:id="0">
          <w:tblGrid>
            <w:gridCol w:w="2540"/>
            <w:gridCol w:w="1355"/>
            <w:gridCol w:w="1460"/>
          </w:tblGrid>
        </w:tblGridChange>
      </w:tblGrid>
      <w:tr>
        <w:trPr>
          <w:cantSplit w:val="0"/>
          <w:trHeight w:val="545" w:hRule="atLeast"/>
          <w:tblHeader w:val="0"/>
        </w:trPr>
        <w:tc>
          <w:tcPr>
            <w:tcBorders>
              <w:top w:color="bbbbbb" w:space="0" w:sz="6" w:val="dashed"/>
              <w:left w:color="bbbbbb" w:space="0" w:sz="6" w:val="dashed"/>
              <w:bottom w:color="bbbbbb" w:space="0" w:sz="6" w:val="dashed"/>
              <w:right w:color="bbbbbb" w:space="0" w:sz="6" w:val="dashed"/>
            </w:tcBorders>
            <w:tcMar>
              <w:top w:w="100.0" w:type="dxa"/>
              <w:left w:w="100.0" w:type="dxa"/>
              <w:bottom w:w="100.0" w:type="dxa"/>
              <w:right w:w="100.0" w:type="dxa"/>
            </w:tcMar>
            <w:vAlign w:val="top"/>
          </w:tcPr>
          <w:p w:rsidR="00000000" w:rsidDel="00000000" w:rsidP="00000000" w:rsidRDefault="00000000" w:rsidRPr="00000000" w14:paraId="00000005">
            <w:pPr>
              <w:spacing w:line="360" w:lineRule="auto"/>
              <w:jc w:val="center"/>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Account Title</w:t>
            </w:r>
            <w:r w:rsidDel="00000000" w:rsidR="00000000" w:rsidRPr="00000000">
              <w:rPr>
                <w:rtl w:val="0"/>
              </w:rPr>
            </w:r>
          </w:p>
        </w:tc>
        <w:tc>
          <w:tcPr>
            <w:tcBorders>
              <w:top w:color="bbbbbb" w:space="0" w:sz="6" w:val="dashed"/>
              <w:left w:color="bbbbbb" w:space="0" w:sz="6" w:val="dashed"/>
              <w:bottom w:color="bbbbbb" w:space="0" w:sz="6" w:val="dashed"/>
              <w:right w:color="bbbbbb" w:space="0" w:sz="6" w:val="dashed"/>
            </w:tcBorders>
            <w:tcMar>
              <w:top w:w="100.0" w:type="dxa"/>
              <w:left w:w="100.0" w:type="dxa"/>
              <w:bottom w:w="100.0" w:type="dxa"/>
              <w:right w:w="100.0" w:type="dxa"/>
            </w:tcMar>
            <w:vAlign w:val="top"/>
          </w:tcPr>
          <w:p w:rsidR="00000000" w:rsidDel="00000000" w:rsidP="00000000" w:rsidRDefault="00000000" w:rsidRPr="00000000" w14:paraId="00000006">
            <w:pPr>
              <w:spacing w:line="360" w:lineRule="auto"/>
              <w:jc w:val="center"/>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Debit ($)</w:t>
            </w:r>
            <w:r w:rsidDel="00000000" w:rsidR="00000000" w:rsidRPr="00000000">
              <w:rPr>
                <w:rtl w:val="0"/>
              </w:rPr>
            </w:r>
          </w:p>
        </w:tc>
        <w:tc>
          <w:tcPr>
            <w:tcBorders>
              <w:top w:color="bbbbbb" w:space="0" w:sz="6" w:val="dashed"/>
              <w:left w:color="bbbbbb" w:space="0" w:sz="6" w:val="dashed"/>
              <w:bottom w:color="bbbbbb" w:space="0" w:sz="6" w:val="dashed"/>
              <w:right w:color="bbbbbb" w:space="0" w:sz="6" w:val="dashed"/>
            </w:tcBorders>
            <w:tcMar>
              <w:top w:w="100.0" w:type="dxa"/>
              <w:left w:w="100.0" w:type="dxa"/>
              <w:bottom w:w="100.0" w:type="dxa"/>
              <w:right w:w="100.0" w:type="dxa"/>
            </w:tcMar>
            <w:vAlign w:val="top"/>
          </w:tcPr>
          <w:p w:rsidR="00000000" w:rsidDel="00000000" w:rsidP="00000000" w:rsidRDefault="00000000" w:rsidRPr="00000000" w14:paraId="00000007">
            <w:pPr>
              <w:spacing w:line="360" w:lineRule="auto"/>
              <w:jc w:val="center"/>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Credit ($)</w:t>
            </w:r>
            <w:r w:rsidDel="00000000" w:rsidR="00000000" w:rsidRPr="00000000">
              <w:rPr>
                <w:rtl w:val="0"/>
              </w:rPr>
            </w:r>
          </w:p>
        </w:tc>
      </w:tr>
      <w:tr>
        <w:trPr>
          <w:cantSplit w:val="0"/>
          <w:trHeight w:val="545" w:hRule="atLeast"/>
          <w:tblHeader w:val="0"/>
        </w:trPr>
        <w:tc>
          <w:tcPr>
            <w:tcBorders>
              <w:top w:color="bbbbbb" w:space="0" w:sz="6" w:val="dashed"/>
              <w:left w:color="bbbbbb" w:space="0" w:sz="6" w:val="dashed"/>
              <w:bottom w:color="bbbbbb" w:space="0" w:sz="6" w:val="dashed"/>
              <w:right w:color="bbbbbb" w:space="0" w:sz="6" w:val="dashed"/>
            </w:tcBorders>
            <w:tcMar>
              <w:top w:w="100.0" w:type="dxa"/>
              <w:left w:w="100.0" w:type="dxa"/>
              <w:bottom w:w="100.0" w:type="dxa"/>
              <w:right w:w="100.0" w:type="dxa"/>
            </w:tcMar>
            <w:vAlign w:val="top"/>
          </w:tcPr>
          <w:p w:rsidR="00000000" w:rsidDel="00000000" w:rsidP="00000000" w:rsidRDefault="00000000" w:rsidRPr="00000000" w14:paraId="00000008">
            <w:pPr>
              <w:spacing w:line="3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Inventory or Expense</w:t>
            </w:r>
          </w:p>
        </w:tc>
        <w:tc>
          <w:tcPr>
            <w:tcBorders>
              <w:top w:color="bbbbbb" w:space="0" w:sz="6" w:val="dashed"/>
              <w:left w:color="bbbbbb" w:space="0" w:sz="6" w:val="dashed"/>
              <w:bottom w:color="bbbbbb" w:space="0" w:sz="6" w:val="dashed"/>
              <w:right w:color="bbbbbb" w:space="0" w:sz="6" w:val="dashed"/>
            </w:tcBorders>
            <w:tcMar>
              <w:top w:w="100.0" w:type="dxa"/>
              <w:left w:w="100.0" w:type="dxa"/>
              <w:bottom w:w="100.0" w:type="dxa"/>
              <w:right w:w="100.0" w:type="dxa"/>
            </w:tcMar>
            <w:vAlign w:val="top"/>
          </w:tcPr>
          <w:p w:rsidR="00000000" w:rsidDel="00000000" w:rsidP="00000000" w:rsidRDefault="00000000" w:rsidRPr="00000000" w14:paraId="00000009">
            <w:pPr>
              <w:spacing w:line="3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360" w:lineRule="auto"/>
              <w:rPr>
                <w:rFonts w:ascii="Arial" w:cs="Arial" w:eastAsia="Arial" w:hAnsi="Arial"/>
                <w:color w:val="333333"/>
                <w:sz w:val="24"/>
                <w:szCs w:val="24"/>
              </w:rPr>
            </w:pPr>
            <w:r w:rsidDel="00000000" w:rsidR="00000000" w:rsidRPr="00000000">
              <w:rPr>
                <w:rtl w:val="0"/>
              </w:rPr>
            </w:r>
          </w:p>
        </w:tc>
      </w:tr>
      <w:tr>
        <w:trPr>
          <w:cantSplit w:val="0"/>
          <w:trHeight w:val="545" w:hRule="atLeast"/>
          <w:tblHeader w:val="0"/>
        </w:trPr>
        <w:tc>
          <w:tcPr>
            <w:tcBorders>
              <w:top w:color="bbbbbb" w:space="0" w:sz="6" w:val="dashed"/>
              <w:left w:color="bbbbbb" w:space="0" w:sz="6" w:val="dashed"/>
              <w:bottom w:color="bbbbbb" w:space="0" w:sz="6" w:val="dashed"/>
              <w:right w:color="bbbbbb" w:space="0" w:sz="6" w:val="dashed"/>
            </w:tcBorders>
            <w:tcMar>
              <w:top w:w="100.0" w:type="dxa"/>
              <w:left w:w="100.0" w:type="dxa"/>
              <w:bottom w:w="100.0" w:type="dxa"/>
              <w:right w:w="100.0" w:type="dxa"/>
            </w:tcMar>
            <w:vAlign w:val="top"/>
          </w:tcPr>
          <w:p w:rsidR="00000000" w:rsidDel="00000000" w:rsidP="00000000" w:rsidRDefault="00000000" w:rsidRPr="00000000" w14:paraId="0000000B">
            <w:pPr>
              <w:spacing w:line="3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Accounts Payable</w:t>
            </w:r>
          </w:p>
        </w:tc>
        <w:tc>
          <w:tcPr>
            <w:tcBorders>
              <w:top w:color="bbbbbb" w:space="0" w:sz="6" w:val="dashed"/>
              <w:left w:color="bbbbbb" w:space="0" w:sz="6" w:val="dashed"/>
              <w:bottom w:color="bbbbbb" w:space="0" w:sz="6" w:val="dashed"/>
              <w:right w:color="bbbbbb" w:space="0" w:sz="6" w:val="dashed"/>
            </w:tcBorders>
            <w:tcMar>
              <w:top w:w="100.0" w:type="dxa"/>
              <w:left w:w="100.0" w:type="dxa"/>
              <w:bottom w:w="100.0" w:type="dxa"/>
              <w:right w:w="100.0" w:type="dxa"/>
            </w:tcMar>
            <w:vAlign w:val="top"/>
          </w:tcPr>
          <w:p w:rsidR="00000000" w:rsidDel="00000000" w:rsidP="00000000" w:rsidRDefault="00000000" w:rsidRPr="00000000" w14:paraId="0000000C">
            <w:pPr>
              <w:spacing w:line="3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360" w:lineRule="auto"/>
              <w:rPr>
                <w:rFonts w:ascii="Arial" w:cs="Arial" w:eastAsia="Arial" w:hAnsi="Arial"/>
                <w:color w:val="333333"/>
                <w:sz w:val="24"/>
                <w:szCs w:val="24"/>
              </w:rPr>
            </w:pPr>
            <w:r w:rsidDel="00000000" w:rsidR="00000000" w:rsidRPr="00000000">
              <w:rPr>
                <w:rtl w:val="0"/>
              </w:rPr>
            </w:r>
          </w:p>
        </w:tc>
      </w:tr>
    </w:tbl>
    <w:p w:rsidR="00000000" w:rsidDel="00000000" w:rsidP="00000000" w:rsidRDefault="00000000" w:rsidRPr="00000000" w14:paraId="0000000E">
      <w:pPr>
        <w:shd w:fill="ffffff" w:val="clear"/>
        <w:spacing w:after="240" w:before="240" w:line="36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Explanation</w:t>
      </w:r>
      <w:r w:rsidDel="00000000" w:rsidR="00000000" w:rsidRPr="00000000">
        <w:rPr>
          <w:rFonts w:ascii="Arial" w:cs="Arial" w:eastAsia="Arial" w:hAnsi="Arial"/>
          <w:color w:val="333333"/>
          <w:sz w:val="24"/>
          <w:szCs w:val="24"/>
          <w:rtl w:val="0"/>
        </w:rPr>
        <w:t xml:space="preserve">:</w:t>
      </w:r>
    </w:p>
    <w:p w:rsidR="00000000" w:rsidDel="00000000" w:rsidP="00000000" w:rsidRDefault="00000000" w:rsidRPr="00000000" w14:paraId="0000000F">
      <w:pPr>
        <w:numPr>
          <w:ilvl w:val="0"/>
          <w:numId w:val="1"/>
        </w:numPr>
        <w:shd w:fill="ffffff" w:val="clear"/>
        <w:spacing w:after="0" w:afterAutospacing="0" w:before="240" w:line="360" w:lineRule="auto"/>
        <w:ind w:left="720" w:hanging="360"/>
        <w:rPr/>
      </w:pPr>
      <w:r w:rsidDel="00000000" w:rsidR="00000000" w:rsidRPr="00000000">
        <w:rPr>
          <w:rFonts w:ascii="Arial" w:cs="Arial" w:eastAsia="Arial" w:hAnsi="Arial"/>
          <w:b w:val="1"/>
          <w:color w:val="333333"/>
          <w:sz w:val="24"/>
          <w:szCs w:val="24"/>
          <w:rtl w:val="0"/>
        </w:rPr>
        <w:t xml:space="preserve">Inventory or Expense</w:t>
      </w:r>
      <w:r w:rsidDel="00000000" w:rsidR="00000000" w:rsidRPr="00000000">
        <w:rPr>
          <w:rFonts w:ascii="Arial" w:cs="Arial" w:eastAsia="Arial" w:hAnsi="Arial"/>
          <w:color w:val="333333"/>
          <w:sz w:val="24"/>
          <w:szCs w:val="24"/>
          <w:rtl w:val="0"/>
        </w:rPr>
        <w:t xml:space="preserve">: If the purchase is for goods that will be resold, it is debited to the Inventory account. If the purchase is for goods or services used as supplies or for operational purposes, it is debited to the appropriate Expense account.</w:t>
      </w:r>
    </w:p>
    <w:p w:rsidR="00000000" w:rsidDel="00000000" w:rsidP="00000000" w:rsidRDefault="00000000" w:rsidRPr="00000000" w14:paraId="00000010">
      <w:pPr>
        <w:numPr>
          <w:ilvl w:val="0"/>
          <w:numId w:val="1"/>
        </w:numPr>
        <w:shd w:fill="ffffff" w:val="clear"/>
        <w:spacing w:after="240" w:before="0" w:beforeAutospacing="0" w:line="360" w:lineRule="auto"/>
        <w:ind w:left="720" w:hanging="360"/>
        <w:rPr/>
      </w:pPr>
      <w:r w:rsidDel="00000000" w:rsidR="00000000" w:rsidRPr="00000000">
        <w:rPr>
          <w:rFonts w:ascii="Arial" w:cs="Arial" w:eastAsia="Arial" w:hAnsi="Arial"/>
          <w:b w:val="1"/>
          <w:color w:val="333333"/>
          <w:sz w:val="24"/>
          <w:szCs w:val="24"/>
          <w:rtl w:val="0"/>
        </w:rPr>
        <w:t xml:space="preserve">Accounts Payable</w:t>
      </w:r>
      <w:r w:rsidDel="00000000" w:rsidR="00000000" w:rsidRPr="00000000">
        <w:rPr>
          <w:rFonts w:ascii="Arial" w:cs="Arial" w:eastAsia="Arial" w:hAnsi="Arial"/>
          <w:color w:val="333333"/>
          <w:sz w:val="24"/>
          <w:szCs w:val="24"/>
          <w:rtl w:val="0"/>
        </w:rPr>
        <w:t xml:space="preserve">: Represents the credit entry, indicating the company's obligation to pay the supplier in the future.</w:t>
      </w:r>
    </w:p>
    <w:p w:rsidR="00000000" w:rsidDel="00000000" w:rsidP="00000000" w:rsidRDefault="00000000" w:rsidRPr="00000000" w14:paraId="00000011">
      <w:pPr>
        <w:pStyle w:val="Heading3"/>
        <w:shd w:fill="ffffff" w:val="clear"/>
        <w:spacing w:after="80" w:before="280" w:line="360" w:lineRule="auto"/>
        <w:rPr>
          <w:rFonts w:ascii="Arial" w:cs="Arial" w:eastAsia="Arial" w:hAnsi="Arial"/>
          <w:b w:val="1"/>
          <w:color w:val="333333"/>
          <w:sz w:val="24"/>
          <w:szCs w:val="24"/>
        </w:rPr>
      </w:pPr>
      <w:bookmarkStart w:colFirst="0" w:colLast="0" w:name="_bduvw2614kll" w:id="1"/>
      <w:bookmarkEnd w:id="1"/>
      <w:r w:rsidDel="00000000" w:rsidR="00000000" w:rsidRPr="00000000">
        <w:rPr>
          <w:rFonts w:ascii="Arial" w:cs="Arial" w:eastAsia="Arial" w:hAnsi="Arial"/>
          <w:b w:val="1"/>
          <w:color w:val="333333"/>
          <w:sz w:val="24"/>
          <w:szCs w:val="24"/>
          <w:rtl w:val="0"/>
        </w:rPr>
        <w:t xml:space="preserve">Example Journal Entry</w:t>
      </w:r>
    </w:p>
    <w:p w:rsidR="00000000" w:rsidDel="00000000" w:rsidP="00000000" w:rsidRDefault="00000000" w:rsidRPr="00000000" w14:paraId="00000012">
      <w:pPr>
        <w:shd w:fill="ffffff" w:val="clear"/>
        <w:spacing w:after="240" w:before="240" w:line="3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Suppose a company receives $3,000 worth of inventory on credit from a supplier on March 15, 2023. The journal entry to record this transaction would be:</w:t>
      </w:r>
    </w:p>
    <w:p w:rsidR="00000000" w:rsidDel="00000000" w:rsidP="00000000" w:rsidRDefault="00000000" w:rsidRPr="00000000" w14:paraId="00000013">
      <w:pPr>
        <w:shd w:fill="ffffff" w:val="clear"/>
        <w:spacing w:after="240" w:before="240" w:line="36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Date</w:t>
      </w:r>
      <w:r w:rsidDel="00000000" w:rsidR="00000000" w:rsidRPr="00000000">
        <w:rPr>
          <w:rFonts w:ascii="Arial" w:cs="Arial" w:eastAsia="Arial" w:hAnsi="Arial"/>
          <w:color w:val="333333"/>
          <w:sz w:val="24"/>
          <w:szCs w:val="24"/>
          <w:rtl w:val="0"/>
        </w:rPr>
        <w:t xml:space="preserve">: March 15, 2023</w:t>
      </w:r>
    </w:p>
    <w:tbl>
      <w:tblPr>
        <w:tblStyle w:val="Table2"/>
        <w:tblW w:w="4935.0" w:type="dxa"/>
        <w:jc w:val="left"/>
        <w:tblBorders>
          <w:top w:color="bbbbbb" w:space="0" w:sz="6" w:val="dashed"/>
          <w:left w:color="bbbbbb" w:space="0" w:sz="6" w:val="dashed"/>
          <w:bottom w:color="bbbbbb" w:space="0" w:sz="6" w:val="dashed"/>
          <w:right w:color="bbbbbb" w:space="0" w:sz="6" w:val="dashed"/>
          <w:insideH w:color="bbbbbb" w:space="0" w:sz="6" w:val="dashed"/>
          <w:insideV w:color="bbbbbb" w:space="0" w:sz="6" w:val="dashed"/>
        </w:tblBorders>
        <w:tblLayout w:type="fixed"/>
        <w:tblLook w:val="0600"/>
      </w:tblPr>
      <w:tblGrid>
        <w:gridCol w:w="2120"/>
        <w:gridCol w:w="1355"/>
        <w:gridCol w:w="1460"/>
        <w:tblGridChange w:id="0">
          <w:tblGrid>
            <w:gridCol w:w="2120"/>
            <w:gridCol w:w="1355"/>
            <w:gridCol w:w="1460"/>
          </w:tblGrid>
        </w:tblGridChange>
      </w:tblGrid>
      <w:tr>
        <w:trPr>
          <w:cantSplit w:val="0"/>
          <w:trHeight w:val="545" w:hRule="atLeast"/>
          <w:tblHeader w:val="0"/>
        </w:trPr>
        <w:tc>
          <w:tcPr>
            <w:tcBorders>
              <w:top w:color="bbbbbb" w:space="0" w:sz="6" w:val="dashed"/>
              <w:left w:color="bbbbbb" w:space="0" w:sz="6" w:val="dashed"/>
              <w:bottom w:color="bbbbbb" w:space="0" w:sz="6" w:val="dashed"/>
              <w:right w:color="bbbbbb" w:space="0" w:sz="6" w:val="dashed"/>
            </w:tcBorders>
            <w:tcMar>
              <w:top w:w="100.0" w:type="dxa"/>
              <w:left w:w="100.0" w:type="dxa"/>
              <w:bottom w:w="100.0" w:type="dxa"/>
              <w:right w:w="100.0" w:type="dxa"/>
            </w:tcMar>
            <w:vAlign w:val="top"/>
          </w:tcPr>
          <w:p w:rsidR="00000000" w:rsidDel="00000000" w:rsidP="00000000" w:rsidRDefault="00000000" w:rsidRPr="00000000" w14:paraId="00000014">
            <w:pPr>
              <w:spacing w:line="360" w:lineRule="auto"/>
              <w:jc w:val="center"/>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Account Title</w:t>
            </w:r>
            <w:r w:rsidDel="00000000" w:rsidR="00000000" w:rsidRPr="00000000">
              <w:rPr>
                <w:rtl w:val="0"/>
              </w:rPr>
            </w:r>
          </w:p>
        </w:tc>
        <w:tc>
          <w:tcPr>
            <w:tcBorders>
              <w:top w:color="bbbbbb" w:space="0" w:sz="6" w:val="dashed"/>
              <w:left w:color="bbbbbb" w:space="0" w:sz="6" w:val="dashed"/>
              <w:bottom w:color="bbbbbb" w:space="0" w:sz="6" w:val="dashed"/>
              <w:right w:color="bbbbbb" w:space="0" w:sz="6" w:val="dashed"/>
            </w:tcBorders>
            <w:tcMar>
              <w:top w:w="100.0" w:type="dxa"/>
              <w:left w:w="100.0" w:type="dxa"/>
              <w:bottom w:w="100.0" w:type="dxa"/>
              <w:right w:w="100.0" w:type="dxa"/>
            </w:tcMar>
            <w:vAlign w:val="top"/>
          </w:tcPr>
          <w:p w:rsidR="00000000" w:rsidDel="00000000" w:rsidP="00000000" w:rsidRDefault="00000000" w:rsidRPr="00000000" w14:paraId="00000015">
            <w:pPr>
              <w:spacing w:line="360" w:lineRule="auto"/>
              <w:jc w:val="center"/>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Debit ($)</w:t>
            </w:r>
            <w:r w:rsidDel="00000000" w:rsidR="00000000" w:rsidRPr="00000000">
              <w:rPr>
                <w:rtl w:val="0"/>
              </w:rPr>
            </w:r>
          </w:p>
        </w:tc>
        <w:tc>
          <w:tcPr>
            <w:tcBorders>
              <w:top w:color="bbbbbb" w:space="0" w:sz="6" w:val="dashed"/>
              <w:left w:color="bbbbbb" w:space="0" w:sz="6" w:val="dashed"/>
              <w:bottom w:color="bbbbbb" w:space="0" w:sz="6" w:val="dashed"/>
              <w:right w:color="bbbbbb" w:space="0" w:sz="6" w:val="dashed"/>
            </w:tcBorders>
            <w:tcMar>
              <w:top w:w="100.0" w:type="dxa"/>
              <w:left w:w="100.0" w:type="dxa"/>
              <w:bottom w:w="100.0" w:type="dxa"/>
              <w:right w:w="100.0" w:type="dxa"/>
            </w:tcMar>
            <w:vAlign w:val="top"/>
          </w:tcPr>
          <w:p w:rsidR="00000000" w:rsidDel="00000000" w:rsidP="00000000" w:rsidRDefault="00000000" w:rsidRPr="00000000" w14:paraId="00000016">
            <w:pPr>
              <w:spacing w:line="360" w:lineRule="auto"/>
              <w:jc w:val="center"/>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Credit ($)</w:t>
            </w:r>
            <w:r w:rsidDel="00000000" w:rsidR="00000000" w:rsidRPr="00000000">
              <w:rPr>
                <w:rtl w:val="0"/>
              </w:rPr>
            </w:r>
          </w:p>
        </w:tc>
      </w:tr>
      <w:tr>
        <w:trPr>
          <w:cantSplit w:val="0"/>
          <w:trHeight w:val="545" w:hRule="atLeast"/>
          <w:tblHeader w:val="0"/>
        </w:trPr>
        <w:tc>
          <w:tcPr>
            <w:tcBorders>
              <w:top w:color="bbbbbb" w:space="0" w:sz="6" w:val="dashed"/>
              <w:left w:color="bbbbbb" w:space="0" w:sz="6" w:val="dashed"/>
              <w:bottom w:color="bbbbbb" w:space="0" w:sz="6" w:val="dashed"/>
              <w:right w:color="bbbbbb" w:space="0" w:sz="6" w:val="dashed"/>
            </w:tcBorders>
            <w:tcMar>
              <w:top w:w="100.0" w:type="dxa"/>
              <w:left w:w="100.0" w:type="dxa"/>
              <w:bottom w:w="100.0" w:type="dxa"/>
              <w:right w:w="100.0" w:type="dxa"/>
            </w:tcMar>
            <w:vAlign w:val="top"/>
          </w:tcPr>
          <w:p w:rsidR="00000000" w:rsidDel="00000000" w:rsidP="00000000" w:rsidRDefault="00000000" w:rsidRPr="00000000" w14:paraId="00000017">
            <w:pPr>
              <w:spacing w:line="3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Inventory</w:t>
            </w:r>
          </w:p>
        </w:tc>
        <w:tc>
          <w:tcPr>
            <w:tcBorders>
              <w:top w:color="bbbbbb" w:space="0" w:sz="6" w:val="dashed"/>
              <w:left w:color="bbbbbb" w:space="0" w:sz="6" w:val="dashed"/>
              <w:bottom w:color="bbbbbb" w:space="0" w:sz="6" w:val="dashed"/>
              <w:right w:color="bbbbbb" w:space="0" w:sz="6" w:val="dashed"/>
            </w:tcBorders>
            <w:tcMar>
              <w:top w:w="100.0" w:type="dxa"/>
              <w:left w:w="100.0" w:type="dxa"/>
              <w:bottom w:w="100.0" w:type="dxa"/>
              <w:right w:w="100.0" w:type="dxa"/>
            </w:tcMar>
            <w:vAlign w:val="top"/>
          </w:tcPr>
          <w:p w:rsidR="00000000" w:rsidDel="00000000" w:rsidP="00000000" w:rsidRDefault="00000000" w:rsidRPr="00000000" w14:paraId="00000018">
            <w:pPr>
              <w:spacing w:line="3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360" w:lineRule="auto"/>
              <w:rPr>
                <w:rFonts w:ascii="Arial" w:cs="Arial" w:eastAsia="Arial" w:hAnsi="Arial"/>
                <w:color w:val="333333"/>
                <w:sz w:val="24"/>
                <w:szCs w:val="24"/>
              </w:rPr>
            </w:pPr>
            <w:r w:rsidDel="00000000" w:rsidR="00000000" w:rsidRPr="00000000">
              <w:rPr>
                <w:rtl w:val="0"/>
              </w:rPr>
            </w:r>
          </w:p>
        </w:tc>
      </w:tr>
      <w:tr>
        <w:trPr>
          <w:cantSplit w:val="0"/>
          <w:trHeight w:val="545" w:hRule="atLeast"/>
          <w:tblHeader w:val="0"/>
        </w:trPr>
        <w:tc>
          <w:tcPr>
            <w:tcBorders>
              <w:top w:color="bbbbbb" w:space="0" w:sz="6" w:val="dashed"/>
              <w:left w:color="bbbbbb" w:space="0" w:sz="6" w:val="dashed"/>
              <w:bottom w:color="bbbbbb" w:space="0" w:sz="6" w:val="dashed"/>
              <w:right w:color="bbbbbb" w:space="0" w:sz="6" w:val="dashed"/>
            </w:tcBorders>
            <w:tcMar>
              <w:top w:w="100.0" w:type="dxa"/>
              <w:left w:w="100.0" w:type="dxa"/>
              <w:bottom w:w="100.0" w:type="dxa"/>
              <w:right w:w="100.0" w:type="dxa"/>
            </w:tcMar>
            <w:vAlign w:val="top"/>
          </w:tcPr>
          <w:p w:rsidR="00000000" w:rsidDel="00000000" w:rsidP="00000000" w:rsidRDefault="00000000" w:rsidRPr="00000000" w14:paraId="0000001A">
            <w:pPr>
              <w:spacing w:line="3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Accounts Payable</w:t>
            </w:r>
          </w:p>
        </w:tc>
        <w:tc>
          <w:tcPr>
            <w:tcBorders>
              <w:top w:color="bbbbbb" w:space="0" w:sz="6" w:val="dashed"/>
              <w:left w:color="bbbbbb" w:space="0" w:sz="6" w:val="dashed"/>
              <w:bottom w:color="bbbbbb" w:space="0" w:sz="6" w:val="dashed"/>
              <w:right w:color="bbbbbb" w:space="0" w:sz="6" w:val="dashed"/>
            </w:tcBorders>
            <w:tcMar>
              <w:top w:w="100.0" w:type="dxa"/>
              <w:left w:w="100.0" w:type="dxa"/>
              <w:bottom w:w="100.0" w:type="dxa"/>
              <w:right w:w="100.0" w:type="dxa"/>
            </w:tcMar>
            <w:vAlign w:val="top"/>
          </w:tcPr>
          <w:p w:rsidR="00000000" w:rsidDel="00000000" w:rsidP="00000000" w:rsidRDefault="00000000" w:rsidRPr="00000000" w14:paraId="0000001B">
            <w:pPr>
              <w:spacing w:line="3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360" w:lineRule="auto"/>
              <w:rPr>
                <w:rFonts w:ascii="Arial" w:cs="Arial" w:eastAsia="Arial" w:hAnsi="Arial"/>
                <w:color w:val="333333"/>
                <w:sz w:val="24"/>
                <w:szCs w:val="24"/>
              </w:rPr>
            </w:pPr>
            <w:r w:rsidDel="00000000" w:rsidR="00000000" w:rsidRPr="00000000">
              <w:rPr>
                <w:rtl w:val="0"/>
              </w:rPr>
            </w:r>
          </w:p>
        </w:tc>
      </w:tr>
    </w:tbl>
    <w:p w:rsidR="00000000" w:rsidDel="00000000" w:rsidP="00000000" w:rsidRDefault="00000000" w:rsidRPr="00000000" w14:paraId="0000001D">
      <w:pPr>
        <w:shd w:fill="ffffff" w:val="clear"/>
        <w:spacing w:after="240" w:before="240" w:line="36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Narration</w:t>
      </w:r>
      <w:r w:rsidDel="00000000" w:rsidR="00000000" w:rsidRPr="00000000">
        <w:rPr>
          <w:rFonts w:ascii="Arial" w:cs="Arial" w:eastAsia="Arial" w:hAnsi="Arial"/>
          <w:color w:val="333333"/>
          <w:sz w:val="24"/>
          <w:szCs w:val="24"/>
          <w:rtl w:val="0"/>
        </w:rPr>
        <w:t xml:space="preserve">: Recorded receipt of inventory worth $3,000 on credit from [Supplier Name].</w:t>
      </w:r>
    </w:p>
    <w:p w:rsidR="00000000" w:rsidDel="00000000" w:rsidP="00000000" w:rsidRDefault="00000000" w:rsidRPr="00000000" w14:paraId="0000001E">
      <w:pPr>
        <w:pStyle w:val="Heading3"/>
        <w:shd w:fill="ffffff" w:val="clear"/>
        <w:spacing w:after="80" w:before="280" w:line="360" w:lineRule="auto"/>
        <w:rPr>
          <w:rFonts w:ascii="Arial" w:cs="Arial" w:eastAsia="Arial" w:hAnsi="Arial"/>
          <w:b w:val="1"/>
          <w:color w:val="333333"/>
          <w:sz w:val="24"/>
          <w:szCs w:val="24"/>
        </w:rPr>
      </w:pPr>
      <w:bookmarkStart w:colFirst="0" w:colLast="0" w:name="_1sq3emlb8pjp" w:id="2"/>
      <w:bookmarkEnd w:id="2"/>
      <w:r w:rsidDel="00000000" w:rsidR="00000000" w:rsidRPr="00000000">
        <w:rPr>
          <w:rFonts w:ascii="Arial" w:cs="Arial" w:eastAsia="Arial" w:hAnsi="Arial"/>
          <w:b w:val="1"/>
          <w:color w:val="333333"/>
          <w:sz w:val="24"/>
          <w:szCs w:val="24"/>
          <w:rtl w:val="0"/>
        </w:rPr>
        <w:t xml:space="preserve">Key Points to Remember</w:t>
      </w:r>
    </w:p>
    <w:p w:rsidR="00000000" w:rsidDel="00000000" w:rsidP="00000000" w:rsidRDefault="00000000" w:rsidRPr="00000000" w14:paraId="0000001F">
      <w:pPr>
        <w:numPr>
          <w:ilvl w:val="0"/>
          <w:numId w:val="2"/>
        </w:numPr>
        <w:shd w:fill="ffffff" w:val="clear"/>
        <w:spacing w:after="0" w:afterAutospacing="0" w:before="240" w:line="360" w:lineRule="auto"/>
        <w:ind w:left="720" w:hanging="360"/>
        <w:rPr/>
      </w:pPr>
      <w:r w:rsidDel="00000000" w:rsidR="00000000" w:rsidRPr="00000000">
        <w:rPr>
          <w:rFonts w:ascii="Arial" w:cs="Arial" w:eastAsia="Arial" w:hAnsi="Arial"/>
          <w:b w:val="1"/>
          <w:color w:val="333333"/>
          <w:sz w:val="24"/>
          <w:szCs w:val="24"/>
          <w:rtl w:val="0"/>
        </w:rPr>
        <w:t xml:space="preserve">Debit Entry</w:t>
      </w:r>
      <w:r w:rsidDel="00000000" w:rsidR="00000000" w:rsidRPr="00000000">
        <w:rPr>
          <w:rFonts w:ascii="Arial" w:cs="Arial" w:eastAsia="Arial" w:hAnsi="Arial"/>
          <w:color w:val="333333"/>
          <w:sz w:val="24"/>
          <w:szCs w:val="24"/>
          <w:rtl w:val="0"/>
        </w:rPr>
        <w:t xml:space="preserve">: The debit entry increases the Inventory or Expense account, reflecting the acquisition of new assets or the consumption of resources.</w:t>
      </w:r>
    </w:p>
    <w:p w:rsidR="00000000" w:rsidDel="00000000" w:rsidP="00000000" w:rsidRDefault="00000000" w:rsidRPr="00000000" w14:paraId="00000020">
      <w:pPr>
        <w:numPr>
          <w:ilvl w:val="0"/>
          <w:numId w:val="2"/>
        </w:numPr>
        <w:shd w:fill="ffffff" w:val="clear"/>
        <w:spacing w:after="0" w:afterAutospacing="0" w:before="0" w:beforeAutospacing="0" w:line="360" w:lineRule="auto"/>
        <w:ind w:left="720" w:hanging="360"/>
        <w:rPr/>
      </w:pPr>
      <w:r w:rsidDel="00000000" w:rsidR="00000000" w:rsidRPr="00000000">
        <w:rPr>
          <w:rFonts w:ascii="Arial" w:cs="Arial" w:eastAsia="Arial" w:hAnsi="Arial"/>
          <w:b w:val="1"/>
          <w:color w:val="333333"/>
          <w:sz w:val="24"/>
          <w:szCs w:val="24"/>
          <w:rtl w:val="0"/>
        </w:rPr>
        <w:t xml:space="preserve">Credit Entry</w:t>
      </w:r>
      <w:r w:rsidDel="00000000" w:rsidR="00000000" w:rsidRPr="00000000">
        <w:rPr>
          <w:rFonts w:ascii="Arial" w:cs="Arial" w:eastAsia="Arial" w:hAnsi="Arial"/>
          <w:color w:val="333333"/>
          <w:sz w:val="24"/>
          <w:szCs w:val="24"/>
          <w:rtl w:val="0"/>
        </w:rPr>
        <w:t xml:space="preserve">: The credit entry increases the Accounts Payable account, reflecting an obligation to pay the supplier.</w:t>
      </w:r>
    </w:p>
    <w:p w:rsidR="00000000" w:rsidDel="00000000" w:rsidP="00000000" w:rsidRDefault="00000000" w:rsidRPr="00000000" w14:paraId="00000021">
      <w:pPr>
        <w:numPr>
          <w:ilvl w:val="0"/>
          <w:numId w:val="2"/>
        </w:numPr>
        <w:shd w:fill="ffffff" w:val="clear"/>
        <w:spacing w:after="240" w:before="0" w:beforeAutospacing="0" w:line="360" w:lineRule="auto"/>
        <w:ind w:left="720" w:hanging="360"/>
        <w:rPr/>
      </w:pPr>
      <w:r w:rsidDel="00000000" w:rsidR="00000000" w:rsidRPr="00000000">
        <w:rPr>
          <w:rFonts w:ascii="Arial" w:cs="Arial" w:eastAsia="Arial" w:hAnsi="Arial"/>
          <w:b w:val="1"/>
          <w:color w:val="333333"/>
          <w:sz w:val="24"/>
          <w:szCs w:val="24"/>
          <w:rtl w:val="0"/>
        </w:rPr>
        <w:t xml:space="preserve">Narration/Description</w:t>
      </w:r>
      <w:r w:rsidDel="00000000" w:rsidR="00000000" w:rsidRPr="00000000">
        <w:rPr>
          <w:rFonts w:ascii="Arial" w:cs="Arial" w:eastAsia="Arial" w:hAnsi="Arial"/>
          <w:color w:val="333333"/>
          <w:sz w:val="24"/>
          <w:szCs w:val="24"/>
          <w:rtl w:val="0"/>
        </w:rPr>
        <w:t xml:space="preserve">: Always include a brief explanation of the transaction, mentioning the nature of the goods received and the name of the supplier. This is crucial for clarity and future reference.</w:t>
      </w:r>
    </w:p>
    <w:p w:rsidR="00000000" w:rsidDel="00000000" w:rsidP="00000000" w:rsidRDefault="00000000" w:rsidRPr="00000000" w14:paraId="00000022">
      <w:pPr>
        <w:shd w:fill="ffffff" w:val="clear"/>
        <w:spacing w:after="240" w:before="240" w:line="360" w:lineRule="auto"/>
        <w:rPr>
          <w:rFonts w:ascii="Arial" w:cs="Arial" w:eastAsia="Arial" w:hAnsi="Arial"/>
          <w:color w:val="666666"/>
          <w:sz w:val="24"/>
          <w:szCs w:val="24"/>
        </w:rPr>
      </w:pPr>
      <w:r w:rsidDel="00000000" w:rsidR="00000000" w:rsidRPr="00000000">
        <w:rPr>
          <w:rFonts w:ascii="Arial" w:cs="Arial" w:eastAsia="Arial" w:hAnsi="Arial"/>
          <w:color w:val="333333"/>
          <w:sz w:val="24"/>
          <w:szCs w:val="24"/>
          <w:rtl w:val="0"/>
        </w:rPr>
        <w:t xml:space="preserve">This format ensures that the goods receipt is accurately recorded in the company's books, reflecting both the increase in assets or expenses and the corresponding increase in liabilities.</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spacing w:line="360" w:lineRule="auto"/>
      <w:jc w:val="right"/>
      <w:rPr/>
    </w:pPr>
    <w:r w:rsidDel="00000000" w:rsidR="00000000" w:rsidRPr="00000000">
      <w:rPr>
        <w:rFonts w:ascii="Arial" w:cs="Arial" w:eastAsia="Arial" w:hAnsi="Arial"/>
        <w:color w:val="000000"/>
        <w:rtl w:val="0"/>
      </w:rPr>
      <w:t xml:space="preserve">Copyright @</w:t>
    </w:r>
    <w:hyperlink r:id="rId1">
      <w:r w:rsidDel="00000000" w:rsidR="00000000" w:rsidRPr="00000000">
        <w:rPr>
          <w:rFonts w:ascii="Arial" w:cs="Arial" w:eastAsia="Arial" w:hAnsi="Arial"/>
          <w:color w:val="695d46"/>
          <w:rtl w:val="0"/>
        </w:rPr>
        <w:t xml:space="preserve"> </w:t>
      </w:r>
    </w:hyperlink>
    <w:hyperlink r:id="rId2">
      <w:r w:rsidDel="00000000" w:rsidR="00000000" w:rsidRPr="00000000">
        <w:rPr>
          <w:rFonts w:ascii="Arial" w:cs="Arial" w:eastAsia="Arial" w:hAnsi="Arial"/>
          <w:b w:val="1"/>
          <w:color w:val="1155cc"/>
          <w:u w:val="single"/>
          <w:rtl w:val="0"/>
        </w:rPr>
        <w:t xml:space="preserve">SampleTemplates.com</w:t>
      </w:r>
    </w:hyperlink>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spacing w:line="360" w:lineRule="auto"/>
      <w:jc w:val="right"/>
      <w:rPr/>
    </w:pPr>
    <w:r w:rsidDel="00000000" w:rsidR="00000000" w:rsidRPr="00000000">
      <w:rPr>
        <w:rFonts w:ascii="Arial" w:cs="Arial" w:eastAsia="Arial" w:hAnsi="Arial"/>
        <w:color w:val="000000"/>
        <w:rtl w:val="0"/>
      </w:rPr>
      <w:t xml:space="preserve">Copyright @</w:t>
    </w:r>
    <w:hyperlink r:id="rId1">
      <w:r w:rsidDel="00000000" w:rsidR="00000000" w:rsidRPr="00000000">
        <w:rPr>
          <w:rFonts w:ascii="Arial" w:cs="Arial" w:eastAsia="Arial" w:hAnsi="Arial"/>
          <w:color w:val="695d46"/>
          <w:rtl w:val="0"/>
        </w:rPr>
        <w:t xml:space="preserve"> </w:t>
      </w:r>
    </w:hyperlink>
    <w:hyperlink r:id="rId2">
      <w:r w:rsidDel="00000000" w:rsidR="00000000" w:rsidRPr="00000000">
        <w:rPr>
          <w:rFonts w:ascii="Arial" w:cs="Arial" w:eastAsia="Arial" w:hAnsi="Arial"/>
          <w:b w:val="1"/>
          <w:color w:val="1155cc"/>
          <w:u w:val="single"/>
          <w:rtl w:val="0"/>
        </w:rPr>
        <w:t xml:space="preserve">SampleTemplates.com</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www.sampletemplates.com/" TargetMode="External"/><Relationship Id="rId2" Type="http://schemas.openxmlformats.org/officeDocument/2006/relationships/hyperlink" Target="https://www.sampletemplate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sampletemplates.com/" TargetMode="External"/><Relationship Id="rId2" Type="http://schemas.openxmlformats.org/officeDocument/2006/relationships/hyperlink" Target="https://www.sampletemplat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