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77C1D7" w14:textId="77777777" w:rsidR="00520BC1" w:rsidRDefault="00B6741A">
      <w:pPr>
        <w:spacing w:after="120"/>
        <w:jc w:val="center"/>
        <w:rPr>
          <w:b/>
          <w:bCs/>
          <w:color w:val="000000"/>
          <w:sz w:val="32"/>
          <w:szCs w:val="32"/>
        </w:rPr>
      </w:pPr>
      <w:r>
        <w:rPr>
          <w:b/>
          <w:bCs/>
          <w:color w:val="000000"/>
          <w:sz w:val="32"/>
          <w:szCs w:val="32"/>
        </w:rPr>
        <w:t>SIMATS ENGINEERING</w:t>
      </w:r>
    </w:p>
    <w:p w14:paraId="682A07B1" w14:textId="77777777" w:rsidR="003A4E31" w:rsidRDefault="003A4E31">
      <w:pPr>
        <w:spacing w:after="120"/>
        <w:jc w:val="center"/>
      </w:pPr>
    </w:p>
    <w:p w14:paraId="5D5406DB" w14:textId="77777777" w:rsidR="00520BC1" w:rsidRDefault="00B6741A">
      <w:pPr>
        <w:spacing w:after="120"/>
        <w:jc w:val="center"/>
        <w:rPr>
          <w:b/>
          <w:bCs/>
          <w:color w:val="000000"/>
          <w:sz w:val="28"/>
          <w:szCs w:val="28"/>
        </w:rPr>
      </w:pPr>
      <w:r>
        <w:rPr>
          <w:b/>
          <w:bCs/>
          <w:color w:val="000000"/>
          <w:sz w:val="28"/>
          <w:szCs w:val="28"/>
        </w:rPr>
        <w:t>ASSESSMENT TOOL 1</w:t>
      </w:r>
    </w:p>
    <w:p w14:paraId="5C5158A6" w14:textId="77777777" w:rsidR="003A4E31" w:rsidRDefault="003A4E31">
      <w:pPr>
        <w:spacing w:after="120"/>
        <w:jc w:val="center"/>
      </w:pPr>
    </w:p>
    <w:p w14:paraId="47ED70ED" w14:textId="77777777" w:rsidR="003A4E31" w:rsidRDefault="00B6741A">
      <w:pPr>
        <w:spacing w:after="100"/>
        <w:rPr>
          <w:b/>
          <w:bCs/>
          <w:color w:val="000000"/>
          <w:sz w:val="24"/>
          <w:szCs w:val="24"/>
        </w:rPr>
      </w:pPr>
      <w:r>
        <w:rPr>
          <w:b/>
          <w:bCs/>
          <w:color w:val="000000"/>
          <w:sz w:val="24"/>
          <w:szCs w:val="24"/>
        </w:rPr>
        <w:t>COURSE NAME: Artificial Intelligence</w:t>
      </w:r>
      <w:r>
        <w:rPr>
          <w:b/>
          <w:bCs/>
          <w:color w:val="000000"/>
          <w:sz w:val="24"/>
          <w:szCs w:val="24"/>
        </w:rPr>
        <w:tab/>
      </w:r>
      <w:r>
        <w:rPr>
          <w:b/>
          <w:bCs/>
          <w:color w:val="000000"/>
          <w:sz w:val="24"/>
          <w:szCs w:val="24"/>
        </w:rPr>
        <w:tab/>
      </w:r>
    </w:p>
    <w:p w14:paraId="7B97F0C6" w14:textId="37C2D18A" w:rsidR="00520BC1" w:rsidRDefault="00B6741A">
      <w:pPr>
        <w:spacing w:after="100"/>
        <w:rPr>
          <w:b/>
          <w:bCs/>
          <w:color w:val="000000"/>
          <w:sz w:val="24"/>
          <w:szCs w:val="24"/>
        </w:rPr>
      </w:pPr>
      <w:r>
        <w:rPr>
          <w:b/>
          <w:bCs/>
          <w:color w:val="000000"/>
          <w:sz w:val="24"/>
          <w:szCs w:val="24"/>
        </w:rPr>
        <w:t>COURSE CODE: CSA17</w:t>
      </w:r>
    </w:p>
    <w:p w14:paraId="7E8DE347" w14:textId="77777777" w:rsidR="003A4E31" w:rsidRDefault="003A4E31">
      <w:pPr>
        <w:spacing w:after="100"/>
        <w:rPr>
          <w:b/>
          <w:bCs/>
          <w:color w:val="000000"/>
          <w:sz w:val="24"/>
          <w:szCs w:val="24"/>
        </w:rPr>
      </w:pPr>
    </w:p>
    <w:p w14:paraId="70F66F00" w14:textId="77777777" w:rsidR="003A4E31" w:rsidRDefault="003A4E31">
      <w:pPr>
        <w:spacing w:after="100"/>
        <w:rPr>
          <w:b/>
          <w:bCs/>
          <w:color w:val="000000"/>
          <w:sz w:val="24"/>
          <w:szCs w:val="24"/>
        </w:rPr>
      </w:pPr>
    </w:p>
    <w:p w14:paraId="5E9FE1FF" w14:textId="77777777" w:rsidR="003A4E31" w:rsidRDefault="003A4E31">
      <w:pPr>
        <w:spacing w:after="100"/>
      </w:pPr>
    </w:p>
    <w:p w14:paraId="0EFCC761" w14:textId="77777777" w:rsidR="00520BC1" w:rsidRDefault="00B6741A">
      <w:pPr>
        <w:spacing w:after="100"/>
      </w:pPr>
      <w:r>
        <w:rPr>
          <w:b/>
          <w:bCs/>
          <w:color w:val="000000"/>
          <w:sz w:val="24"/>
          <w:szCs w:val="24"/>
        </w:rPr>
        <w:t>COURSE OUTCOME COVERED</w:t>
      </w:r>
    </w:p>
    <w:p w14:paraId="12799A00" w14:textId="77777777" w:rsidR="00520BC1" w:rsidRDefault="00B6741A">
      <w:pPr>
        <w:spacing w:after="200" w:line="300" w:lineRule="auto"/>
        <w:jc w:val="both"/>
        <w:rPr>
          <w:color w:val="000000"/>
          <w:sz w:val="24"/>
          <w:szCs w:val="24"/>
        </w:rPr>
      </w:pPr>
      <w:r>
        <w:rPr>
          <w:color w:val="000000"/>
          <w:sz w:val="24"/>
          <w:szCs w:val="24"/>
        </w:rPr>
        <w:t xml:space="preserve">CO5: Design AI-based systems using </w:t>
      </w:r>
      <w:proofErr w:type="spellStart"/>
      <w:r>
        <w:rPr>
          <w:color w:val="000000"/>
          <w:sz w:val="24"/>
          <w:szCs w:val="24"/>
        </w:rPr>
        <w:t>PySpark</w:t>
      </w:r>
      <w:proofErr w:type="spellEnd"/>
      <w:r>
        <w:rPr>
          <w:color w:val="000000"/>
          <w:sz w:val="24"/>
          <w:szCs w:val="24"/>
        </w:rPr>
        <w:t>, RDD operations, and intelligent agent architectures, using scalable systems and integrate components in distributed AI applications. (BTL 5)</w:t>
      </w:r>
    </w:p>
    <w:p w14:paraId="04FD9B22" w14:textId="77777777" w:rsidR="003A4E31" w:rsidRDefault="003A4E31">
      <w:pPr>
        <w:spacing w:after="200" w:line="300" w:lineRule="auto"/>
        <w:jc w:val="both"/>
      </w:pPr>
    </w:p>
    <w:p w14:paraId="5E15A998" w14:textId="77777777" w:rsidR="00520BC1" w:rsidRDefault="00B6741A">
      <w:pPr>
        <w:spacing w:after="100"/>
        <w:rPr>
          <w:b/>
          <w:bCs/>
          <w:color w:val="000000"/>
          <w:sz w:val="24"/>
          <w:szCs w:val="24"/>
        </w:rPr>
      </w:pPr>
      <w:r>
        <w:rPr>
          <w:b/>
          <w:bCs/>
          <w:color w:val="000000"/>
          <w:sz w:val="24"/>
          <w:szCs w:val="24"/>
        </w:rPr>
        <w:t>Assessment Tool Weightage: 50%</w:t>
      </w:r>
    </w:p>
    <w:p w14:paraId="627DCFBA" w14:textId="77777777" w:rsidR="003A4E31" w:rsidRDefault="003A4E31">
      <w:pPr>
        <w:spacing w:after="100"/>
      </w:pPr>
    </w:p>
    <w:p w14:paraId="001823E2" w14:textId="77777777" w:rsidR="00520BC1" w:rsidRDefault="00B6741A">
      <w:pPr>
        <w:spacing w:after="200"/>
      </w:pPr>
      <w:proofErr w:type="gramStart"/>
      <w:r>
        <w:rPr>
          <w:b/>
          <w:bCs/>
          <w:color w:val="000000"/>
          <w:sz w:val="24"/>
          <w:szCs w:val="24"/>
        </w:rPr>
        <w:t>Duration :</w:t>
      </w:r>
      <w:proofErr w:type="gramEnd"/>
      <w:r>
        <w:rPr>
          <w:b/>
          <w:bCs/>
          <w:color w:val="000000"/>
          <w:sz w:val="24"/>
          <w:szCs w:val="24"/>
        </w:rPr>
        <w:t xml:space="preserve"> 1 Hour</w:t>
      </w:r>
    </w:p>
    <w:p w14:paraId="39254BA6" w14:textId="77777777" w:rsidR="00520BC1" w:rsidRDefault="00B6741A">
      <w:pPr>
        <w:spacing w:after="120"/>
        <w:jc w:val="center"/>
      </w:pPr>
      <w:r>
        <w:rPr>
          <w:b/>
          <w:bCs/>
          <w:color w:val="000000"/>
          <w:sz w:val="24"/>
          <w:szCs w:val="24"/>
        </w:rPr>
        <w:t>Annexure A</w:t>
      </w:r>
    </w:p>
    <w:p w14:paraId="66D40222" w14:textId="77777777" w:rsidR="00520BC1" w:rsidRDefault="00B6741A">
      <w:pPr>
        <w:spacing w:after="120"/>
        <w:jc w:val="center"/>
        <w:rPr>
          <w:b/>
          <w:bCs/>
          <w:color w:val="000000"/>
          <w:sz w:val="24"/>
          <w:szCs w:val="24"/>
        </w:rPr>
      </w:pPr>
      <w:r>
        <w:rPr>
          <w:b/>
          <w:bCs/>
          <w:color w:val="000000"/>
          <w:sz w:val="24"/>
          <w:szCs w:val="24"/>
        </w:rPr>
        <w:t>Design Task</w:t>
      </w:r>
    </w:p>
    <w:p w14:paraId="69EC0819" w14:textId="77777777" w:rsidR="003A4E31" w:rsidRDefault="003A4E31">
      <w:pPr>
        <w:spacing w:after="120"/>
        <w:jc w:val="center"/>
        <w:rPr>
          <w:b/>
          <w:bCs/>
          <w:color w:val="000000"/>
          <w:sz w:val="24"/>
          <w:szCs w:val="24"/>
        </w:rPr>
      </w:pPr>
    </w:p>
    <w:p w14:paraId="62E7FFD7" w14:textId="77777777" w:rsidR="003A4E31" w:rsidRDefault="003A4E31">
      <w:pPr>
        <w:spacing w:after="120"/>
        <w:jc w:val="center"/>
      </w:pPr>
    </w:p>
    <w:p w14:paraId="6E62D03B" w14:textId="77777777" w:rsidR="00520BC1" w:rsidRDefault="00B6741A">
      <w:pPr>
        <w:spacing w:after="100"/>
      </w:pPr>
      <w:r>
        <w:rPr>
          <w:b/>
          <w:bCs/>
          <w:color w:val="000000"/>
          <w:sz w:val="24"/>
          <w:szCs w:val="24"/>
        </w:rPr>
        <w:t>Code of Conduct:</w:t>
      </w:r>
    </w:p>
    <w:p w14:paraId="5FDB4744" w14:textId="36AAE9E5" w:rsidR="00520BC1" w:rsidRDefault="00B6741A">
      <w:pPr>
        <w:spacing w:after="200" w:line="300" w:lineRule="auto"/>
      </w:pPr>
      <w:r>
        <w:rPr>
          <w:color w:val="000000"/>
          <w:sz w:val="24"/>
          <w:szCs w:val="24"/>
        </w:rPr>
        <w:t xml:space="preserve">I </w:t>
      </w:r>
      <w:r w:rsidR="003A4E31">
        <w:rPr>
          <w:color w:val="000000"/>
          <w:sz w:val="24"/>
          <w:szCs w:val="24"/>
        </w:rPr>
        <w:t>Pallavi G (192311208)</w:t>
      </w:r>
      <w:r>
        <w:rPr>
          <w:color w:val="000000"/>
          <w:sz w:val="24"/>
          <w:szCs w:val="24"/>
        </w:rPr>
        <w:t xml:space="preserve"> certify that this submission is my original work and that I have adhered to the guidelines specified for this assessment.</w:t>
      </w:r>
    </w:p>
    <w:p w14:paraId="7A49E1D4" w14:textId="77777777" w:rsidR="00520BC1" w:rsidRDefault="00B6741A">
      <w:pPr>
        <w:spacing w:after="200" w:line="300" w:lineRule="auto"/>
        <w:rPr>
          <w:color w:val="000000"/>
          <w:sz w:val="24"/>
          <w:szCs w:val="24"/>
        </w:rPr>
      </w:pPr>
      <w:r>
        <w:rPr>
          <w:color w:val="000000"/>
          <w:sz w:val="24"/>
          <w:szCs w:val="24"/>
        </w:rPr>
        <w:t>I understand that any violation of academic integrity rules will result in disciplinary action.</w:t>
      </w:r>
    </w:p>
    <w:p w14:paraId="5D4C64E4" w14:textId="77777777" w:rsidR="003A4E31" w:rsidRDefault="003A4E31">
      <w:pPr>
        <w:spacing w:after="200" w:line="300" w:lineRule="auto"/>
        <w:rPr>
          <w:color w:val="000000"/>
          <w:sz w:val="24"/>
          <w:szCs w:val="24"/>
        </w:rPr>
      </w:pPr>
    </w:p>
    <w:p w14:paraId="2D19A27B" w14:textId="77777777" w:rsidR="003A4E31" w:rsidRDefault="003A4E31">
      <w:pPr>
        <w:spacing w:after="200" w:line="300" w:lineRule="auto"/>
      </w:pPr>
    </w:p>
    <w:p w14:paraId="7F6971F4" w14:textId="4B7B1B54" w:rsidR="00520BC1" w:rsidRDefault="00B6741A">
      <w:pPr>
        <w:spacing w:after="400" w:line="300" w:lineRule="auto"/>
        <w:rPr>
          <w:color w:val="000000"/>
          <w:sz w:val="24"/>
          <w:szCs w:val="24"/>
        </w:rPr>
      </w:pPr>
      <w:r>
        <w:rPr>
          <w:color w:val="000000"/>
          <w:sz w:val="24"/>
          <w:szCs w:val="24"/>
        </w:rPr>
        <w:t>Signature of the student:</w:t>
      </w:r>
      <w:r w:rsidR="003A4E31">
        <w:rPr>
          <w:color w:val="000000"/>
          <w:sz w:val="24"/>
          <w:szCs w:val="24"/>
        </w:rPr>
        <w:t xml:space="preserve"> Pallavi</w:t>
      </w:r>
    </w:p>
    <w:p w14:paraId="499075FB" w14:textId="77777777" w:rsidR="003A4E31" w:rsidRDefault="003A4E31">
      <w:pPr>
        <w:spacing w:after="400" w:line="300" w:lineRule="auto"/>
        <w:rPr>
          <w:color w:val="000000"/>
          <w:sz w:val="24"/>
          <w:szCs w:val="24"/>
        </w:rPr>
      </w:pPr>
    </w:p>
    <w:p w14:paraId="2EFF02A9" w14:textId="77777777" w:rsidR="003A4E31" w:rsidRDefault="003A4E31">
      <w:pPr>
        <w:spacing w:after="400" w:line="300" w:lineRule="auto"/>
        <w:rPr>
          <w:color w:val="000000"/>
          <w:sz w:val="24"/>
          <w:szCs w:val="24"/>
        </w:rPr>
      </w:pPr>
    </w:p>
    <w:p w14:paraId="4B82B866" w14:textId="77777777" w:rsidR="003A4E31" w:rsidRDefault="003A4E31">
      <w:pPr>
        <w:spacing w:after="400" w:line="300" w:lineRule="auto"/>
        <w:rPr>
          <w:color w:val="000000"/>
          <w:sz w:val="24"/>
          <w:szCs w:val="24"/>
        </w:rPr>
      </w:pPr>
    </w:p>
    <w:p w14:paraId="367AA304" w14:textId="77777777" w:rsidR="003A4E31" w:rsidRDefault="003A4E31">
      <w:pPr>
        <w:spacing w:after="400" w:line="300" w:lineRule="auto"/>
        <w:rPr>
          <w:color w:val="000000"/>
          <w:sz w:val="24"/>
          <w:szCs w:val="24"/>
        </w:rPr>
      </w:pPr>
    </w:p>
    <w:p w14:paraId="0AED2063" w14:textId="77777777" w:rsidR="00520BC1" w:rsidRDefault="00B6741A" w:rsidP="003A4E31">
      <w:pPr>
        <w:spacing w:after="100"/>
        <w:jc w:val="center"/>
      </w:pPr>
      <w:r>
        <w:rPr>
          <w:b/>
          <w:bCs/>
          <w:color w:val="000000"/>
          <w:sz w:val="24"/>
          <w:szCs w:val="24"/>
        </w:rPr>
        <w:lastRenderedPageBreak/>
        <w:t>Design Task</w:t>
      </w:r>
    </w:p>
    <w:p w14:paraId="46003E58" w14:textId="77777777" w:rsidR="00520BC1" w:rsidRDefault="00B6741A" w:rsidP="003A4E31">
      <w:pPr>
        <w:spacing w:after="200"/>
        <w:jc w:val="center"/>
      </w:pPr>
      <w:r>
        <w:rPr>
          <w:b/>
          <w:bCs/>
          <w:color w:val="000000"/>
          <w:sz w:val="26"/>
          <w:szCs w:val="26"/>
        </w:rPr>
        <w:t>Edge AI System for Industrial Quality Control</w:t>
      </w:r>
    </w:p>
    <w:p w14:paraId="1264A1A5" w14:textId="77777777" w:rsidR="00520BC1" w:rsidRDefault="00B6741A">
      <w:pPr>
        <w:spacing w:after="200" w:line="300" w:lineRule="auto"/>
        <w:jc w:val="both"/>
      </w:pPr>
      <w:r>
        <w:rPr>
          <w:color w:val="000000"/>
          <w:sz w:val="24"/>
          <w:szCs w:val="24"/>
        </w:rPr>
        <w:t xml:space="preserve">Design an Edge AI system integrated with a </w:t>
      </w:r>
      <w:proofErr w:type="spellStart"/>
      <w:r>
        <w:rPr>
          <w:color w:val="000000"/>
          <w:sz w:val="24"/>
          <w:szCs w:val="24"/>
        </w:rPr>
        <w:t>PySpark</w:t>
      </w:r>
      <w:proofErr w:type="spellEnd"/>
      <w:r>
        <w:rPr>
          <w:color w:val="000000"/>
          <w:sz w:val="24"/>
          <w:szCs w:val="24"/>
        </w:rPr>
        <w:t>-based backend to inspect products on a high-speed manufacturing line using RDD operations for batch analysis of historical defect data. Explain how distributed data processing supports large-scale model retraining, and describe how intelligent agents at the edge collaborate with the central system to detect defects in real time and adapt inspection thresholds as production conditions change.</w:t>
      </w:r>
    </w:p>
    <w:p w14:paraId="60DCBB61" w14:textId="0791E096" w:rsidR="00520BC1" w:rsidRDefault="00B6741A" w:rsidP="003A4E31">
      <w:pPr>
        <w:jc w:val="center"/>
      </w:pPr>
      <w:r>
        <w:rPr>
          <w:b/>
          <w:bCs/>
          <w:color w:val="000000"/>
          <w:sz w:val="30"/>
          <w:szCs w:val="30"/>
        </w:rPr>
        <w:t>ANSWER</w:t>
      </w:r>
    </w:p>
    <w:p w14:paraId="0F0D52E8" w14:textId="77777777" w:rsidR="00520BC1" w:rsidRDefault="00B6741A" w:rsidP="003A4E31">
      <w:pPr>
        <w:spacing w:after="120"/>
        <w:jc w:val="center"/>
      </w:pPr>
      <w:r>
        <w:rPr>
          <w:b/>
          <w:bCs/>
          <w:color w:val="000000"/>
          <w:sz w:val="26"/>
          <w:szCs w:val="26"/>
        </w:rPr>
        <w:t>Edge AI System for Industrial Quality Control</w:t>
      </w:r>
    </w:p>
    <w:p w14:paraId="0D323985" w14:textId="77777777" w:rsidR="00520BC1" w:rsidRDefault="00520BC1">
      <w:pPr>
        <w:spacing w:after="200"/>
      </w:pPr>
    </w:p>
    <w:p w14:paraId="5AD54F5F" w14:textId="77777777" w:rsidR="00520BC1" w:rsidRDefault="00B6741A">
      <w:pPr>
        <w:spacing w:before="300" w:after="150"/>
      </w:pPr>
      <w:r>
        <w:rPr>
          <w:b/>
          <w:bCs/>
          <w:color w:val="000000"/>
          <w:sz w:val="28"/>
          <w:szCs w:val="28"/>
        </w:rPr>
        <w:t>1. Problem Understanding &amp; Requirement Analysis</w:t>
      </w:r>
    </w:p>
    <w:p w14:paraId="4452E839" w14:textId="77777777" w:rsidR="00520BC1" w:rsidRDefault="00B6741A">
      <w:pPr>
        <w:spacing w:after="200" w:line="300" w:lineRule="auto"/>
        <w:jc w:val="both"/>
      </w:pPr>
      <w:r>
        <w:rPr>
          <w:color w:val="000000"/>
          <w:sz w:val="24"/>
          <w:szCs w:val="24"/>
        </w:rPr>
        <w:t>A high-speed manufacturing line generates a continuous stream of visual, dimensional, and sensor-based inspection data that must be analysed in real time to detect defective products, while historical defect records must be processed in bulk to retrain and improve detection models. The core requirements are therefore twofold: (a) low-latency, on-device inference at the edge so that defective items can be rejected within the cycle time of the production line, and (b) scalable, distributed batch processing in</w:t>
      </w:r>
      <w:r>
        <w:rPr>
          <w:color w:val="000000"/>
          <w:sz w:val="24"/>
          <w:szCs w:val="24"/>
        </w:rPr>
        <w:t xml:space="preserve"> the cloud/data-centre tier so that terabytes of accumulated defect images, sensor logs, and inspection metadata can be used to retrain models periodically. The system must also tolerate node failures, handle variable production speeds, and allow inspection thresholds to be adapted dynamically as raw-material quality, lighting conditions, or machine wear change over time. Key constraints include network bandwidth between the factory floor and the central cluster, real-time response requirements at the edge,</w:t>
      </w:r>
      <w:r>
        <w:rPr>
          <w:color w:val="000000"/>
          <w:sz w:val="24"/>
          <w:szCs w:val="24"/>
        </w:rPr>
        <w:t xml:space="preserve"> and the need for traceability and auditability of every quality decision.</w:t>
      </w:r>
    </w:p>
    <w:p w14:paraId="3BA39E16" w14:textId="77777777" w:rsidR="00520BC1" w:rsidRDefault="00B6741A">
      <w:pPr>
        <w:spacing w:before="300" w:after="150"/>
      </w:pPr>
      <w:r>
        <w:rPr>
          <w:b/>
          <w:bCs/>
          <w:color w:val="000000"/>
          <w:sz w:val="28"/>
          <w:szCs w:val="28"/>
        </w:rPr>
        <w:t>2. System Architecture Design</w:t>
      </w:r>
    </w:p>
    <w:p w14:paraId="0EF4817F" w14:textId="77777777" w:rsidR="00520BC1" w:rsidRDefault="00B6741A">
      <w:pPr>
        <w:spacing w:after="200" w:line="300" w:lineRule="auto"/>
        <w:jc w:val="both"/>
      </w:pPr>
      <w:r>
        <w:rPr>
          <w:color w:val="000000"/>
          <w:sz w:val="24"/>
          <w:szCs w:val="24"/>
        </w:rPr>
        <w:t>The proposed architecture follows a two-tier Edge-Cloud design, illustrated below. At the edge tier, cameras and sensors mounted along the production line feed lightweight CNN-based inference agents deployed on edge devices (e.g., NVIDIA Jetson or industrial PCs) placed close to each inspection station. These agents perform immediate defect classification and communicate decisions to local actuators (reject arms) with millisecond latency. All inspection events, feature vectors, and flagged defect images are</w:t>
      </w:r>
      <w:r>
        <w:rPr>
          <w:color w:val="000000"/>
          <w:sz w:val="24"/>
          <w:szCs w:val="24"/>
        </w:rPr>
        <w:t xml:space="preserve"> simultaneously streamed to a central data-centre tier through a message broker (Kafka) into Spark Structured Streaming, and are also persisted in a distributed data lake (HDFS/S3) for batch analysis. A </w:t>
      </w:r>
      <w:proofErr w:type="spellStart"/>
      <w:r>
        <w:rPr>
          <w:color w:val="000000"/>
          <w:sz w:val="24"/>
          <w:szCs w:val="24"/>
        </w:rPr>
        <w:t>PySpark</w:t>
      </w:r>
      <w:proofErr w:type="spellEnd"/>
      <w:r>
        <w:rPr>
          <w:color w:val="000000"/>
          <w:sz w:val="24"/>
          <w:szCs w:val="24"/>
        </w:rPr>
        <w:t xml:space="preserve"> cluster performs RDD-based batch processing over historical defect data for feature engineering and periodic model retraining through Spark </w:t>
      </w:r>
      <w:proofErr w:type="spellStart"/>
      <w:r>
        <w:rPr>
          <w:color w:val="000000"/>
          <w:sz w:val="24"/>
          <w:szCs w:val="24"/>
        </w:rPr>
        <w:t>MLlib</w:t>
      </w:r>
      <w:proofErr w:type="spellEnd"/>
      <w:r>
        <w:rPr>
          <w:color w:val="000000"/>
          <w:sz w:val="24"/>
          <w:szCs w:val="24"/>
        </w:rPr>
        <w:t>. A Multi-Agent Coordination Layer sits between the edge agents and the central orchestrator agent, exchanging threshold updates, defect alerts, and consens</w:t>
      </w:r>
      <w:r>
        <w:rPr>
          <w:color w:val="000000"/>
          <w:sz w:val="24"/>
          <w:szCs w:val="24"/>
        </w:rPr>
        <w:t>us signals, while a quality-control dashboard gives human operators visibility and override capability.</w:t>
      </w:r>
    </w:p>
    <w:p w14:paraId="55188DE6" w14:textId="77777777" w:rsidR="00520BC1" w:rsidRDefault="00B6741A">
      <w:pPr>
        <w:spacing w:before="100" w:after="100"/>
        <w:jc w:val="center"/>
      </w:pPr>
      <w:r>
        <w:rPr>
          <w:noProof/>
        </w:rPr>
        <w:lastRenderedPageBreak/>
        <w:drawing>
          <wp:inline distT="0" distB="0" distL="0" distR="0" wp14:anchorId="70D777FC" wp14:editId="1522F04A">
            <wp:extent cx="5334000" cy="33051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334000" cy="3305175"/>
                    </a:xfrm>
                    <a:prstGeom prst="rect">
                      <a:avLst/>
                    </a:prstGeom>
                  </pic:spPr>
                </pic:pic>
              </a:graphicData>
            </a:graphic>
          </wp:inline>
        </w:drawing>
      </w:r>
    </w:p>
    <w:p w14:paraId="2A088334" w14:textId="77777777" w:rsidR="00520BC1" w:rsidRDefault="00B6741A">
      <w:pPr>
        <w:spacing w:after="120"/>
        <w:jc w:val="center"/>
      </w:pPr>
      <w:r>
        <w:rPr>
          <w:color w:val="000000"/>
        </w:rPr>
        <w:t>Figure 1: Edge–Cloud Architecture of the Edge AI Quality Control System</w:t>
      </w:r>
    </w:p>
    <w:p w14:paraId="239E22C8" w14:textId="77777777" w:rsidR="00520BC1" w:rsidRDefault="00B6741A">
      <w:pPr>
        <w:spacing w:before="300" w:after="150"/>
      </w:pPr>
      <w:r>
        <w:rPr>
          <w:b/>
          <w:bCs/>
          <w:color w:val="000000"/>
          <w:sz w:val="28"/>
          <w:szCs w:val="28"/>
        </w:rPr>
        <w:t xml:space="preserve">3. Use of </w:t>
      </w:r>
      <w:proofErr w:type="spellStart"/>
      <w:r>
        <w:rPr>
          <w:b/>
          <w:bCs/>
          <w:color w:val="000000"/>
          <w:sz w:val="28"/>
          <w:szCs w:val="28"/>
        </w:rPr>
        <w:t>PySpark</w:t>
      </w:r>
      <w:proofErr w:type="spellEnd"/>
      <w:r>
        <w:rPr>
          <w:b/>
          <w:bCs/>
          <w:color w:val="000000"/>
          <w:sz w:val="28"/>
          <w:szCs w:val="28"/>
        </w:rPr>
        <w:t xml:space="preserve"> &amp; RDD Operations</w:t>
      </w:r>
    </w:p>
    <w:p w14:paraId="04A911AD" w14:textId="77777777" w:rsidR="00520BC1" w:rsidRDefault="00B6741A">
      <w:pPr>
        <w:spacing w:after="200" w:line="300" w:lineRule="auto"/>
        <w:jc w:val="both"/>
      </w:pPr>
      <w:r>
        <w:rPr>
          <w:color w:val="000000"/>
          <w:sz w:val="24"/>
          <w:szCs w:val="24"/>
        </w:rPr>
        <w:t>Historical inspection logs (image feature vectors, sensor readings, timestamps, station IDs, and defect labels) are loaded into Spark as RDDs partitioned across the cluster, enabling parallel processing across worker nodes. Typical RDD transformations and actions used in this pipeline include:</w:t>
      </w:r>
    </w:p>
    <w:p w14:paraId="6517C41B" w14:textId="77777777" w:rsidR="00520BC1" w:rsidRDefault="00B6741A">
      <w:pPr>
        <w:shd w:val="clear" w:color="auto" w:fill="F2F2F2"/>
        <w:spacing w:line="260" w:lineRule="auto"/>
      </w:pPr>
      <w:proofErr w:type="spellStart"/>
      <w:r>
        <w:rPr>
          <w:rFonts w:ascii="Consolas" w:eastAsia="Consolas" w:hAnsi="Consolas" w:cs="Consolas"/>
          <w:color w:val="000000"/>
        </w:rPr>
        <w:t>raw_rdd</w:t>
      </w:r>
      <w:proofErr w:type="spellEnd"/>
      <w:r>
        <w:rPr>
          <w:rFonts w:ascii="Consolas" w:eastAsia="Consolas" w:hAnsi="Consolas" w:cs="Consolas"/>
          <w:color w:val="000000"/>
        </w:rPr>
        <w:t xml:space="preserve"> = </w:t>
      </w:r>
      <w:proofErr w:type="spellStart"/>
      <w:proofErr w:type="gramStart"/>
      <w:r>
        <w:rPr>
          <w:rFonts w:ascii="Consolas" w:eastAsia="Consolas" w:hAnsi="Consolas" w:cs="Consolas"/>
          <w:color w:val="000000"/>
        </w:rPr>
        <w:t>sc.textFile</w:t>
      </w:r>
      <w:proofErr w:type="spellEnd"/>
      <w:proofErr w:type="gramEnd"/>
      <w:r>
        <w:rPr>
          <w:rFonts w:ascii="Consolas" w:eastAsia="Consolas" w:hAnsi="Consolas" w:cs="Consolas"/>
          <w:color w:val="000000"/>
        </w:rPr>
        <w:t>("</w:t>
      </w:r>
      <w:proofErr w:type="spellStart"/>
      <w:r>
        <w:rPr>
          <w:rFonts w:ascii="Consolas" w:eastAsia="Consolas" w:hAnsi="Consolas" w:cs="Consolas"/>
          <w:color w:val="000000"/>
        </w:rPr>
        <w:t>hdfs</w:t>
      </w:r>
      <w:proofErr w:type="spellEnd"/>
      <w:r>
        <w:rPr>
          <w:rFonts w:ascii="Consolas" w:eastAsia="Consolas" w:hAnsi="Consolas" w:cs="Consolas"/>
          <w:color w:val="000000"/>
        </w:rPr>
        <w:t>:///defects/logs/*.</w:t>
      </w:r>
      <w:proofErr w:type="spellStart"/>
      <w:r>
        <w:rPr>
          <w:rFonts w:ascii="Consolas" w:eastAsia="Consolas" w:hAnsi="Consolas" w:cs="Consolas"/>
          <w:color w:val="000000"/>
        </w:rPr>
        <w:t>json</w:t>
      </w:r>
      <w:proofErr w:type="spellEnd"/>
      <w:r>
        <w:rPr>
          <w:rFonts w:ascii="Consolas" w:eastAsia="Consolas" w:hAnsi="Consolas" w:cs="Consolas"/>
          <w:color w:val="000000"/>
        </w:rPr>
        <w:t>")</w:t>
      </w:r>
    </w:p>
    <w:p w14:paraId="5BCB2ABB" w14:textId="77777777" w:rsidR="00520BC1" w:rsidRDefault="00B6741A">
      <w:pPr>
        <w:shd w:val="clear" w:color="auto" w:fill="F2F2F2"/>
        <w:spacing w:line="260" w:lineRule="auto"/>
      </w:pPr>
      <w:proofErr w:type="spellStart"/>
      <w:r>
        <w:rPr>
          <w:rFonts w:ascii="Consolas" w:eastAsia="Consolas" w:hAnsi="Consolas" w:cs="Consolas"/>
          <w:color w:val="000000"/>
        </w:rPr>
        <w:t>parsed_rdd</w:t>
      </w:r>
      <w:proofErr w:type="spellEnd"/>
      <w:r>
        <w:rPr>
          <w:rFonts w:ascii="Consolas" w:eastAsia="Consolas" w:hAnsi="Consolas" w:cs="Consolas"/>
          <w:color w:val="000000"/>
        </w:rPr>
        <w:t xml:space="preserve"> = </w:t>
      </w:r>
      <w:proofErr w:type="spellStart"/>
      <w:proofErr w:type="gramStart"/>
      <w:r>
        <w:rPr>
          <w:rFonts w:ascii="Consolas" w:eastAsia="Consolas" w:hAnsi="Consolas" w:cs="Consolas"/>
          <w:color w:val="000000"/>
        </w:rPr>
        <w:t>raw_rdd.map</w:t>
      </w:r>
      <w:proofErr w:type="spellEnd"/>
      <w:r>
        <w:rPr>
          <w:rFonts w:ascii="Consolas" w:eastAsia="Consolas" w:hAnsi="Consolas" w:cs="Consolas"/>
          <w:color w:val="000000"/>
        </w:rPr>
        <w:t>(</w:t>
      </w:r>
      <w:proofErr w:type="gramEnd"/>
      <w:r>
        <w:rPr>
          <w:rFonts w:ascii="Consolas" w:eastAsia="Consolas" w:hAnsi="Consolas" w:cs="Consolas"/>
          <w:color w:val="000000"/>
        </w:rPr>
        <w:t xml:space="preserve">lambda x: </w:t>
      </w:r>
      <w:proofErr w:type="spellStart"/>
      <w:r>
        <w:rPr>
          <w:rFonts w:ascii="Consolas" w:eastAsia="Consolas" w:hAnsi="Consolas" w:cs="Consolas"/>
          <w:color w:val="000000"/>
        </w:rPr>
        <w:t>parse_json</w:t>
      </w:r>
      <w:proofErr w:type="spellEnd"/>
      <w:r>
        <w:rPr>
          <w:rFonts w:ascii="Consolas" w:eastAsia="Consolas" w:hAnsi="Consolas" w:cs="Consolas"/>
          <w:color w:val="000000"/>
        </w:rPr>
        <w:t>(x))</w:t>
      </w:r>
    </w:p>
    <w:p w14:paraId="1C33297E" w14:textId="77777777" w:rsidR="00520BC1" w:rsidRDefault="00B6741A">
      <w:pPr>
        <w:shd w:val="clear" w:color="auto" w:fill="F2F2F2"/>
        <w:spacing w:line="260" w:lineRule="auto"/>
      </w:pPr>
      <w:proofErr w:type="spellStart"/>
      <w:r>
        <w:rPr>
          <w:rFonts w:ascii="Consolas" w:eastAsia="Consolas" w:hAnsi="Consolas" w:cs="Consolas"/>
          <w:color w:val="000000"/>
        </w:rPr>
        <w:t>clean_rdd</w:t>
      </w:r>
      <w:proofErr w:type="spellEnd"/>
      <w:r>
        <w:rPr>
          <w:rFonts w:ascii="Consolas" w:eastAsia="Consolas" w:hAnsi="Consolas" w:cs="Consolas"/>
          <w:color w:val="000000"/>
        </w:rPr>
        <w:t xml:space="preserve"> = </w:t>
      </w:r>
      <w:proofErr w:type="spellStart"/>
      <w:r>
        <w:rPr>
          <w:rFonts w:ascii="Consolas" w:eastAsia="Consolas" w:hAnsi="Consolas" w:cs="Consolas"/>
          <w:color w:val="000000"/>
        </w:rPr>
        <w:t>parsed_</w:t>
      </w:r>
      <w:proofErr w:type="gramStart"/>
      <w:r>
        <w:rPr>
          <w:rFonts w:ascii="Consolas" w:eastAsia="Consolas" w:hAnsi="Consolas" w:cs="Consolas"/>
          <w:color w:val="000000"/>
        </w:rPr>
        <w:t>rdd.filter</w:t>
      </w:r>
      <w:proofErr w:type="spellEnd"/>
      <w:proofErr w:type="gramEnd"/>
      <w:r>
        <w:rPr>
          <w:rFonts w:ascii="Consolas" w:eastAsia="Consolas" w:hAnsi="Consolas" w:cs="Consolas"/>
          <w:color w:val="000000"/>
        </w:rPr>
        <w:t>(lambda r: r["</w:t>
      </w:r>
      <w:proofErr w:type="spellStart"/>
      <w:r>
        <w:rPr>
          <w:rFonts w:ascii="Consolas" w:eastAsia="Consolas" w:hAnsi="Consolas" w:cs="Consolas"/>
          <w:color w:val="000000"/>
        </w:rPr>
        <w:t>sensor_ok</w:t>
      </w:r>
      <w:proofErr w:type="spellEnd"/>
      <w:r>
        <w:rPr>
          <w:rFonts w:ascii="Consolas" w:eastAsia="Consolas" w:hAnsi="Consolas" w:cs="Consolas"/>
          <w:color w:val="000000"/>
        </w:rPr>
        <w:t>"] == True)</w:t>
      </w:r>
    </w:p>
    <w:p w14:paraId="71CB8D47" w14:textId="77777777" w:rsidR="00520BC1" w:rsidRDefault="00B6741A">
      <w:pPr>
        <w:shd w:val="clear" w:color="auto" w:fill="F2F2F2"/>
        <w:spacing w:line="260" w:lineRule="auto"/>
      </w:pPr>
      <w:proofErr w:type="spellStart"/>
      <w:r>
        <w:rPr>
          <w:rFonts w:ascii="Consolas" w:eastAsia="Consolas" w:hAnsi="Consolas" w:cs="Consolas"/>
          <w:color w:val="000000"/>
        </w:rPr>
        <w:t>featured_rdd</w:t>
      </w:r>
      <w:proofErr w:type="spellEnd"/>
      <w:r>
        <w:rPr>
          <w:rFonts w:ascii="Consolas" w:eastAsia="Consolas" w:hAnsi="Consolas" w:cs="Consolas"/>
          <w:color w:val="000000"/>
        </w:rPr>
        <w:t xml:space="preserve"> = </w:t>
      </w:r>
      <w:proofErr w:type="spellStart"/>
      <w:proofErr w:type="gramStart"/>
      <w:r>
        <w:rPr>
          <w:rFonts w:ascii="Consolas" w:eastAsia="Consolas" w:hAnsi="Consolas" w:cs="Consolas"/>
          <w:color w:val="000000"/>
        </w:rPr>
        <w:t>clean_rdd.map</w:t>
      </w:r>
      <w:proofErr w:type="spellEnd"/>
      <w:r>
        <w:rPr>
          <w:rFonts w:ascii="Consolas" w:eastAsia="Consolas" w:hAnsi="Consolas" w:cs="Consolas"/>
          <w:color w:val="000000"/>
        </w:rPr>
        <w:t>(</w:t>
      </w:r>
      <w:proofErr w:type="gramEnd"/>
      <w:r>
        <w:rPr>
          <w:rFonts w:ascii="Consolas" w:eastAsia="Consolas" w:hAnsi="Consolas" w:cs="Consolas"/>
          <w:color w:val="000000"/>
        </w:rPr>
        <w:t xml:space="preserve">lambda r: </w:t>
      </w:r>
      <w:proofErr w:type="spellStart"/>
      <w:r>
        <w:rPr>
          <w:rFonts w:ascii="Consolas" w:eastAsia="Consolas" w:hAnsi="Consolas" w:cs="Consolas"/>
          <w:color w:val="000000"/>
        </w:rPr>
        <w:t>extract_features</w:t>
      </w:r>
      <w:proofErr w:type="spellEnd"/>
      <w:r>
        <w:rPr>
          <w:rFonts w:ascii="Consolas" w:eastAsia="Consolas" w:hAnsi="Consolas" w:cs="Consolas"/>
          <w:color w:val="000000"/>
        </w:rPr>
        <w:t>(r))</w:t>
      </w:r>
    </w:p>
    <w:p w14:paraId="28F7DA13" w14:textId="77777777" w:rsidR="00520BC1" w:rsidRDefault="00B6741A">
      <w:pPr>
        <w:shd w:val="clear" w:color="auto" w:fill="F2F2F2"/>
        <w:spacing w:line="260" w:lineRule="auto"/>
      </w:pPr>
      <w:proofErr w:type="spellStart"/>
      <w:r>
        <w:rPr>
          <w:rFonts w:ascii="Consolas" w:eastAsia="Consolas" w:hAnsi="Consolas" w:cs="Consolas"/>
          <w:color w:val="000000"/>
        </w:rPr>
        <w:t>by_station_rdd</w:t>
      </w:r>
      <w:proofErr w:type="spellEnd"/>
      <w:r>
        <w:rPr>
          <w:rFonts w:ascii="Consolas" w:eastAsia="Consolas" w:hAnsi="Consolas" w:cs="Consolas"/>
          <w:color w:val="000000"/>
        </w:rPr>
        <w:t xml:space="preserve"> = </w:t>
      </w:r>
      <w:proofErr w:type="spellStart"/>
      <w:proofErr w:type="gramStart"/>
      <w:r>
        <w:rPr>
          <w:rFonts w:ascii="Consolas" w:eastAsia="Consolas" w:hAnsi="Consolas" w:cs="Consolas"/>
          <w:color w:val="000000"/>
        </w:rPr>
        <w:t>featured_rdd.map</w:t>
      </w:r>
      <w:proofErr w:type="spellEnd"/>
      <w:r>
        <w:rPr>
          <w:rFonts w:ascii="Consolas" w:eastAsia="Consolas" w:hAnsi="Consolas" w:cs="Consolas"/>
          <w:color w:val="000000"/>
        </w:rPr>
        <w:t>(</w:t>
      </w:r>
      <w:proofErr w:type="gramEnd"/>
      <w:r>
        <w:rPr>
          <w:rFonts w:ascii="Consolas" w:eastAsia="Consolas" w:hAnsi="Consolas" w:cs="Consolas"/>
          <w:color w:val="000000"/>
        </w:rPr>
        <w:t>lambda r: (r["</w:t>
      </w:r>
      <w:proofErr w:type="spellStart"/>
      <w:r>
        <w:rPr>
          <w:rFonts w:ascii="Consolas" w:eastAsia="Consolas" w:hAnsi="Consolas" w:cs="Consolas"/>
          <w:color w:val="000000"/>
        </w:rPr>
        <w:t>station_id</w:t>
      </w:r>
      <w:proofErr w:type="spellEnd"/>
      <w:r>
        <w:rPr>
          <w:rFonts w:ascii="Consolas" w:eastAsia="Consolas" w:hAnsi="Consolas" w:cs="Consolas"/>
          <w:color w:val="000000"/>
        </w:rPr>
        <w:t>"], r))</w:t>
      </w:r>
    </w:p>
    <w:p w14:paraId="4775D95A" w14:textId="77777777" w:rsidR="00520BC1" w:rsidRDefault="00B6741A">
      <w:pPr>
        <w:shd w:val="clear" w:color="auto" w:fill="F2F2F2"/>
        <w:spacing w:line="260" w:lineRule="auto"/>
      </w:pPr>
      <w:proofErr w:type="spellStart"/>
      <w:r>
        <w:rPr>
          <w:rFonts w:ascii="Consolas" w:eastAsia="Consolas" w:hAnsi="Consolas" w:cs="Consolas"/>
          <w:color w:val="000000"/>
        </w:rPr>
        <w:t>grouped_rdd</w:t>
      </w:r>
      <w:proofErr w:type="spellEnd"/>
      <w:r>
        <w:rPr>
          <w:rFonts w:ascii="Consolas" w:eastAsia="Consolas" w:hAnsi="Consolas" w:cs="Consolas"/>
          <w:color w:val="000000"/>
        </w:rPr>
        <w:t xml:space="preserve"> = </w:t>
      </w:r>
      <w:proofErr w:type="spellStart"/>
      <w:r>
        <w:rPr>
          <w:rFonts w:ascii="Consolas" w:eastAsia="Consolas" w:hAnsi="Consolas" w:cs="Consolas"/>
          <w:color w:val="000000"/>
        </w:rPr>
        <w:t>by_station_</w:t>
      </w:r>
      <w:proofErr w:type="gramStart"/>
      <w:r>
        <w:rPr>
          <w:rFonts w:ascii="Consolas" w:eastAsia="Consolas" w:hAnsi="Consolas" w:cs="Consolas"/>
          <w:color w:val="000000"/>
        </w:rPr>
        <w:t>rdd.groupByKey</w:t>
      </w:r>
      <w:proofErr w:type="spellEnd"/>
      <w:proofErr w:type="gramEnd"/>
      <w:r>
        <w:rPr>
          <w:rFonts w:ascii="Consolas" w:eastAsia="Consolas" w:hAnsi="Consolas" w:cs="Consolas"/>
          <w:color w:val="000000"/>
        </w:rPr>
        <w:t>()</w:t>
      </w:r>
    </w:p>
    <w:p w14:paraId="0F20325B" w14:textId="77777777" w:rsidR="00520BC1" w:rsidRDefault="00B6741A">
      <w:pPr>
        <w:shd w:val="clear" w:color="auto" w:fill="F2F2F2"/>
        <w:spacing w:line="260" w:lineRule="auto"/>
      </w:pPr>
      <w:proofErr w:type="spellStart"/>
      <w:r>
        <w:rPr>
          <w:rFonts w:ascii="Consolas" w:eastAsia="Consolas" w:hAnsi="Consolas" w:cs="Consolas"/>
          <w:color w:val="000000"/>
        </w:rPr>
        <w:t>defect_counts</w:t>
      </w:r>
      <w:proofErr w:type="spellEnd"/>
      <w:r>
        <w:rPr>
          <w:rFonts w:ascii="Consolas" w:eastAsia="Consolas" w:hAnsi="Consolas" w:cs="Consolas"/>
          <w:color w:val="000000"/>
        </w:rPr>
        <w:t xml:space="preserve"> = </w:t>
      </w:r>
      <w:proofErr w:type="spellStart"/>
      <w:proofErr w:type="gramStart"/>
      <w:r>
        <w:rPr>
          <w:rFonts w:ascii="Consolas" w:eastAsia="Consolas" w:hAnsi="Consolas" w:cs="Consolas"/>
          <w:color w:val="000000"/>
        </w:rPr>
        <w:t>clean_rdd.map</w:t>
      </w:r>
      <w:proofErr w:type="spellEnd"/>
      <w:r>
        <w:rPr>
          <w:rFonts w:ascii="Consolas" w:eastAsia="Consolas" w:hAnsi="Consolas" w:cs="Consolas"/>
          <w:color w:val="000000"/>
        </w:rPr>
        <w:t>(</w:t>
      </w:r>
      <w:proofErr w:type="gramEnd"/>
      <w:r>
        <w:rPr>
          <w:rFonts w:ascii="Consolas" w:eastAsia="Consolas" w:hAnsi="Consolas" w:cs="Consolas"/>
          <w:color w:val="000000"/>
        </w:rPr>
        <w:t>lambda r: (r["</w:t>
      </w:r>
      <w:proofErr w:type="spellStart"/>
      <w:r>
        <w:rPr>
          <w:rFonts w:ascii="Consolas" w:eastAsia="Consolas" w:hAnsi="Consolas" w:cs="Consolas"/>
          <w:color w:val="000000"/>
        </w:rPr>
        <w:t>defect_type</w:t>
      </w:r>
      <w:proofErr w:type="spellEnd"/>
      <w:r>
        <w:rPr>
          <w:rFonts w:ascii="Consolas" w:eastAsia="Consolas" w:hAnsi="Consolas" w:cs="Consolas"/>
          <w:color w:val="000000"/>
        </w:rPr>
        <w:t>"], 1)) \</w:t>
      </w:r>
    </w:p>
    <w:p w14:paraId="61388CAC" w14:textId="77777777" w:rsidR="00520BC1" w:rsidRDefault="00B6741A">
      <w:pPr>
        <w:shd w:val="clear" w:color="auto" w:fill="F2F2F2"/>
        <w:spacing w:line="260" w:lineRule="auto"/>
      </w:pPr>
      <w:r>
        <w:rPr>
          <w:rFonts w:ascii="Consolas" w:eastAsia="Consolas" w:hAnsi="Consolas" w:cs="Consolas"/>
          <w:color w:val="000000"/>
        </w:rPr>
        <w:t xml:space="preserve">                         </w:t>
      </w:r>
      <w:proofErr w:type="gramStart"/>
      <w:r>
        <w:rPr>
          <w:rFonts w:ascii="Consolas" w:eastAsia="Consolas" w:hAnsi="Consolas" w:cs="Consolas"/>
          <w:color w:val="000000"/>
        </w:rPr>
        <w:t>.</w:t>
      </w:r>
      <w:proofErr w:type="spellStart"/>
      <w:r>
        <w:rPr>
          <w:rFonts w:ascii="Consolas" w:eastAsia="Consolas" w:hAnsi="Consolas" w:cs="Consolas"/>
          <w:color w:val="000000"/>
        </w:rPr>
        <w:t>reduceByKey</w:t>
      </w:r>
      <w:proofErr w:type="spellEnd"/>
      <w:proofErr w:type="gramEnd"/>
      <w:r>
        <w:rPr>
          <w:rFonts w:ascii="Consolas" w:eastAsia="Consolas" w:hAnsi="Consolas" w:cs="Consolas"/>
          <w:color w:val="000000"/>
        </w:rPr>
        <w:t>(lambda a, b: a + b)</w:t>
      </w:r>
    </w:p>
    <w:p w14:paraId="5179847D" w14:textId="77777777" w:rsidR="00520BC1" w:rsidRDefault="00B6741A">
      <w:pPr>
        <w:shd w:val="clear" w:color="auto" w:fill="F2F2F2"/>
        <w:spacing w:line="260" w:lineRule="auto"/>
      </w:pPr>
      <w:proofErr w:type="spellStart"/>
      <w:r>
        <w:rPr>
          <w:rFonts w:ascii="Consolas" w:eastAsia="Consolas" w:hAnsi="Consolas" w:cs="Consolas"/>
          <w:color w:val="000000"/>
        </w:rPr>
        <w:t>sample_for_training</w:t>
      </w:r>
      <w:proofErr w:type="spellEnd"/>
      <w:r>
        <w:rPr>
          <w:rFonts w:ascii="Consolas" w:eastAsia="Consolas" w:hAnsi="Consolas" w:cs="Consolas"/>
          <w:color w:val="000000"/>
        </w:rPr>
        <w:t xml:space="preserve"> = </w:t>
      </w:r>
      <w:proofErr w:type="spellStart"/>
      <w:r>
        <w:rPr>
          <w:rFonts w:ascii="Consolas" w:eastAsia="Consolas" w:hAnsi="Consolas" w:cs="Consolas"/>
          <w:color w:val="000000"/>
        </w:rPr>
        <w:t>featured_rdd.</w:t>
      </w:r>
      <w:proofErr w:type="gramStart"/>
      <w:r>
        <w:rPr>
          <w:rFonts w:ascii="Consolas" w:eastAsia="Consolas" w:hAnsi="Consolas" w:cs="Consolas"/>
          <w:color w:val="000000"/>
        </w:rPr>
        <w:t>sample</w:t>
      </w:r>
      <w:proofErr w:type="spellEnd"/>
      <w:r>
        <w:rPr>
          <w:rFonts w:ascii="Consolas" w:eastAsia="Consolas" w:hAnsi="Consolas" w:cs="Consolas"/>
          <w:color w:val="000000"/>
        </w:rPr>
        <w:t>(</w:t>
      </w:r>
      <w:proofErr w:type="gramEnd"/>
      <w:r>
        <w:rPr>
          <w:rFonts w:ascii="Consolas" w:eastAsia="Consolas" w:hAnsi="Consolas" w:cs="Consolas"/>
          <w:color w:val="000000"/>
        </w:rPr>
        <w:t>False, 0.3)</w:t>
      </w:r>
    </w:p>
    <w:p w14:paraId="3DDC9FBA" w14:textId="77777777" w:rsidR="00520BC1" w:rsidRDefault="00B6741A">
      <w:pPr>
        <w:shd w:val="clear" w:color="auto" w:fill="F2F2F2"/>
        <w:spacing w:after="200" w:line="260" w:lineRule="auto"/>
      </w:pPr>
      <w:proofErr w:type="spellStart"/>
      <w:r>
        <w:rPr>
          <w:rFonts w:ascii="Consolas" w:eastAsia="Consolas" w:hAnsi="Consolas" w:cs="Consolas"/>
          <w:color w:val="000000"/>
        </w:rPr>
        <w:t>training_df</w:t>
      </w:r>
      <w:proofErr w:type="spellEnd"/>
      <w:r>
        <w:rPr>
          <w:rFonts w:ascii="Consolas" w:eastAsia="Consolas" w:hAnsi="Consolas" w:cs="Consolas"/>
          <w:color w:val="000000"/>
        </w:rPr>
        <w:t xml:space="preserve"> = </w:t>
      </w:r>
      <w:proofErr w:type="spellStart"/>
      <w:r>
        <w:rPr>
          <w:rFonts w:ascii="Consolas" w:eastAsia="Consolas" w:hAnsi="Consolas" w:cs="Consolas"/>
          <w:color w:val="000000"/>
        </w:rPr>
        <w:t>sample_for_</w:t>
      </w:r>
      <w:proofErr w:type="gramStart"/>
      <w:r>
        <w:rPr>
          <w:rFonts w:ascii="Consolas" w:eastAsia="Consolas" w:hAnsi="Consolas" w:cs="Consolas"/>
          <w:color w:val="000000"/>
        </w:rPr>
        <w:t>training.toDF</w:t>
      </w:r>
      <w:proofErr w:type="spellEnd"/>
      <w:r>
        <w:rPr>
          <w:rFonts w:ascii="Consolas" w:eastAsia="Consolas" w:hAnsi="Consolas" w:cs="Consolas"/>
          <w:color w:val="000000"/>
        </w:rPr>
        <w:t xml:space="preserve">()   </w:t>
      </w:r>
      <w:proofErr w:type="gramEnd"/>
      <w:r>
        <w:rPr>
          <w:rFonts w:ascii="Consolas" w:eastAsia="Consolas" w:hAnsi="Consolas" w:cs="Consolas"/>
          <w:color w:val="000000"/>
        </w:rPr>
        <w:t xml:space="preserve"># handed to Spark </w:t>
      </w:r>
      <w:proofErr w:type="spellStart"/>
      <w:r>
        <w:rPr>
          <w:rFonts w:ascii="Consolas" w:eastAsia="Consolas" w:hAnsi="Consolas" w:cs="Consolas"/>
          <w:color w:val="000000"/>
        </w:rPr>
        <w:t>MLlib</w:t>
      </w:r>
      <w:proofErr w:type="spellEnd"/>
    </w:p>
    <w:p w14:paraId="53E88720" w14:textId="77777777" w:rsidR="00520BC1" w:rsidRDefault="00B6741A">
      <w:pPr>
        <w:spacing w:after="200" w:line="300" w:lineRule="auto"/>
        <w:jc w:val="both"/>
        <w:rPr>
          <w:color w:val="000000"/>
          <w:sz w:val="24"/>
          <w:szCs w:val="24"/>
        </w:rPr>
      </w:pPr>
      <w:proofErr w:type="gramStart"/>
      <w:r>
        <w:rPr>
          <w:color w:val="000000"/>
          <w:sz w:val="24"/>
          <w:szCs w:val="24"/>
        </w:rPr>
        <w:t>map(</w:t>
      </w:r>
      <w:proofErr w:type="gramEnd"/>
      <w:r>
        <w:rPr>
          <w:color w:val="000000"/>
          <w:sz w:val="24"/>
          <w:szCs w:val="24"/>
        </w:rPr>
        <w:t xml:space="preserve">) is used for parsing raw JSON logs and extracting per-image feature vectors in parallel; </w:t>
      </w:r>
      <w:proofErr w:type="gramStart"/>
      <w:r>
        <w:rPr>
          <w:color w:val="000000"/>
          <w:sz w:val="24"/>
          <w:szCs w:val="24"/>
        </w:rPr>
        <w:t>filter(</w:t>
      </w:r>
      <w:proofErr w:type="gramEnd"/>
      <w:r>
        <w:rPr>
          <w:color w:val="000000"/>
          <w:sz w:val="24"/>
          <w:szCs w:val="24"/>
        </w:rPr>
        <w:t xml:space="preserve">) removes corrupted or incomplete sensor readings; </w:t>
      </w:r>
      <w:proofErr w:type="spellStart"/>
      <w:r>
        <w:rPr>
          <w:color w:val="000000"/>
          <w:sz w:val="24"/>
          <w:szCs w:val="24"/>
        </w:rPr>
        <w:t>groupByKey</w:t>
      </w:r>
      <w:proofErr w:type="spellEnd"/>
      <w:r>
        <w:rPr>
          <w:color w:val="000000"/>
          <w:sz w:val="24"/>
          <w:szCs w:val="24"/>
        </w:rPr>
        <w:t>()/</w:t>
      </w:r>
      <w:proofErr w:type="spellStart"/>
      <w:proofErr w:type="gramStart"/>
      <w:r>
        <w:rPr>
          <w:color w:val="000000"/>
          <w:sz w:val="24"/>
          <w:szCs w:val="24"/>
        </w:rPr>
        <w:t>reduceByKey</w:t>
      </w:r>
      <w:proofErr w:type="spellEnd"/>
      <w:r>
        <w:rPr>
          <w:color w:val="000000"/>
          <w:sz w:val="24"/>
          <w:szCs w:val="24"/>
        </w:rPr>
        <w:t>(</w:t>
      </w:r>
      <w:proofErr w:type="gramEnd"/>
      <w:r>
        <w:rPr>
          <w:color w:val="000000"/>
          <w:sz w:val="24"/>
          <w:szCs w:val="24"/>
        </w:rPr>
        <w:t xml:space="preserve">) aggregate defects by station or defect type to identify recurring failure patterns; and </w:t>
      </w:r>
      <w:proofErr w:type="gramStart"/>
      <w:r>
        <w:rPr>
          <w:color w:val="000000"/>
          <w:sz w:val="24"/>
          <w:szCs w:val="24"/>
        </w:rPr>
        <w:t>sample(</w:t>
      </w:r>
      <w:proofErr w:type="gramEnd"/>
      <w:r>
        <w:rPr>
          <w:color w:val="000000"/>
          <w:sz w:val="24"/>
          <w:szCs w:val="24"/>
        </w:rPr>
        <w:t>) draws balanced training subsets across defect classes. Because RDDs are lazily evaluated and lineage-tracked, the cluster can recompute lost partitions automatically on node failure, giving the pipeline fault tolerance without checkpointing</w:t>
      </w:r>
      <w:r>
        <w:rPr>
          <w:color w:val="000000"/>
          <w:sz w:val="24"/>
          <w:szCs w:val="24"/>
        </w:rPr>
        <w:t xml:space="preserve"> every stage. The resulting RDDs are converted to </w:t>
      </w:r>
      <w:proofErr w:type="spellStart"/>
      <w:r>
        <w:rPr>
          <w:color w:val="000000"/>
          <w:sz w:val="24"/>
          <w:szCs w:val="24"/>
        </w:rPr>
        <w:t>DataFrames</w:t>
      </w:r>
      <w:proofErr w:type="spellEnd"/>
      <w:r>
        <w:rPr>
          <w:color w:val="000000"/>
          <w:sz w:val="24"/>
          <w:szCs w:val="24"/>
        </w:rPr>
        <w:t xml:space="preserve"> only at the final stage before being fed into Spark </w:t>
      </w:r>
      <w:proofErr w:type="spellStart"/>
      <w:r>
        <w:rPr>
          <w:color w:val="000000"/>
          <w:sz w:val="24"/>
          <w:szCs w:val="24"/>
        </w:rPr>
        <w:t>MLlib</w:t>
      </w:r>
      <w:proofErr w:type="spellEnd"/>
      <w:r>
        <w:rPr>
          <w:color w:val="000000"/>
          <w:sz w:val="24"/>
          <w:szCs w:val="24"/>
        </w:rPr>
        <w:t xml:space="preserve"> for model training, combining RDD-level flexibility for custom feature engineering with the optimisation benefits of the </w:t>
      </w:r>
      <w:proofErr w:type="spellStart"/>
      <w:r>
        <w:rPr>
          <w:color w:val="000000"/>
          <w:sz w:val="24"/>
          <w:szCs w:val="24"/>
        </w:rPr>
        <w:t>DataFrame</w:t>
      </w:r>
      <w:proofErr w:type="spellEnd"/>
      <w:r>
        <w:rPr>
          <w:color w:val="000000"/>
          <w:sz w:val="24"/>
          <w:szCs w:val="24"/>
        </w:rPr>
        <w:t xml:space="preserve"> API for training.</w:t>
      </w:r>
    </w:p>
    <w:p w14:paraId="722EA4AC" w14:textId="77777777" w:rsidR="003A4E31" w:rsidRDefault="003A4E31">
      <w:pPr>
        <w:spacing w:after="200" w:line="300" w:lineRule="auto"/>
        <w:jc w:val="both"/>
        <w:rPr>
          <w:color w:val="000000"/>
          <w:sz w:val="24"/>
          <w:szCs w:val="24"/>
        </w:rPr>
      </w:pPr>
    </w:p>
    <w:p w14:paraId="26BC4F95" w14:textId="77777777" w:rsidR="003A4E31" w:rsidRDefault="003A4E31">
      <w:pPr>
        <w:spacing w:after="200" w:line="300" w:lineRule="auto"/>
        <w:jc w:val="both"/>
      </w:pPr>
    </w:p>
    <w:p w14:paraId="1A94A753" w14:textId="77777777" w:rsidR="00520BC1" w:rsidRDefault="00B6741A">
      <w:pPr>
        <w:spacing w:before="300" w:after="150"/>
      </w:pPr>
      <w:r>
        <w:rPr>
          <w:b/>
          <w:bCs/>
          <w:color w:val="000000"/>
          <w:sz w:val="28"/>
          <w:szCs w:val="28"/>
        </w:rPr>
        <w:lastRenderedPageBreak/>
        <w:t>4. Intelligent Agent Integration</w:t>
      </w:r>
    </w:p>
    <w:p w14:paraId="53E3E6AE" w14:textId="77777777" w:rsidR="00520BC1" w:rsidRDefault="00B6741A">
      <w:pPr>
        <w:spacing w:before="200" w:after="100"/>
      </w:pPr>
      <w:r>
        <w:rPr>
          <w:b/>
          <w:bCs/>
          <w:color w:val="000000"/>
          <w:sz w:val="24"/>
          <w:szCs w:val="24"/>
          <w:u w:val="single"/>
        </w:rPr>
        <w:t>4.1 Edge Inspection Agents</w:t>
      </w:r>
    </w:p>
    <w:p w14:paraId="69157EA5" w14:textId="77777777" w:rsidR="00520BC1" w:rsidRDefault="00B6741A">
      <w:pPr>
        <w:spacing w:after="200" w:line="300" w:lineRule="auto"/>
        <w:jc w:val="both"/>
      </w:pPr>
      <w:r>
        <w:rPr>
          <w:color w:val="000000"/>
          <w:sz w:val="24"/>
          <w:szCs w:val="24"/>
        </w:rPr>
        <w:t>Each inspection station hosts an autonomous edge agent responsible for capturing sensor/image data, running local CNN inference, comparing the confidence score against the current defect threshold, and triggering a reject/accept decision. These agents operate independently to guarantee real-time response even if network connectivity to the central cluster is temporarily lost, storing decisions locally and forwarding them once connectivity is restored (store-and-forward pattern).</w:t>
      </w:r>
    </w:p>
    <w:p w14:paraId="78A86D2F" w14:textId="77777777" w:rsidR="00520BC1" w:rsidRDefault="00B6741A">
      <w:pPr>
        <w:spacing w:before="200" w:after="100"/>
      </w:pPr>
      <w:r>
        <w:rPr>
          <w:b/>
          <w:bCs/>
          <w:color w:val="000000"/>
          <w:sz w:val="24"/>
          <w:szCs w:val="24"/>
          <w:u w:val="single"/>
        </w:rPr>
        <w:t>4.2 Central Orchestrator Agent</w:t>
      </w:r>
    </w:p>
    <w:p w14:paraId="70719DD4" w14:textId="77777777" w:rsidR="00520BC1" w:rsidRDefault="00B6741A">
      <w:pPr>
        <w:spacing w:after="200" w:line="300" w:lineRule="auto"/>
        <w:jc w:val="both"/>
      </w:pPr>
      <w:r>
        <w:rPr>
          <w:color w:val="000000"/>
          <w:sz w:val="24"/>
          <w:szCs w:val="24"/>
        </w:rPr>
        <w:t xml:space="preserve">A central coordination agent, running alongside the </w:t>
      </w:r>
      <w:proofErr w:type="spellStart"/>
      <w:r>
        <w:rPr>
          <w:color w:val="000000"/>
          <w:sz w:val="24"/>
          <w:szCs w:val="24"/>
        </w:rPr>
        <w:t>PySpark</w:t>
      </w:r>
      <w:proofErr w:type="spellEnd"/>
      <w:r>
        <w:rPr>
          <w:color w:val="000000"/>
          <w:sz w:val="24"/>
          <w:szCs w:val="24"/>
        </w:rPr>
        <w:t xml:space="preserve"> cluster, aggregates defect statistics from all stations, detects drift in defect rates or feature distributions, and decides when a threshold adjustment or a full model retraining cycle is required. It also resolves conflicts when multiple edge agents report ambiguous readings for the same batch of products.</w:t>
      </w:r>
    </w:p>
    <w:p w14:paraId="51C0D4A9" w14:textId="77777777" w:rsidR="00520BC1" w:rsidRDefault="00B6741A">
      <w:pPr>
        <w:spacing w:before="200" w:after="100"/>
      </w:pPr>
      <w:r>
        <w:rPr>
          <w:b/>
          <w:bCs/>
          <w:color w:val="000000"/>
          <w:sz w:val="24"/>
          <w:szCs w:val="24"/>
          <w:u w:val="single"/>
        </w:rPr>
        <w:t>4.3 Collaboration &amp; Adaptation</w:t>
      </w:r>
    </w:p>
    <w:p w14:paraId="6DAB40F7" w14:textId="77777777" w:rsidR="00520BC1" w:rsidRDefault="00B6741A">
      <w:pPr>
        <w:spacing w:after="200" w:line="300" w:lineRule="auto"/>
        <w:jc w:val="both"/>
      </w:pPr>
      <w:r>
        <w:rPr>
          <w:color w:val="000000"/>
          <w:sz w:val="24"/>
          <w:szCs w:val="24"/>
        </w:rPr>
        <w:t>The two agent types communicate through a lightweight publish/subscribe protocol: edge agents publish inspection outcomes and confidence scores, and the orchestrator agent publishes updated model weights and revised threshold values whenever retraining completes or production conditions shift (for example, a new raw-material batch causing a change in surface texture). This closed feedback loop allows the system to self-adapt: if the false-reject rate at a station rises, the orchestrator can lower the confid</w:t>
      </w:r>
      <w:r>
        <w:rPr>
          <w:color w:val="000000"/>
          <w:sz w:val="24"/>
          <w:szCs w:val="24"/>
        </w:rPr>
        <w:t>ence threshold for that station specifically, rather than applying a blanket change across the entire line.</w:t>
      </w:r>
    </w:p>
    <w:p w14:paraId="5DE8414F" w14:textId="77777777" w:rsidR="00520BC1" w:rsidRDefault="00B6741A">
      <w:pPr>
        <w:spacing w:before="300" w:after="150"/>
      </w:pPr>
      <w:r>
        <w:rPr>
          <w:b/>
          <w:bCs/>
          <w:color w:val="000000"/>
          <w:sz w:val="28"/>
          <w:szCs w:val="28"/>
        </w:rPr>
        <w:t>5. Scalability &amp; Distributed Computing Design</w:t>
      </w:r>
    </w:p>
    <w:p w14:paraId="321E5E06" w14:textId="77777777" w:rsidR="00520BC1" w:rsidRDefault="00B6741A">
      <w:pPr>
        <w:spacing w:after="200" w:line="300" w:lineRule="auto"/>
        <w:jc w:val="both"/>
      </w:pPr>
      <w:r>
        <w:rPr>
          <w:color w:val="000000"/>
          <w:sz w:val="24"/>
          <w:szCs w:val="24"/>
        </w:rPr>
        <w:t xml:space="preserve">Scalability is achieved at both tiers. At the edge, additional inspection stations can be added independently since each edge agent is self-contained and only needs a network link to the broker; there is no central bottleneck for real-time decisions. At the cloud tier, the </w:t>
      </w:r>
      <w:proofErr w:type="spellStart"/>
      <w:r>
        <w:rPr>
          <w:color w:val="000000"/>
          <w:sz w:val="24"/>
          <w:szCs w:val="24"/>
        </w:rPr>
        <w:t>PySpark</w:t>
      </w:r>
      <w:proofErr w:type="spellEnd"/>
      <w:r>
        <w:rPr>
          <w:color w:val="000000"/>
          <w:sz w:val="24"/>
          <w:szCs w:val="24"/>
        </w:rPr>
        <w:t xml:space="preserve"> cluster scales horizontally by adding worker nodes, and RDD partitioning automatically redistributes the workload across the available executors. Kafka partitions allow the streaming ingestion layer to scale with the number of production lines. Fault tolerance is provided through RDD lineage-based </w:t>
      </w:r>
      <w:proofErr w:type="spellStart"/>
      <w:r>
        <w:rPr>
          <w:color w:val="000000"/>
          <w:sz w:val="24"/>
          <w:szCs w:val="24"/>
        </w:rPr>
        <w:t>recomputation</w:t>
      </w:r>
      <w:proofErr w:type="spellEnd"/>
      <w:r>
        <w:rPr>
          <w:color w:val="000000"/>
          <w:sz w:val="24"/>
          <w:szCs w:val="24"/>
        </w:rPr>
        <w:t xml:space="preserve"> in Spark, replicated storage in HDFS/S3, and the store-and-forward buffering at edge agents, so that a failure of any single node — edge device, streaming broker, or Spark executor — does not</w:t>
      </w:r>
      <w:r>
        <w:rPr>
          <w:color w:val="000000"/>
          <w:sz w:val="24"/>
          <w:szCs w:val="24"/>
        </w:rPr>
        <w:t xml:space="preserve"> halt production or lose inspection data.</w:t>
      </w:r>
    </w:p>
    <w:p w14:paraId="5209DC5A" w14:textId="77777777" w:rsidR="00520BC1" w:rsidRDefault="00B6741A">
      <w:pPr>
        <w:spacing w:before="300" w:after="150"/>
      </w:pPr>
      <w:r>
        <w:rPr>
          <w:b/>
          <w:bCs/>
          <w:color w:val="000000"/>
          <w:sz w:val="28"/>
          <w:szCs w:val="28"/>
        </w:rPr>
        <w:t>6. Data Flow &amp; Processing Pipeline</w:t>
      </w:r>
    </w:p>
    <w:p w14:paraId="5F57502B" w14:textId="77777777" w:rsidR="00520BC1" w:rsidRDefault="00B6741A">
      <w:pPr>
        <w:spacing w:after="200" w:line="300" w:lineRule="auto"/>
        <w:jc w:val="both"/>
      </w:pPr>
      <w:r>
        <w:rPr>
          <w:color w:val="000000"/>
          <w:sz w:val="24"/>
          <w:szCs w:val="24"/>
        </w:rPr>
        <w:t xml:space="preserve">The data flow proceeds in two parallel paths. The real-time path begins at the camera/sensor, passes through the edge inference agent, and results in an immediate accept/reject actuation, with the same event asynchronously streamed to Kafka for logging. The batch path periodically pulls accumulated logs from the data lake into </w:t>
      </w:r>
      <w:proofErr w:type="spellStart"/>
      <w:r>
        <w:rPr>
          <w:color w:val="000000"/>
          <w:sz w:val="24"/>
          <w:szCs w:val="24"/>
        </w:rPr>
        <w:t>PySpark</w:t>
      </w:r>
      <w:proofErr w:type="spellEnd"/>
      <w:r>
        <w:rPr>
          <w:color w:val="000000"/>
          <w:sz w:val="24"/>
          <w:szCs w:val="24"/>
        </w:rPr>
        <w:t xml:space="preserve"> as RDDs, applies the transformation pipeline described in Section 3, aggregates defect statistics, retrains the model using Spark </w:t>
      </w:r>
      <w:proofErr w:type="spellStart"/>
      <w:r>
        <w:rPr>
          <w:color w:val="000000"/>
          <w:sz w:val="24"/>
          <w:szCs w:val="24"/>
        </w:rPr>
        <w:t>MLlib</w:t>
      </w:r>
      <w:proofErr w:type="spellEnd"/>
      <w:r>
        <w:rPr>
          <w:color w:val="000000"/>
          <w:sz w:val="24"/>
          <w:szCs w:val="24"/>
        </w:rPr>
        <w:t xml:space="preserve">, and pushes the updated model and thresholds back down to the edge agents through the coordination layer. This dual-path design </w:t>
      </w:r>
      <w:r>
        <w:rPr>
          <w:color w:val="000000"/>
          <w:sz w:val="24"/>
          <w:szCs w:val="24"/>
        </w:rPr>
        <w:lastRenderedPageBreak/>
        <w:t>decouples the millisecond-scale inspection decision from the hour/day-scale model-improvement cycle, ensuring that neither path blocks the other.</w:t>
      </w:r>
    </w:p>
    <w:p w14:paraId="33AB7BE8" w14:textId="77777777" w:rsidR="00520BC1" w:rsidRDefault="00B6741A">
      <w:pPr>
        <w:spacing w:before="300" w:after="150"/>
      </w:pPr>
      <w:r>
        <w:rPr>
          <w:b/>
          <w:bCs/>
          <w:color w:val="000000"/>
          <w:sz w:val="28"/>
          <w:szCs w:val="28"/>
        </w:rPr>
        <w:t>7. Innovation &amp; Creativity</w:t>
      </w:r>
    </w:p>
    <w:p w14:paraId="54BD378A" w14:textId="77777777" w:rsidR="00520BC1" w:rsidRDefault="00B6741A">
      <w:pPr>
        <w:spacing w:after="200" w:line="300" w:lineRule="auto"/>
        <w:jc w:val="both"/>
      </w:pPr>
      <w:r>
        <w:rPr>
          <w:color w:val="000000"/>
          <w:sz w:val="24"/>
          <w:szCs w:val="24"/>
        </w:rPr>
        <w:t>The design's key innovation is station-specific adaptive thresholding driven by continuous feedback between edge and cloud agents, rather than a single static model deployed uniformly across the line. Combining lightweight edge inference for latency-critical decisions with RDD-based distributed batch retraining for accuracy improvement allows the system to be both fast and continuously self-improving. The store-and-forward buffering at the edge, together with lineage-based fault recovery in Spark, gives the</w:t>
      </w:r>
      <w:r>
        <w:rPr>
          <w:color w:val="000000"/>
          <w:sz w:val="24"/>
          <w:szCs w:val="24"/>
        </w:rPr>
        <w:t xml:space="preserve"> platform resilience against both network and compute-node failures, which is critical in a 24/7 industrial environment.</w:t>
      </w:r>
    </w:p>
    <w:p w14:paraId="7A08952D" w14:textId="77777777" w:rsidR="00520BC1" w:rsidRDefault="00B6741A">
      <w:pPr>
        <w:spacing w:before="300" w:after="150"/>
      </w:pPr>
      <w:r>
        <w:rPr>
          <w:b/>
          <w:bCs/>
          <w:color w:val="000000"/>
          <w:sz w:val="28"/>
          <w:szCs w:val="28"/>
        </w:rPr>
        <w:t>8. Conclusion</w:t>
      </w:r>
    </w:p>
    <w:p w14:paraId="364FDCB4" w14:textId="77777777" w:rsidR="00520BC1" w:rsidRDefault="00B6741A">
      <w:pPr>
        <w:spacing w:after="200" w:line="300" w:lineRule="auto"/>
        <w:jc w:val="both"/>
      </w:pPr>
      <w:r>
        <w:rPr>
          <w:color w:val="000000"/>
          <w:sz w:val="24"/>
          <w:szCs w:val="24"/>
        </w:rPr>
        <w:t xml:space="preserve">This Edge AI quality-control platform combines low-latency edge inference, </w:t>
      </w:r>
      <w:proofErr w:type="spellStart"/>
      <w:r>
        <w:rPr>
          <w:color w:val="000000"/>
          <w:sz w:val="24"/>
          <w:szCs w:val="24"/>
        </w:rPr>
        <w:t>PySpark</w:t>
      </w:r>
      <w:proofErr w:type="spellEnd"/>
      <w:r>
        <w:rPr>
          <w:color w:val="000000"/>
          <w:sz w:val="24"/>
          <w:szCs w:val="24"/>
        </w:rPr>
        <w:t>/RDD-based distributed batch analytics, and a two-tier intelligent-agent architecture to deliver real-time defect detection that continuously improves through large-scale distributed retraining. The design satisfies the requirements of scalability, fault tolerance, and adaptive, agent-driven decision-making demanded by a modern high-speed manufacturing environment.</w:t>
      </w:r>
    </w:p>
    <w:p w14:paraId="30D2BAE3" w14:textId="77777777" w:rsidR="00520BC1" w:rsidRDefault="00B6741A">
      <w:r>
        <w:br w:type="page"/>
      </w:r>
    </w:p>
    <w:p w14:paraId="1F58539C" w14:textId="77777777" w:rsidR="00520BC1" w:rsidRDefault="00B6741A">
      <w:pPr>
        <w:spacing w:before="300" w:after="150"/>
      </w:pPr>
      <w:r>
        <w:rPr>
          <w:b/>
          <w:bCs/>
          <w:color w:val="000000"/>
          <w:sz w:val="28"/>
          <w:szCs w:val="28"/>
        </w:rPr>
        <w:lastRenderedPageBreak/>
        <w:t>Rubrics for Calculation</w:t>
      </w:r>
    </w:p>
    <w:p w14:paraId="1A8C438B" w14:textId="77777777" w:rsidR="00520BC1" w:rsidRDefault="00B6741A">
      <w:pPr>
        <w:spacing w:after="150" w:line="300" w:lineRule="auto"/>
        <w:jc w:val="both"/>
      </w:pPr>
      <w:r>
        <w:rPr>
          <w:color w:val="000000"/>
          <w:sz w:val="22"/>
          <w:szCs w:val="22"/>
        </w:rPr>
        <w:t>Weightage of each evaluation criterion: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83"/>
        <w:gridCol w:w="1165"/>
        <w:gridCol w:w="1161"/>
        <w:gridCol w:w="1161"/>
        <w:gridCol w:w="1162"/>
        <w:gridCol w:w="1159"/>
        <w:gridCol w:w="1160"/>
        <w:gridCol w:w="1209"/>
      </w:tblGrid>
      <w:tr w:rsidR="00520BC1" w14:paraId="6347A55E" w14:textId="77777777">
        <w:tblPrEx>
          <w:tblCellMar>
            <w:top w:w="0" w:type="dxa"/>
            <w:bottom w:w="0" w:type="dxa"/>
          </w:tblCellMar>
        </w:tblPrEx>
        <w:tc>
          <w:tcPr>
            <w:tcW w:w="1170" w:type="dxa"/>
            <w:tcBorders>
              <w:top w:val="single" w:sz="4" w:space="0" w:color="555555"/>
              <w:left w:val="single" w:sz="4" w:space="0" w:color="555555"/>
              <w:bottom w:val="single" w:sz="4" w:space="0" w:color="555555"/>
              <w:right w:val="single" w:sz="4" w:space="0" w:color="555555"/>
            </w:tcBorders>
            <w:shd w:val="clear" w:color="auto" w:fill="D9E2F3"/>
            <w:tcMar>
              <w:top w:w="60" w:type="dxa"/>
              <w:left w:w="80" w:type="dxa"/>
              <w:bottom w:w="60" w:type="dxa"/>
              <w:right w:w="80" w:type="dxa"/>
            </w:tcMar>
            <w:vAlign w:val="center"/>
          </w:tcPr>
          <w:p w14:paraId="1207E3FF" w14:textId="77777777" w:rsidR="00520BC1" w:rsidRDefault="00B6741A">
            <w:pPr>
              <w:jc w:val="center"/>
            </w:pPr>
            <w:r>
              <w:rPr>
                <w:b/>
                <w:bCs/>
                <w:color w:val="000000"/>
                <w:sz w:val="16"/>
                <w:szCs w:val="16"/>
              </w:rPr>
              <w:t>Problem Understanding &amp; Requirement Analysis</w:t>
            </w:r>
          </w:p>
        </w:tc>
        <w:tc>
          <w:tcPr>
            <w:tcW w:w="1170" w:type="dxa"/>
            <w:tcBorders>
              <w:top w:val="single" w:sz="4" w:space="0" w:color="555555"/>
              <w:left w:val="single" w:sz="4" w:space="0" w:color="555555"/>
              <w:bottom w:val="single" w:sz="4" w:space="0" w:color="555555"/>
              <w:right w:val="single" w:sz="4" w:space="0" w:color="555555"/>
            </w:tcBorders>
            <w:shd w:val="clear" w:color="auto" w:fill="D9E2F3"/>
            <w:tcMar>
              <w:top w:w="60" w:type="dxa"/>
              <w:left w:w="80" w:type="dxa"/>
              <w:bottom w:w="60" w:type="dxa"/>
              <w:right w:w="80" w:type="dxa"/>
            </w:tcMar>
            <w:vAlign w:val="center"/>
          </w:tcPr>
          <w:p w14:paraId="53C25F77" w14:textId="77777777" w:rsidR="00520BC1" w:rsidRDefault="00B6741A">
            <w:pPr>
              <w:jc w:val="center"/>
            </w:pPr>
            <w:r>
              <w:rPr>
                <w:b/>
                <w:bCs/>
                <w:color w:val="000000"/>
                <w:sz w:val="16"/>
                <w:szCs w:val="16"/>
              </w:rPr>
              <w:t>System Architecture Design</w:t>
            </w:r>
          </w:p>
        </w:tc>
        <w:tc>
          <w:tcPr>
            <w:tcW w:w="1170" w:type="dxa"/>
            <w:tcBorders>
              <w:top w:val="single" w:sz="4" w:space="0" w:color="555555"/>
              <w:left w:val="single" w:sz="4" w:space="0" w:color="555555"/>
              <w:bottom w:val="single" w:sz="4" w:space="0" w:color="555555"/>
              <w:right w:val="single" w:sz="4" w:space="0" w:color="555555"/>
            </w:tcBorders>
            <w:shd w:val="clear" w:color="auto" w:fill="D9E2F3"/>
            <w:tcMar>
              <w:top w:w="60" w:type="dxa"/>
              <w:left w:w="80" w:type="dxa"/>
              <w:bottom w:w="60" w:type="dxa"/>
              <w:right w:w="80" w:type="dxa"/>
            </w:tcMar>
            <w:vAlign w:val="center"/>
          </w:tcPr>
          <w:p w14:paraId="62D52A0D" w14:textId="77777777" w:rsidR="00520BC1" w:rsidRDefault="00B6741A">
            <w:pPr>
              <w:jc w:val="center"/>
            </w:pPr>
            <w:r>
              <w:rPr>
                <w:b/>
                <w:bCs/>
                <w:color w:val="000000"/>
                <w:sz w:val="16"/>
                <w:szCs w:val="16"/>
              </w:rPr>
              <w:t xml:space="preserve">Use of </w:t>
            </w:r>
            <w:proofErr w:type="spellStart"/>
            <w:r>
              <w:rPr>
                <w:b/>
                <w:bCs/>
                <w:color w:val="000000"/>
                <w:sz w:val="16"/>
                <w:szCs w:val="16"/>
              </w:rPr>
              <w:t>PySpark</w:t>
            </w:r>
            <w:proofErr w:type="spellEnd"/>
            <w:r>
              <w:rPr>
                <w:b/>
                <w:bCs/>
                <w:color w:val="000000"/>
                <w:sz w:val="16"/>
                <w:szCs w:val="16"/>
              </w:rPr>
              <w:t xml:space="preserve"> &amp; RDD Operations</w:t>
            </w:r>
          </w:p>
        </w:tc>
        <w:tc>
          <w:tcPr>
            <w:tcW w:w="1170" w:type="dxa"/>
            <w:tcBorders>
              <w:top w:val="single" w:sz="4" w:space="0" w:color="555555"/>
              <w:left w:val="single" w:sz="4" w:space="0" w:color="555555"/>
              <w:bottom w:val="single" w:sz="4" w:space="0" w:color="555555"/>
              <w:right w:val="single" w:sz="4" w:space="0" w:color="555555"/>
            </w:tcBorders>
            <w:shd w:val="clear" w:color="auto" w:fill="D9E2F3"/>
            <w:tcMar>
              <w:top w:w="60" w:type="dxa"/>
              <w:left w:w="80" w:type="dxa"/>
              <w:bottom w:w="60" w:type="dxa"/>
              <w:right w:w="80" w:type="dxa"/>
            </w:tcMar>
            <w:vAlign w:val="center"/>
          </w:tcPr>
          <w:p w14:paraId="26BB1C0D" w14:textId="77777777" w:rsidR="00520BC1" w:rsidRDefault="00B6741A">
            <w:pPr>
              <w:jc w:val="center"/>
            </w:pPr>
            <w:r>
              <w:rPr>
                <w:b/>
                <w:bCs/>
                <w:color w:val="000000"/>
                <w:sz w:val="16"/>
                <w:szCs w:val="16"/>
              </w:rPr>
              <w:t>Intelligent Agent Integration</w:t>
            </w:r>
          </w:p>
        </w:tc>
        <w:tc>
          <w:tcPr>
            <w:tcW w:w="1170" w:type="dxa"/>
            <w:tcBorders>
              <w:top w:val="single" w:sz="4" w:space="0" w:color="555555"/>
              <w:left w:val="single" w:sz="4" w:space="0" w:color="555555"/>
              <w:bottom w:val="single" w:sz="4" w:space="0" w:color="555555"/>
              <w:right w:val="single" w:sz="4" w:space="0" w:color="555555"/>
            </w:tcBorders>
            <w:shd w:val="clear" w:color="auto" w:fill="D9E2F3"/>
            <w:tcMar>
              <w:top w:w="60" w:type="dxa"/>
              <w:left w:w="80" w:type="dxa"/>
              <w:bottom w:w="60" w:type="dxa"/>
              <w:right w:w="80" w:type="dxa"/>
            </w:tcMar>
            <w:vAlign w:val="center"/>
          </w:tcPr>
          <w:p w14:paraId="732FE4B4" w14:textId="77777777" w:rsidR="00520BC1" w:rsidRDefault="00B6741A">
            <w:pPr>
              <w:jc w:val="center"/>
            </w:pPr>
            <w:r>
              <w:rPr>
                <w:b/>
                <w:bCs/>
                <w:color w:val="000000"/>
                <w:sz w:val="16"/>
                <w:szCs w:val="16"/>
              </w:rPr>
              <w:t>Scalability &amp; Distributed Computing Design</w:t>
            </w:r>
          </w:p>
        </w:tc>
        <w:tc>
          <w:tcPr>
            <w:tcW w:w="1170" w:type="dxa"/>
            <w:tcBorders>
              <w:top w:val="single" w:sz="4" w:space="0" w:color="555555"/>
              <w:left w:val="single" w:sz="4" w:space="0" w:color="555555"/>
              <w:bottom w:val="single" w:sz="4" w:space="0" w:color="555555"/>
              <w:right w:val="single" w:sz="4" w:space="0" w:color="555555"/>
            </w:tcBorders>
            <w:shd w:val="clear" w:color="auto" w:fill="D9E2F3"/>
            <w:tcMar>
              <w:top w:w="60" w:type="dxa"/>
              <w:left w:w="80" w:type="dxa"/>
              <w:bottom w:w="60" w:type="dxa"/>
              <w:right w:w="80" w:type="dxa"/>
            </w:tcMar>
            <w:vAlign w:val="center"/>
          </w:tcPr>
          <w:p w14:paraId="0F65C042" w14:textId="77777777" w:rsidR="00520BC1" w:rsidRDefault="00B6741A">
            <w:pPr>
              <w:jc w:val="center"/>
            </w:pPr>
            <w:r>
              <w:rPr>
                <w:b/>
                <w:bCs/>
                <w:color w:val="000000"/>
                <w:sz w:val="16"/>
                <w:szCs w:val="16"/>
              </w:rPr>
              <w:t>Data Flow &amp; Processing Pipeline</w:t>
            </w:r>
          </w:p>
        </w:tc>
        <w:tc>
          <w:tcPr>
            <w:tcW w:w="1170" w:type="dxa"/>
            <w:tcBorders>
              <w:top w:val="single" w:sz="4" w:space="0" w:color="555555"/>
              <w:left w:val="single" w:sz="4" w:space="0" w:color="555555"/>
              <w:bottom w:val="single" w:sz="4" w:space="0" w:color="555555"/>
              <w:right w:val="single" w:sz="4" w:space="0" w:color="555555"/>
            </w:tcBorders>
            <w:shd w:val="clear" w:color="auto" w:fill="D9E2F3"/>
            <w:tcMar>
              <w:top w:w="60" w:type="dxa"/>
              <w:left w:w="80" w:type="dxa"/>
              <w:bottom w:w="60" w:type="dxa"/>
              <w:right w:w="80" w:type="dxa"/>
            </w:tcMar>
            <w:vAlign w:val="center"/>
          </w:tcPr>
          <w:p w14:paraId="4D8D68FC" w14:textId="77777777" w:rsidR="00520BC1" w:rsidRDefault="00B6741A">
            <w:pPr>
              <w:jc w:val="center"/>
            </w:pPr>
            <w:r>
              <w:rPr>
                <w:b/>
                <w:bCs/>
                <w:color w:val="000000"/>
                <w:sz w:val="16"/>
                <w:szCs w:val="16"/>
              </w:rPr>
              <w:t>Innovation &amp; Creativity</w:t>
            </w:r>
          </w:p>
        </w:tc>
        <w:tc>
          <w:tcPr>
            <w:tcW w:w="1170" w:type="dxa"/>
            <w:tcBorders>
              <w:top w:val="single" w:sz="4" w:space="0" w:color="555555"/>
              <w:left w:val="single" w:sz="4" w:space="0" w:color="555555"/>
              <w:bottom w:val="single" w:sz="4" w:space="0" w:color="555555"/>
              <w:right w:val="single" w:sz="4" w:space="0" w:color="555555"/>
            </w:tcBorders>
            <w:shd w:val="clear" w:color="auto" w:fill="D9E2F3"/>
            <w:tcMar>
              <w:top w:w="60" w:type="dxa"/>
              <w:left w:w="80" w:type="dxa"/>
              <w:bottom w:w="60" w:type="dxa"/>
              <w:right w:w="80" w:type="dxa"/>
            </w:tcMar>
            <w:vAlign w:val="center"/>
          </w:tcPr>
          <w:p w14:paraId="4501708D" w14:textId="77777777" w:rsidR="00520BC1" w:rsidRDefault="00B6741A">
            <w:pPr>
              <w:jc w:val="center"/>
            </w:pPr>
            <w:r>
              <w:rPr>
                <w:b/>
                <w:bCs/>
                <w:color w:val="000000"/>
                <w:sz w:val="16"/>
                <w:szCs w:val="16"/>
              </w:rPr>
              <w:t>Clarity, Presentation &amp; Documentation</w:t>
            </w:r>
          </w:p>
        </w:tc>
      </w:tr>
      <w:tr w:rsidR="00520BC1" w14:paraId="4CB647D6" w14:textId="77777777">
        <w:tblPrEx>
          <w:tblCellMar>
            <w:top w:w="0" w:type="dxa"/>
            <w:bottom w:w="0" w:type="dxa"/>
          </w:tblCellMar>
        </w:tblPrEx>
        <w:tc>
          <w:tcPr>
            <w:tcW w:w="1170" w:type="dxa"/>
            <w:tcBorders>
              <w:top w:val="single" w:sz="4" w:space="0" w:color="555555"/>
              <w:left w:val="single" w:sz="4" w:space="0" w:color="555555"/>
              <w:bottom w:val="single" w:sz="4" w:space="0" w:color="555555"/>
              <w:right w:val="single" w:sz="4" w:space="0" w:color="555555"/>
            </w:tcBorders>
            <w:tcMar>
              <w:top w:w="60" w:type="dxa"/>
              <w:left w:w="80" w:type="dxa"/>
              <w:bottom w:w="60" w:type="dxa"/>
              <w:right w:w="80" w:type="dxa"/>
            </w:tcMar>
            <w:vAlign w:val="center"/>
          </w:tcPr>
          <w:p w14:paraId="4E9FE050" w14:textId="77777777" w:rsidR="00520BC1" w:rsidRDefault="00B6741A">
            <w:pPr>
              <w:jc w:val="center"/>
            </w:pPr>
            <w:r>
              <w:rPr>
                <w:b/>
                <w:bCs/>
                <w:color w:val="000000"/>
                <w:sz w:val="18"/>
                <w:szCs w:val="18"/>
              </w:rPr>
              <w:t>10%</w:t>
            </w:r>
          </w:p>
        </w:tc>
        <w:tc>
          <w:tcPr>
            <w:tcW w:w="1170" w:type="dxa"/>
            <w:tcBorders>
              <w:top w:val="single" w:sz="4" w:space="0" w:color="555555"/>
              <w:left w:val="single" w:sz="4" w:space="0" w:color="555555"/>
              <w:bottom w:val="single" w:sz="4" w:space="0" w:color="555555"/>
              <w:right w:val="single" w:sz="4" w:space="0" w:color="555555"/>
            </w:tcBorders>
            <w:tcMar>
              <w:top w:w="60" w:type="dxa"/>
              <w:left w:w="80" w:type="dxa"/>
              <w:bottom w:w="60" w:type="dxa"/>
              <w:right w:w="80" w:type="dxa"/>
            </w:tcMar>
            <w:vAlign w:val="center"/>
          </w:tcPr>
          <w:p w14:paraId="666D3CBE" w14:textId="77777777" w:rsidR="00520BC1" w:rsidRDefault="00B6741A">
            <w:pPr>
              <w:jc w:val="center"/>
            </w:pPr>
            <w:r>
              <w:rPr>
                <w:b/>
                <w:bCs/>
                <w:color w:val="000000"/>
                <w:sz w:val="18"/>
                <w:szCs w:val="18"/>
              </w:rPr>
              <w:t>20%</w:t>
            </w:r>
          </w:p>
        </w:tc>
        <w:tc>
          <w:tcPr>
            <w:tcW w:w="1170" w:type="dxa"/>
            <w:tcBorders>
              <w:top w:val="single" w:sz="4" w:space="0" w:color="555555"/>
              <w:left w:val="single" w:sz="4" w:space="0" w:color="555555"/>
              <w:bottom w:val="single" w:sz="4" w:space="0" w:color="555555"/>
              <w:right w:val="single" w:sz="4" w:space="0" w:color="555555"/>
            </w:tcBorders>
            <w:tcMar>
              <w:top w:w="60" w:type="dxa"/>
              <w:left w:w="80" w:type="dxa"/>
              <w:bottom w:w="60" w:type="dxa"/>
              <w:right w:w="80" w:type="dxa"/>
            </w:tcMar>
            <w:vAlign w:val="center"/>
          </w:tcPr>
          <w:p w14:paraId="07C04382" w14:textId="77777777" w:rsidR="00520BC1" w:rsidRDefault="00B6741A">
            <w:pPr>
              <w:jc w:val="center"/>
            </w:pPr>
            <w:r>
              <w:rPr>
                <w:b/>
                <w:bCs/>
                <w:color w:val="000000"/>
                <w:sz w:val="18"/>
                <w:szCs w:val="18"/>
              </w:rPr>
              <w:t>15%</w:t>
            </w:r>
          </w:p>
        </w:tc>
        <w:tc>
          <w:tcPr>
            <w:tcW w:w="1170" w:type="dxa"/>
            <w:tcBorders>
              <w:top w:val="single" w:sz="4" w:space="0" w:color="555555"/>
              <w:left w:val="single" w:sz="4" w:space="0" w:color="555555"/>
              <w:bottom w:val="single" w:sz="4" w:space="0" w:color="555555"/>
              <w:right w:val="single" w:sz="4" w:space="0" w:color="555555"/>
            </w:tcBorders>
            <w:tcMar>
              <w:top w:w="60" w:type="dxa"/>
              <w:left w:w="80" w:type="dxa"/>
              <w:bottom w:w="60" w:type="dxa"/>
              <w:right w:w="80" w:type="dxa"/>
            </w:tcMar>
            <w:vAlign w:val="center"/>
          </w:tcPr>
          <w:p w14:paraId="75EA76B7" w14:textId="77777777" w:rsidR="00520BC1" w:rsidRDefault="00B6741A">
            <w:pPr>
              <w:jc w:val="center"/>
            </w:pPr>
            <w:r>
              <w:rPr>
                <w:b/>
                <w:bCs/>
                <w:color w:val="000000"/>
                <w:sz w:val="18"/>
                <w:szCs w:val="18"/>
              </w:rPr>
              <w:t>15%</w:t>
            </w:r>
          </w:p>
        </w:tc>
        <w:tc>
          <w:tcPr>
            <w:tcW w:w="1170" w:type="dxa"/>
            <w:tcBorders>
              <w:top w:val="single" w:sz="4" w:space="0" w:color="555555"/>
              <w:left w:val="single" w:sz="4" w:space="0" w:color="555555"/>
              <w:bottom w:val="single" w:sz="4" w:space="0" w:color="555555"/>
              <w:right w:val="single" w:sz="4" w:space="0" w:color="555555"/>
            </w:tcBorders>
            <w:tcMar>
              <w:top w:w="60" w:type="dxa"/>
              <w:left w:w="80" w:type="dxa"/>
              <w:bottom w:w="60" w:type="dxa"/>
              <w:right w:w="80" w:type="dxa"/>
            </w:tcMar>
            <w:vAlign w:val="center"/>
          </w:tcPr>
          <w:p w14:paraId="3ED935EE" w14:textId="77777777" w:rsidR="00520BC1" w:rsidRDefault="00B6741A">
            <w:pPr>
              <w:jc w:val="center"/>
            </w:pPr>
            <w:r>
              <w:rPr>
                <w:b/>
                <w:bCs/>
                <w:color w:val="000000"/>
                <w:sz w:val="18"/>
                <w:szCs w:val="18"/>
              </w:rPr>
              <w:t>10%</w:t>
            </w:r>
          </w:p>
        </w:tc>
        <w:tc>
          <w:tcPr>
            <w:tcW w:w="1170" w:type="dxa"/>
            <w:tcBorders>
              <w:top w:val="single" w:sz="4" w:space="0" w:color="555555"/>
              <w:left w:val="single" w:sz="4" w:space="0" w:color="555555"/>
              <w:bottom w:val="single" w:sz="4" w:space="0" w:color="555555"/>
              <w:right w:val="single" w:sz="4" w:space="0" w:color="555555"/>
            </w:tcBorders>
            <w:tcMar>
              <w:top w:w="60" w:type="dxa"/>
              <w:left w:w="80" w:type="dxa"/>
              <w:bottom w:w="60" w:type="dxa"/>
              <w:right w:w="80" w:type="dxa"/>
            </w:tcMar>
            <w:vAlign w:val="center"/>
          </w:tcPr>
          <w:p w14:paraId="2DF6B138" w14:textId="77777777" w:rsidR="00520BC1" w:rsidRDefault="00B6741A">
            <w:pPr>
              <w:jc w:val="center"/>
            </w:pPr>
            <w:r>
              <w:rPr>
                <w:b/>
                <w:bCs/>
                <w:color w:val="000000"/>
                <w:sz w:val="18"/>
                <w:szCs w:val="18"/>
              </w:rPr>
              <w:t>10%</w:t>
            </w:r>
          </w:p>
        </w:tc>
        <w:tc>
          <w:tcPr>
            <w:tcW w:w="1170" w:type="dxa"/>
            <w:tcBorders>
              <w:top w:val="single" w:sz="4" w:space="0" w:color="555555"/>
              <w:left w:val="single" w:sz="4" w:space="0" w:color="555555"/>
              <w:bottom w:val="single" w:sz="4" w:space="0" w:color="555555"/>
              <w:right w:val="single" w:sz="4" w:space="0" w:color="555555"/>
            </w:tcBorders>
            <w:tcMar>
              <w:top w:w="60" w:type="dxa"/>
              <w:left w:w="80" w:type="dxa"/>
              <w:bottom w:w="60" w:type="dxa"/>
              <w:right w:w="80" w:type="dxa"/>
            </w:tcMar>
            <w:vAlign w:val="center"/>
          </w:tcPr>
          <w:p w14:paraId="6BF98F4D" w14:textId="77777777" w:rsidR="00520BC1" w:rsidRDefault="00B6741A">
            <w:pPr>
              <w:jc w:val="center"/>
            </w:pPr>
            <w:r>
              <w:rPr>
                <w:b/>
                <w:bCs/>
                <w:color w:val="000000"/>
                <w:sz w:val="18"/>
                <w:szCs w:val="18"/>
              </w:rPr>
              <w:t>10%</w:t>
            </w:r>
          </w:p>
        </w:tc>
        <w:tc>
          <w:tcPr>
            <w:tcW w:w="1170" w:type="dxa"/>
            <w:tcBorders>
              <w:top w:val="single" w:sz="4" w:space="0" w:color="555555"/>
              <w:left w:val="single" w:sz="4" w:space="0" w:color="555555"/>
              <w:bottom w:val="single" w:sz="4" w:space="0" w:color="555555"/>
              <w:right w:val="single" w:sz="4" w:space="0" w:color="555555"/>
            </w:tcBorders>
            <w:tcMar>
              <w:top w:w="60" w:type="dxa"/>
              <w:left w:w="80" w:type="dxa"/>
              <w:bottom w:w="60" w:type="dxa"/>
              <w:right w:w="80" w:type="dxa"/>
            </w:tcMar>
            <w:vAlign w:val="center"/>
          </w:tcPr>
          <w:p w14:paraId="5FFB74A2" w14:textId="77777777" w:rsidR="00520BC1" w:rsidRDefault="00B6741A">
            <w:pPr>
              <w:jc w:val="center"/>
            </w:pPr>
            <w:r>
              <w:rPr>
                <w:b/>
                <w:bCs/>
                <w:color w:val="000000"/>
                <w:sz w:val="18"/>
                <w:szCs w:val="18"/>
              </w:rPr>
              <w:t>10%</w:t>
            </w:r>
          </w:p>
        </w:tc>
      </w:tr>
    </w:tbl>
    <w:p w14:paraId="07EEC68B" w14:textId="77777777" w:rsidR="00520BC1" w:rsidRDefault="00520BC1">
      <w:pPr>
        <w:spacing w:after="250"/>
      </w:pPr>
    </w:p>
    <w:p w14:paraId="6E438840" w14:textId="77777777" w:rsidR="00520BC1" w:rsidRDefault="00B6741A">
      <w:pPr>
        <w:spacing w:after="150" w:line="300" w:lineRule="auto"/>
        <w:jc w:val="both"/>
      </w:pPr>
      <w:r>
        <w:rPr>
          <w:color w:val="000000"/>
          <w:sz w:val="22"/>
          <w:szCs w:val="22"/>
        </w:rPr>
        <w:t>Detailed performance-level descriptors for each criterion: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1740"/>
        <w:gridCol w:w="1740"/>
        <w:gridCol w:w="1740"/>
        <w:gridCol w:w="1740"/>
      </w:tblGrid>
      <w:tr w:rsidR="00520BC1" w14:paraId="53A9B1FD" w14:textId="77777777">
        <w:tblPrEx>
          <w:tblCellMar>
            <w:top w:w="0" w:type="dxa"/>
            <w:bottom w:w="0" w:type="dxa"/>
          </w:tblCellMar>
        </w:tblPrEx>
        <w:tc>
          <w:tcPr>
            <w:tcW w:w="2400" w:type="dxa"/>
            <w:tcBorders>
              <w:top w:val="single" w:sz="4" w:space="0" w:color="555555"/>
              <w:left w:val="single" w:sz="4" w:space="0" w:color="555555"/>
              <w:bottom w:val="single" w:sz="4" w:space="0" w:color="555555"/>
              <w:right w:val="single" w:sz="4" w:space="0" w:color="555555"/>
            </w:tcBorders>
            <w:shd w:val="clear" w:color="auto" w:fill="D9E2F3"/>
            <w:tcMar>
              <w:top w:w="60" w:type="dxa"/>
              <w:left w:w="80" w:type="dxa"/>
              <w:bottom w:w="60" w:type="dxa"/>
              <w:right w:w="80" w:type="dxa"/>
            </w:tcMar>
            <w:vAlign w:val="center"/>
          </w:tcPr>
          <w:p w14:paraId="2FCF0393" w14:textId="77777777" w:rsidR="00520BC1" w:rsidRDefault="00B6741A">
            <w:pPr>
              <w:jc w:val="center"/>
            </w:pPr>
            <w:r>
              <w:rPr>
                <w:b/>
                <w:bCs/>
                <w:color w:val="000000"/>
                <w:sz w:val="18"/>
                <w:szCs w:val="18"/>
              </w:rPr>
              <w:t>Criteria</w:t>
            </w:r>
          </w:p>
        </w:tc>
        <w:tc>
          <w:tcPr>
            <w:tcW w:w="1740" w:type="dxa"/>
            <w:tcBorders>
              <w:top w:val="single" w:sz="4" w:space="0" w:color="555555"/>
              <w:left w:val="single" w:sz="4" w:space="0" w:color="555555"/>
              <w:bottom w:val="single" w:sz="4" w:space="0" w:color="555555"/>
              <w:right w:val="single" w:sz="4" w:space="0" w:color="555555"/>
            </w:tcBorders>
            <w:shd w:val="clear" w:color="auto" w:fill="D9E2F3"/>
            <w:tcMar>
              <w:top w:w="60" w:type="dxa"/>
              <w:left w:w="80" w:type="dxa"/>
              <w:bottom w:w="60" w:type="dxa"/>
              <w:right w:w="80" w:type="dxa"/>
            </w:tcMar>
            <w:vAlign w:val="center"/>
          </w:tcPr>
          <w:p w14:paraId="33C8EFDA" w14:textId="77777777" w:rsidR="00520BC1" w:rsidRDefault="00B6741A">
            <w:pPr>
              <w:jc w:val="center"/>
            </w:pPr>
            <w:r>
              <w:rPr>
                <w:b/>
                <w:bCs/>
                <w:color w:val="000000"/>
                <w:sz w:val="18"/>
                <w:szCs w:val="18"/>
              </w:rPr>
              <w:t>Excellent (5)</w:t>
            </w:r>
          </w:p>
        </w:tc>
        <w:tc>
          <w:tcPr>
            <w:tcW w:w="1740" w:type="dxa"/>
            <w:tcBorders>
              <w:top w:val="single" w:sz="4" w:space="0" w:color="555555"/>
              <w:left w:val="single" w:sz="4" w:space="0" w:color="555555"/>
              <w:bottom w:val="single" w:sz="4" w:space="0" w:color="555555"/>
              <w:right w:val="single" w:sz="4" w:space="0" w:color="555555"/>
            </w:tcBorders>
            <w:shd w:val="clear" w:color="auto" w:fill="D9E2F3"/>
            <w:tcMar>
              <w:top w:w="60" w:type="dxa"/>
              <w:left w:w="80" w:type="dxa"/>
              <w:bottom w:w="60" w:type="dxa"/>
              <w:right w:w="80" w:type="dxa"/>
            </w:tcMar>
            <w:vAlign w:val="center"/>
          </w:tcPr>
          <w:p w14:paraId="3EA642AE" w14:textId="77777777" w:rsidR="00520BC1" w:rsidRDefault="00B6741A">
            <w:pPr>
              <w:jc w:val="center"/>
            </w:pPr>
            <w:r>
              <w:rPr>
                <w:b/>
                <w:bCs/>
                <w:color w:val="000000"/>
                <w:sz w:val="18"/>
                <w:szCs w:val="18"/>
              </w:rPr>
              <w:t>Good (4)</w:t>
            </w:r>
          </w:p>
        </w:tc>
        <w:tc>
          <w:tcPr>
            <w:tcW w:w="1740" w:type="dxa"/>
            <w:tcBorders>
              <w:top w:val="single" w:sz="4" w:space="0" w:color="555555"/>
              <w:left w:val="single" w:sz="4" w:space="0" w:color="555555"/>
              <w:bottom w:val="single" w:sz="4" w:space="0" w:color="555555"/>
              <w:right w:val="single" w:sz="4" w:space="0" w:color="555555"/>
            </w:tcBorders>
            <w:shd w:val="clear" w:color="auto" w:fill="D9E2F3"/>
            <w:tcMar>
              <w:top w:w="60" w:type="dxa"/>
              <w:left w:w="80" w:type="dxa"/>
              <w:bottom w:w="60" w:type="dxa"/>
              <w:right w:w="80" w:type="dxa"/>
            </w:tcMar>
            <w:vAlign w:val="center"/>
          </w:tcPr>
          <w:p w14:paraId="0B58E7CE" w14:textId="77777777" w:rsidR="00520BC1" w:rsidRDefault="00B6741A">
            <w:pPr>
              <w:jc w:val="center"/>
            </w:pPr>
            <w:r>
              <w:rPr>
                <w:b/>
                <w:bCs/>
                <w:color w:val="000000"/>
                <w:sz w:val="18"/>
                <w:szCs w:val="18"/>
              </w:rPr>
              <w:t>Average (3)</w:t>
            </w:r>
          </w:p>
        </w:tc>
        <w:tc>
          <w:tcPr>
            <w:tcW w:w="1740" w:type="dxa"/>
            <w:tcBorders>
              <w:top w:val="single" w:sz="4" w:space="0" w:color="555555"/>
              <w:left w:val="single" w:sz="4" w:space="0" w:color="555555"/>
              <w:bottom w:val="single" w:sz="4" w:space="0" w:color="555555"/>
              <w:right w:val="single" w:sz="4" w:space="0" w:color="555555"/>
            </w:tcBorders>
            <w:shd w:val="clear" w:color="auto" w:fill="D9E2F3"/>
            <w:tcMar>
              <w:top w:w="60" w:type="dxa"/>
              <w:left w:w="80" w:type="dxa"/>
              <w:bottom w:w="60" w:type="dxa"/>
              <w:right w:w="80" w:type="dxa"/>
            </w:tcMar>
            <w:vAlign w:val="center"/>
          </w:tcPr>
          <w:p w14:paraId="6CC16E19" w14:textId="77777777" w:rsidR="00520BC1" w:rsidRDefault="00B6741A">
            <w:pPr>
              <w:jc w:val="center"/>
            </w:pPr>
            <w:r>
              <w:rPr>
                <w:b/>
                <w:bCs/>
                <w:color w:val="000000"/>
                <w:sz w:val="18"/>
                <w:szCs w:val="18"/>
              </w:rPr>
              <w:t>Poor (2)</w:t>
            </w:r>
          </w:p>
        </w:tc>
      </w:tr>
      <w:tr w:rsidR="00520BC1" w14:paraId="3673487C" w14:textId="77777777">
        <w:tblPrEx>
          <w:tblCellMar>
            <w:top w:w="0" w:type="dxa"/>
            <w:bottom w:w="0" w:type="dxa"/>
          </w:tblCellMar>
        </w:tblPrEx>
        <w:tc>
          <w:tcPr>
            <w:tcW w:w="2400" w:type="dxa"/>
            <w:tcBorders>
              <w:top w:val="single" w:sz="4" w:space="0" w:color="555555"/>
              <w:left w:val="single" w:sz="4" w:space="0" w:color="555555"/>
              <w:bottom w:val="single" w:sz="4" w:space="0" w:color="555555"/>
              <w:right w:val="single" w:sz="4" w:space="0" w:color="555555"/>
            </w:tcBorders>
            <w:tcMar>
              <w:top w:w="60" w:type="dxa"/>
              <w:left w:w="80" w:type="dxa"/>
              <w:bottom w:w="60" w:type="dxa"/>
              <w:right w:w="80" w:type="dxa"/>
            </w:tcMar>
            <w:vAlign w:val="center"/>
          </w:tcPr>
          <w:p w14:paraId="301E08F5" w14:textId="77777777" w:rsidR="00520BC1" w:rsidRDefault="00B6741A">
            <w:pPr>
              <w:jc w:val="center"/>
            </w:pPr>
            <w:r>
              <w:rPr>
                <w:color w:val="000000"/>
                <w:sz w:val="16"/>
                <w:szCs w:val="16"/>
              </w:rPr>
              <w:t>Problem Understanding &amp; Requirement Analysis</w:t>
            </w:r>
          </w:p>
        </w:tc>
        <w:tc>
          <w:tcPr>
            <w:tcW w:w="1740" w:type="dxa"/>
            <w:tcBorders>
              <w:top w:val="single" w:sz="4" w:space="0" w:color="555555"/>
              <w:left w:val="single" w:sz="4" w:space="0" w:color="555555"/>
              <w:bottom w:val="single" w:sz="4" w:space="0" w:color="555555"/>
              <w:right w:val="single" w:sz="4" w:space="0" w:color="555555"/>
            </w:tcBorders>
            <w:tcMar>
              <w:top w:w="60" w:type="dxa"/>
              <w:left w:w="80" w:type="dxa"/>
              <w:bottom w:w="60" w:type="dxa"/>
              <w:right w:w="80" w:type="dxa"/>
            </w:tcMar>
            <w:vAlign w:val="center"/>
          </w:tcPr>
          <w:p w14:paraId="0B4A74E0" w14:textId="77777777" w:rsidR="00520BC1" w:rsidRDefault="00B6741A">
            <w:pPr>
              <w:jc w:val="center"/>
            </w:pPr>
            <w:r>
              <w:rPr>
                <w:color w:val="000000"/>
                <w:sz w:val="16"/>
                <w:szCs w:val="16"/>
              </w:rPr>
              <w:t>Clearly defines problem, objectives, and constraints</w:t>
            </w:r>
          </w:p>
        </w:tc>
        <w:tc>
          <w:tcPr>
            <w:tcW w:w="1740" w:type="dxa"/>
            <w:tcBorders>
              <w:top w:val="single" w:sz="4" w:space="0" w:color="555555"/>
              <w:left w:val="single" w:sz="4" w:space="0" w:color="555555"/>
              <w:bottom w:val="single" w:sz="4" w:space="0" w:color="555555"/>
              <w:right w:val="single" w:sz="4" w:space="0" w:color="555555"/>
            </w:tcBorders>
            <w:tcMar>
              <w:top w:w="60" w:type="dxa"/>
              <w:left w:w="80" w:type="dxa"/>
              <w:bottom w:w="60" w:type="dxa"/>
              <w:right w:w="80" w:type="dxa"/>
            </w:tcMar>
            <w:vAlign w:val="center"/>
          </w:tcPr>
          <w:p w14:paraId="42726EFF" w14:textId="77777777" w:rsidR="00520BC1" w:rsidRDefault="00B6741A">
            <w:pPr>
              <w:jc w:val="center"/>
            </w:pPr>
            <w:r>
              <w:rPr>
                <w:color w:val="000000"/>
                <w:sz w:val="16"/>
                <w:szCs w:val="16"/>
              </w:rPr>
              <w:t>Mostly clear with minor gaps</w:t>
            </w:r>
          </w:p>
        </w:tc>
        <w:tc>
          <w:tcPr>
            <w:tcW w:w="1740" w:type="dxa"/>
            <w:tcBorders>
              <w:top w:val="single" w:sz="4" w:space="0" w:color="555555"/>
              <w:left w:val="single" w:sz="4" w:space="0" w:color="555555"/>
              <w:bottom w:val="single" w:sz="4" w:space="0" w:color="555555"/>
              <w:right w:val="single" w:sz="4" w:space="0" w:color="555555"/>
            </w:tcBorders>
            <w:tcMar>
              <w:top w:w="60" w:type="dxa"/>
              <w:left w:w="80" w:type="dxa"/>
              <w:bottom w:w="60" w:type="dxa"/>
              <w:right w:w="80" w:type="dxa"/>
            </w:tcMar>
            <w:vAlign w:val="center"/>
          </w:tcPr>
          <w:p w14:paraId="3B18FA43" w14:textId="77777777" w:rsidR="00520BC1" w:rsidRDefault="00B6741A">
            <w:pPr>
              <w:jc w:val="center"/>
            </w:pPr>
            <w:r>
              <w:rPr>
                <w:color w:val="000000"/>
                <w:sz w:val="16"/>
                <w:szCs w:val="16"/>
              </w:rPr>
              <w:t>Basic understanding</w:t>
            </w:r>
          </w:p>
        </w:tc>
        <w:tc>
          <w:tcPr>
            <w:tcW w:w="1740" w:type="dxa"/>
            <w:tcBorders>
              <w:top w:val="single" w:sz="4" w:space="0" w:color="555555"/>
              <w:left w:val="single" w:sz="4" w:space="0" w:color="555555"/>
              <w:bottom w:val="single" w:sz="4" w:space="0" w:color="555555"/>
              <w:right w:val="single" w:sz="4" w:space="0" w:color="555555"/>
            </w:tcBorders>
            <w:tcMar>
              <w:top w:w="60" w:type="dxa"/>
              <w:left w:w="80" w:type="dxa"/>
              <w:bottom w:w="60" w:type="dxa"/>
              <w:right w:w="80" w:type="dxa"/>
            </w:tcMar>
            <w:vAlign w:val="center"/>
          </w:tcPr>
          <w:p w14:paraId="4845BD12" w14:textId="77777777" w:rsidR="00520BC1" w:rsidRDefault="00B6741A">
            <w:pPr>
              <w:jc w:val="center"/>
            </w:pPr>
            <w:r>
              <w:rPr>
                <w:color w:val="000000"/>
                <w:sz w:val="16"/>
                <w:szCs w:val="16"/>
              </w:rPr>
              <w:t>Unclear or incorrect</w:t>
            </w:r>
          </w:p>
        </w:tc>
      </w:tr>
      <w:tr w:rsidR="00520BC1" w14:paraId="3982762E" w14:textId="77777777">
        <w:tblPrEx>
          <w:tblCellMar>
            <w:top w:w="0" w:type="dxa"/>
            <w:bottom w:w="0" w:type="dxa"/>
          </w:tblCellMar>
        </w:tblPrEx>
        <w:tc>
          <w:tcPr>
            <w:tcW w:w="2400" w:type="dxa"/>
            <w:tcBorders>
              <w:top w:val="single" w:sz="4" w:space="0" w:color="555555"/>
              <w:left w:val="single" w:sz="4" w:space="0" w:color="555555"/>
              <w:bottom w:val="single" w:sz="4" w:space="0" w:color="555555"/>
              <w:right w:val="single" w:sz="4" w:space="0" w:color="555555"/>
            </w:tcBorders>
            <w:tcMar>
              <w:top w:w="60" w:type="dxa"/>
              <w:left w:w="80" w:type="dxa"/>
              <w:bottom w:w="60" w:type="dxa"/>
              <w:right w:w="80" w:type="dxa"/>
            </w:tcMar>
            <w:vAlign w:val="center"/>
          </w:tcPr>
          <w:p w14:paraId="7FB09AEE" w14:textId="77777777" w:rsidR="00520BC1" w:rsidRDefault="00B6741A">
            <w:pPr>
              <w:jc w:val="center"/>
            </w:pPr>
            <w:r>
              <w:rPr>
                <w:color w:val="000000"/>
                <w:sz w:val="16"/>
                <w:szCs w:val="16"/>
              </w:rPr>
              <w:t>System Architecture Design</w:t>
            </w:r>
          </w:p>
        </w:tc>
        <w:tc>
          <w:tcPr>
            <w:tcW w:w="1740" w:type="dxa"/>
            <w:tcBorders>
              <w:top w:val="single" w:sz="4" w:space="0" w:color="555555"/>
              <w:left w:val="single" w:sz="4" w:space="0" w:color="555555"/>
              <w:bottom w:val="single" w:sz="4" w:space="0" w:color="555555"/>
              <w:right w:val="single" w:sz="4" w:space="0" w:color="555555"/>
            </w:tcBorders>
            <w:tcMar>
              <w:top w:w="60" w:type="dxa"/>
              <w:left w:w="80" w:type="dxa"/>
              <w:bottom w:w="60" w:type="dxa"/>
              <w:right w:w="80" w:type="dxa"/>
            </w:tcMar>
            <w:vAlign w:val="center"/>
          </w:tcPr>
          <w:p w14:paraId="35348D27" w14:textId="77777777" w:rsidR="00520BC1" w:rsidRDefault="00B6741A">
            <w:pPr>
              <w:jc w:val="center"/>
            </w:pPr>
            <w:r>
              <w:rPr>
                <w:color w:val="000000"/>
                <w:sz w:val="16"/>
                <w:szCs w:val="16"/>
              </w:rPr>
              <w:t>Complete, scalable, well-structured architecture with diagrams</w:t>
            </w:r>
          </w:p>
        </w:tc>
        <w:tc>
          <w:tcPr>
            <w:tcW w:w="1740" w:type="dxa"/>
            <w:tcBorders>
              <w:top w:val="single" w:sz="4" w:space="0" w:color="555555"/>
              <w:left w:val="single" w:sz="4" w:space="0" w:color="555555"/>
              <w:bottom w:val="single" w:sz="4" w:space="0" w:color="555555"/>
              <w:right w:val="single" w:sz="4" w:space="0" w:color="555555"/>
            </w:tcBorders>
            <w:tcMar>
              <w:top w:w="60" w:type="dxa"/>
              <w:left w:w="80" w:type="dxa"/>
              <w:bottom w:w="60" w:type="dxa"/>
              <w:right w:w="80" w:type="dxa"/>
            </w:tcMar>
            <w:vAlign w:val="center"/>
          </w:tcPr>
          <w:p w14:paraId="3C17F233" w14:textId="77777777" w:rsidR="00520BC1" w:rsidRDefault="00B6741A">
            <w:pPr>
              <w:jc w:val="center"/>
            </w:pPr>
            <w:r>
              <w:rPr>
                <w:color w:val="000000"/>
                <w:sz w:val="16"/>
                <w:szCs w:val="16"/>
              </w:rPr>
              <w:t>Good design with minor issues</w:t>
            </w:r>
          </w:p>
        </w:tc>
        <w:tc>
          <w:tcPr>
            <w:tcW w:w="1740" w:type="dxa"/>
            <w:tcBorders>
              <w:top w:val="single" w:sz="4" w:space="0" w:color="555555"/>
              <w:left w:val="single" w:sz="4" w:space="0" w:color="555555"/>
              <w:bottom w:val="single" w:sz="4" w:space="0" w:color="555555"/>
              <w:right w:val="single" w:sz="4" w:space="0" w:color="555555"/>
            </w:tcBorders>
            <w:tcMar>
              <w:top w:w="60" w:type="dxa"/>
              <w:left w:w="80" w:type="dxa"/>
              <w:bottom w:w="60" w:type="dxa"/>
              <w:right w:w="80" w:type="dxa"/>
            </w:tcMar>
            <w:vAlign w:val="center"/>
          </w:tcPr>
          <w:p w14:paraId="7DB370FB" w14:textId="77777777" w:rsidR="00520BC1" w:rsidRDefault="00B6741A">
            <w:pPr>
              <w:jc w:val="center"/>
            </w:pPr>
            <w:r>
              <w:rPr>
                <w:color w:val="000000"/>
                <w:sz w:val="16"/>
                <w:szCs w:val="16"/>
              </w:rPr>
              <w:t>Basic design, lacks detail</w:t>
            </w:r>
          </w:p>
        </w:tc>
        <w:tc>
          <w:tcPr>
            <w:tcW w:w="1740" w:type="dxa"/>
            <w:tcBorders>
              <w:top w:val="single" w:sz="4" w:space="0" w:color="555555"/>
              <w:left w:val="single" w:sz="4" w:space="0" w:color="555555"/>
              <w:bottom w:val="single" w:sz="4" w:space="0" w:color="555555"/>
              <w:right w:val="single" w:sz="4" w:space="0" w:color="555555"/>
            </w:tcBorders>
            <w:tcMar>
              <w:top w:w="60" w:type="dxa"/>
              <w:left w:w="80" w:type="dxa"/>
              <w:bottom w:w="60" w:type="dxa"/>
              <w:right w:w="80" w:type="dxa"/>
            </w:tcMar>
            <w:vAlign w:val="center"/>
          </w:tcPr>
          <w:p w14:paraId="680240F2" w14:textId="77777777" w:rsidR="00520BC1" w:rsidRDefault="00B6741A">
            <w:pPr>
              <w:jc w:val="center"/>
            </w:pPr>
            <w:r>
              <w:rPr>
                <w:color w:val="000000"/>
                <w:sz w:val="16"/>
                <w:szCs w:val="16"/>
              </w:rPr>
              <w:t>Poor/incomplete</w:t>
            </w:r>
          </w:p>
        </w:tc>
      </w:tr>
      <w:tr w:rsidR="00520BC1" w14:paraId="736CB272" w14:textId="77777777">
        <w:tblPrEx>
          <w:tblCellMar>
            <w:top w:w="0" w:type="dxa"/>
            <w:bottom w:w="0" w:type="dxa"/>
          </w:tblCellMar>
        </w:tblPrEx>
        <w:tc>
          <w:tcPr>
            <w:tcW w:w="2400" w:type="dxa"/>
            <w:tcBorders>
              <w:top w:val="single" w:sz="4" w:space="0" w:color="555555"/>
              <w:left w:val="single" w:sz="4" w:space="0" w:color="555555"/>
              <w:bottom w:val="single" w:sz="4" w:space="0" w:color="555555"/>
              <w:right w:val="single" w:sz="4" w:space="0" w:color="555555"/>
            </w:tcBorders>
            <w:tcMar>
              <w:top w:w="60" w:type="dxa"/>
              <w:left w:w="80" w:type="dxa"/>
              <w:bottom w:w="60" w:type="dxa"/>
              <w:right w:w="80" w:type="dxa"/>
            </w:tcMar>
            <w:vAlign w:val="center"/>
          </w:tcPr>
          <w:p w14:paraId="5CFC9CA0" w14:textId="77777777" w:rsidR="00520BC1" w:rsidRDefault="00B6741A">
            <w:pPr>
              <w:jc w:val="center"/>
            </w:pPr>
            <w:r>
              <w:rPr>
                <w:color w:val="000000"/>
                <w:sz w:val="16"/>
                <w:szCs w:val="16"/>
              </w:rPr>
              <w:t xml:space="preserve">Use of </w:t>
            </w:r>
            <w:proofErr w:type="spellStart"/>
            <w:r>
              <w:rPr>
                <w:color w:val="000000"/>
                <w:sz w:val="16"/>
                <w:szCs w:val="16"/>
              </w:rPr>
              <w:t>PySpark</w:t>
            </w:r>
            <w:proofErr w:type="spellEnd"/>
            <w:r>
              <w:rPr>
                <w:color w:val="000000"/>
                <w:sz w:val="16"/>
                <w:szCs w:val="16"/>
              </w:rPr>
              <w:t xml:space="preserve"> &amp; RDD Operations</w:t>
            </w:r>
          </w:p>
        </w:tc>
        <w:tc>
          <w:tcPr>
            <w:tcW w:w="1740" w:type="dxa"/>
            <w:tcBorders>
              <w:top w:val="single" w:sz="4" w:space="0" w:color="555555"/>
              <w:left w:val="single" w:sz="4" w:space="0" w:color="555555"/>
              <w:bottom w:val="single" w:sz="4" w:space="0" w:color="555555"/>
              <w:right w:val="single" w:sz="4" w:space="0" w:color="555555"/>
            </w:tcBorders>
            <w:tcMar>
              <w:top w:w="60" w:type="dxa"/>
              <w:left w:w="80" w:type="dxa"/>
              <w:bottom w:w="60" w:type="dxa"/>
              <w:right w:w="80" w:type="dxa"/>
            </w:tcMar>
            <w:vAlign w:val="center"/>
          </w:tcPr>
          <w:p w14:paraId="62117EC3" w14:textId="77777777" w:rsidR="00520BC1" w:rsidRDefault="00B6741A">
            <w:pPr>
              <w:jc w:val="center"/>
            </w:pPr>
            <w:r>
              <w:rPr>
                <w:color w:val="000000"/>
                <w:sz w:val="16"/>
                <w:szCs w:val="16"/>
              </w:rPr>
              <w:t>Efficient and correct use of RDD transformations/actions</w:t>
            </w:r>
          </w:p>
        </w:tc>
        <w:tc>
          <w:tcPr>
            <w:tcW w:w="1740" w:type="dxa"/>
            <w:tcBorders>
              <w:top w:val="single" w:sz="4" w:space="0" w:color="555555"/>
              <w:left w:val="single" w:sz="4" w:space="0" w:color="555555"/>
              <w:bottom w:val="single" w:sz="4" w:space="0" w:color="555555"/>
              <w:right w:val="single" w:sz="4" w:space="0" w:color="555555"/>
            </w:tcBorders>
            <w:tcMar>
              <w:top w:w="60" w:type="dxa"/>
              <w:left w:w="80" w:type="dxa"/>
              <w:bottom w:w="60" w:type="dxa"/>
              <w:right w:w="80" w:type="dxa"/>
            </w:tcMar>
            <w:vAlign w:val="center"/>
          </w:tcPr>
          <w:p w14:paraId="5438FA78" w14:textId="77777777" w:rsidR="00520BC1" w:rsidRDefault="00B6741A">
            <w:pPr>
              <w:jc w:val="center"/>
            </w:pPr>
            <w:r>
              <w:rPr>
                <w:color w:val="000000"/>
                <w:sz w:val="16"/>
                <w:szCs w:val="16"/>
              </w:rPr>
              <w:t>Mostly correct usage</w:t>
            </w:r>
          </w:p>
        </w:tc>
        <w:tc>
          <w:tcPr>
            <w:tcW w:w="1740" w:type="dxa"/>
            <w:tcBorders>
              <w:top w:val="single" w:sz="4" w:space="0" w:color="555555"/>
              <w:left w:val="single" w:sz="4" w:space="0" w:color="555555"/>
              <w:bottom w:val="single" w:sz="4" w:space="0" w:color="555555"/>
              <w:right w:val="single" w:sz="4" w:space="0" w:color="555555"/>
            </w:tcBorders>
            <w:tcMar>
              <w:top w:w="60" w:type="dxa"/>
              <w:left w:w="80" w:type="dxa"/>
              <w:bottom w:w="60" w:type="dxa"/>
              <w:right w:w="80" w:type="dxa"/>
            </w:tcMar>
            <w:vAlign w:val="center"/>
          </w:tcPr>
          <w:p w14:paraId="28EDC28F" w14:textId="77777777" w:rsidR="00520BC1" w:rsidRDefault="00B6741A">
            <w:pPr>
              <w:jc w:val="center"/>
            </w:pPr>
            <w:r>
              <w:rPr>
                <w:color w:val="000000"/>
                <w:sz w:val="16"/>
                <w:szCs w:val="16"/>
              </w:rPr>
              <w:t>Limited or partial use</w:t>
            </w:r>
          </w:p>
        </w:tc>
        <w:tc>
          <w:tcPr>
            <w:tcW w:w="1740" w:type="dxa"/>
            <w:tcBorders>
              <w:top w:val="single" w:sz="4" w:space="0" w:color="555555"/>
              <w:left w:val="single" w:sz="4" w:space="0" w:color="555555"/>
              <w:bottom w:val="single" w:sz="4" w:space="0" w:color="555555"/>
              <w:right w:val="single" w:sz="4" w:space="0" w:color="555555"/>
            </w:tcBorders>
            <w:tcMar>
              <w:top w:w="60" w:type="dxa"/>
              <w:left w:w="80" w:type="dxa"/>
              <w:bottom w:w="60" w:type="dxa"/>
              <w:right w:w="80" w:type="dxa"/>
            </w:tcMar>
            <w:vAlign w:val="center"/>
          </w:tcPr>
          <w:p w14:paraId="444DB02E" w14:textId="77777777" w:rsidR="00520BC1" w:rsidRDefault="00B6741A">
            <w:pPr>
              <w:jc w:val="center"/>
            </w:pPr>
            <w:r>
              <w:rPr>
                <w:color w:val="000000"/>
                <w:sz w:val="16"/>
                <w:szCs w:val="16"/>
              </w:rPr>
              <w:t>Incorrect/missing</w:t>
            </w:r>
          </w:p>
        </w:tc>
      </w:tr>
      <w:tr w:rsidR="00520BC1" w14:paraId="57FC5AC9" w14:textId="77777777">
        <w:tblPrEx>
          <w:tblCellMar>
            <w:top w:w="0" w:type="dxa"/>
            <w:bottom w:w="0" w:type="dxa"/>
          </w:tblCellMar>
        </w:tblPrEx>
        <w:tc>
          <w:tcPr>
            <w:tcW w:w="2400" w:type="dxa"/>
            <w:tcBorders>
              <w:top w:val="single" w:sz="4" w:space="0" w:color="555555"/>
              <w:left w:val="single" w:sz="4" w:space="0" w:color="555555"/>
              <w:bottom w:val="single" w:sz="4" w:space="0" w:color="555555"/>
              <w:right w:val="single" w:sz="4" w:space="0" w:color="555555"/>
            </w:tcBorders>
            <w:tcMar>
              <w:top w:w="60" w:type="dxa"/>
              <w:left w:w="80" w:type="dxa"/>
              <w:bottom w:w="60" w:type="dxa"/>
              <w:right w:w="80" w:type="dxa"/>
            </w:tcMar>
            <w:vAlign w:val="center"/>
          </w:tcPr>
          <w:p w14:paraId="2C06A22C" w14:textId="77777777" w:rsidR="00520BC1" w:rsidRDefault="00B6741A">
            <w:pPr>
              <w:jc w:val="center"/>
            </w:pPr>
            <w:r>
              <w:rPr>
                <w:color w:val="000000"/>
                <w:sz w:val="16"/>
                <w:szCs w:val="16"/>
              </w:rPr>
              <w:t>Intelligent Agent Integration</w:t>
            </w:r>
          </w:p>
        </w:tc>
        <w:tc>
          <w:tcPr>
            <w:tcW w:w="1740" w:type="dxa"/>
            <w:tcBorders>
              <w:top w:val="single" w:sz="4" w:space="0" w:color="555555"/>
              <w:left w:val="single" w:sz="4" w:space="0" w:color="555555"/>
              <w:bottom w:val="single" w:sz="4" w:space="0" w:color="555555"/>
              <w:right w:val="single" w:sz="4" w:space="0" w:color="555555"/>
            </w:tcBorders>
            <w:tcMar>
              <w:top w:w="60" w:type="dxa"/>
              <w:left w:w="80" w:type="dxa"/>
              <w:bottom w:w="60" w:type="dxa"/>
              <w:right w:w="80" w:type="dxa"/>
            </w:tcMar>
            <w:vAlign w:val="center"/>
          </w:tcPr>
          <w:p w14:paraId="1588350C" w14:textId="77777777" w:rsidR="00520BC1" w:rsidRDefault="00B6741A">
            <w:pPr>
              <w:jc w:val="center"/>
            </w:pPr>
            <w:r>
              <w:rPr>
                <w:color w:val="000000"/>
                <w:sz w:val="16"/>
                <w:szCs w:val="16"/>
              </w:rPr>
              <w:t>Strong integration with clear agent roles and logic</w:t>
            </w:r>
          </w:p>
        </w:tc>
        <w:tc>
          <w:tcPr>
            <w:tcW w:w="1740" w:type="dxa"/>
            <w:tcBorders>
              <w:top w:val="single" w:sz="4" w:space="0" w:color="555555"/>
              <w:left w:val="single" w:sz="4" w:space="0" w:color="555555"/>
              <w:bottom w:val="single" w:sz="4" w:space="0" w:color="555555"/>
              <w:right w:val="single" w:sz="4" w:space="0" w:color="555555"/>
            </w:tcBorders>
            <w:tcMar>
              <w:top w:w="60" w:type="dxa"/>
              <w:left w:w="80" w:type="dxa"/>
              <w:bottom w:w="60" w:type="dxa"/>
              <w:right w:w="80" w:type="dxa"/>
            </w:tcMar>
            <w:vAlign w:val="center"/>
          </w:tcPr>
          <w:p w14:paraId="2567D6A4" w14:textId="77777777" w:rsidR="00520BC1" w:rsidRDefault="00B6741A">
            <w:pPr>
              <w:jc w:val="center"/>
            </w:pPr>
            <w:r>
              <w:rPr>
                <w:color w:val="000000"/>
                <w:sz w:val="16"/>
                <w:szCs w:val="16"/>
              </w:rPr>
              <w:t>Good integration</w:t>
            </w:r>
          </w:p>
        </w:tc>
        <w:tc>
          <w:tcPr>
            <w:tcW w:w="1740" w:type="dxa"/>
            <w:tcBorders>
              <w:top w:val="single" w:sz="4" w:space="0" w:color="555555"/>
              <w:left w:val="single" w:sz="4" w:space="0" w:color="555555"/>
              <w:bottom w:val="single" w:sz="4" w:space="0" w:color="555555"/>
              <w:right w:val="single" w:sz="4" w:space="0" w:color="555555"/>
            </w:tcBorders>
            <w:tcMar>
              <w:top w:w="60" w:type="dxa"/>
              <w:left w:w="80" w:type="dxa"/>
              <w:bottom w:w="60" w:type="dxa"/>
              <w:right w:w="80" w:type="dxa"/>
            </w:tcMar>
            <w:vAlign w:val="center"/>
          </w:tcPr>
          <w:p w14:paraId="1BA21DC8" w14:textId="77777777" w:rsidR="00520BC1" w:rsidRDefault="00B6741A">
            <w:pPr>
              <w:jc w:val="center"/>
            </w:pPr>
            <w:r>
              <w:rPr>
                <w:color w:val="000000"/>
                <w:sz w:val="16"/>
                <w:szCs w:val="16"/>
              </w:rPr>
              <w:t>Basic integration</w:t>
            </w:r>
          </w:p>
        </w:tc>
        <w:tc>
          <w:tcPr>
            <w:tcW w:w="1740" w:type="dxa"/>
            <w:tcBorders>
              <w:top w:val="single" w:sz="4" w:space="0" w:color="555555"/>
              <w:left w:val="single" w:sz="4" w:space="0" w:color="555555"/>
              <w:bottom w:val="single" w:sz="4" w:space="0" w:color="555555"/>
              <w:right w:val="single" w:sz="4" w:space="0" w:color="555555"/>
            </w:tcBorders>
            <w:tcMar>
              <w:top w:w="60" w:type="dxa"/>
              <w:left w:w="80" w:type="dxa"/>
              <w:bottom w:w="60" w:type="dxa"/>
              <w:right w:w="80" w:type="dxa"/>
            </w:tcMar>
            <w:vAlign w:val="center"/>
          </w:tcPr>
          <w:p w14:paraId="355D5115" w14:textId="77777777" w:rsidR="00520BC1" w:rsidRDefault="00B6741A">
            <w:pPr>
              <w:jc w:val="center"/>
            </w:pPr>
            <w:r>
              <w:rPr>
                <w:color w:val="000000"/>
                <w:sz w:val="16"/>
                <w:szCs w:val="16"/>
              </w:rPr>
              <w:t>Poor/no integration</w:t>
            </w:r>
          </w:p>
        </w:tc>
      </w:tr>
      <w:tr w:rsidR="00520BC1" w14:paraId="5ED1FBA9" w14:textId="77777777">
        <w:tblPrEx>
          <w:tblCellMar>
            <w:top w:w="0" w:type="dxa"/>
            <w:bottom w:w="0" w:type="dxa"/>
          </w:tblCellMar>
        </w:tblPrEx>
        <w:tc>
          <w:tcPr>
            <w:tcW w:w="2400" w:type="dxa"/>
            <w:tcBorders>
              <w:top w:val="single" w:sz="4" w:space="0" w:color="555555"/>
              <w:left w:val="single" w:sz="4" w:space="0" w:color="555555"/>
              <w:bottom w:val="single" w:sz="4" w:space="0" w:color="555555"/>
              <w:right w:val="single" w:sz="4" w:space="0" w:color="555555"/>
            </w:tcBorders>
            <w:tcMar>
              <w:top w:w="60" w:type="dxa"/>
              <w:left w:w="80" w:type="dxa"/>
              <w:bottom w:w="60" w:type="dxa"/>
              <w:right w:w="80" w:type="dxa"/>
            </w:tcMar>
            <w:vAlign w:val="center"/>
          </w:tcPr>
          <w:p w14:paraId="0733A7CA" w14:textId="77777777" w:rsidR="00520BC1" w:rsidRDefault="00B6741A">
            <w:pPr>
              <w:jc w:val="center"/>
            </w:pPr>
            <w:r>
              <w:rPr>
                <w:color w:val="000000"/>
                <w:sz w:val="16"/>
                <w:szCs w:val="16"/>
              </w:rPr>
              <w:t>Scalability &amp; Distributed Computing Design</w:t>
            </w:r>
          </w:p>
        </w:tc>
        <w:tc>
          <w:tcPr>
            <w:tcW w:w="1740" w:type="dxa"/>
            <w:tcBorders>
              <w:top w:val="single" w:sz="4" w:space="0" w:color="555555"/>
              <w:left w:val="single" w:sz="4" w:space="0" w:color="555555"/>
              <w:bottom w:val="single" w:sz="4" w:space="0" w:color="555555"/>
              <w:right w:val="single" w:sz="4" w:space="0" w:color="555555"/>
            </w:tcBorders>
            <w:tcMar>
              <w:top w:w="60" w:type="dxa"/>
              <w:left w:w="80" w:type="dxa"/>
              <w:bottom w:w="60" w:type="dxa"/>
              <w:right w:w="80" w:type="dxa"/>
            </w:tcMar>
            <w:vAlign w:val="center"/>
          </w:tcPr>
          <w:p w14:paraId="63B8B0E5" w14:textId="77777777" w:rsidR="00520BC1" w:rsidRDefault="00B6741A">
            <w:pPr>
              <w:jc w:val="center"/>
            </w:pPr>
            <w:r>
              <w:rPr>
                <w:color w:val="000000"/>
                <w:sz w:val="16"/>
                <w:szCs w:val="16"/>
              </w:rPr>
              <w:t>Clearly addresses scalability, fault tolerance, parallelism</w:t>
            </w:r>
          </w:p>
        </w:tc>
        <w:tc>
          <w:tcPr>
            <w:tcW w:w="1740" w:type="dxa"/>
            <w:tcBorders>
              <w:top w:val="single" w:sz="4" w:space="0" w:color="555555"/>
              <w:left w:val="single" w:sz="4" w:space="0" w:color="555555"/>
              <w:bottom w:val="single" w:sz="4" w:space="0" w:color="555555"/>
              <w:right w:val="single" w:sz="4" w:space="0" w:color="555555"/>
            </w:tcBorders>
            <w:tcMar>
              <w:top w:w="60" w:type="dxa"/>
              <w:left w:w="80" w:type="dxa"/>
              <w:bottom w:w="60" w:type="dxa"/>
              <w:right w:w="80" w:type="dxa"/>
            </w:tcMar>
            <w:vAlign w:val="center"/>
          </w:tcPr>
          <w:p w14:paraId="3F672A17" w14:textId="77777777" w:rsidR="00520BC1" w:rsidRDefault="00B6741A">
            <w:pPr>
              <w:jc w:val="center"/>
            </w:pPr>
            <w:r>
              <w:rPr>
                <w:color w:val="000000"/>
                <w:sz w:val="16"/>
                <w:szCs w:val="16"/>
              </w:rPr>
              <w:t>Covers most aspects</w:t>
            </w:r>
          </w:p>
        </w:tc>
        <w:tc>
          <w:tcPr>
            <w:tcW w:w="1740" w:type="dxa"/>
            <w:tcBorders>
              <w:top w:val="single" w:sz="4" w:space="0" w:color="555555"/>
              <w:left w:val="single" w:sz="4" w:space="0" w:color="555555"/>
              <w:bottom w:val="single" w:sz="4" w:space="0" w:color="555555"/>
              <w:right w:val="single" w:sz="4" w:space="0" w:color="555555"/>
            </w:tcBorders>
            <w:tcMar>
              <w:top w:w="60" w:type="dxa"/>
              <w:left w:w="80" w:type="dxa"/>
              <w:bottom w:w="60" w:type="dxa"/>
              <w:right w:w="80" w:type="dxa"/>
            </w:tcMar>
            <w:vAlign w:val="center"/>
          </w:tcPr>
          <w:p w14:paraId="73C69995" w14:textId="77777777" w:rsidR="00520BC1" w:rsidRDefault="00B6741A">
            <w:pPr>
              <w:jc w:val="center"/>
            </w:pPr>
            <w:r>
              <w:rPr>
                <w:color w:val="000000"/>
                <w:sz w:val="16"/>
                <w:szCs w:val="16"/>
              </w:rPr>
              <w:t>Limited consideration</w:t>
            </w:r>
          </w:p>
        </w:tc>
        <w:tc>
          <w:tcPr>
            <w:tcW w:w="1740" w:type="dxa"/>
            <w:tcBorders>
              <w:top w:val="single" w:sz="4" w:space="0" w:color="555555"/>
              <w:left w:val="single" w:sz="4" w:space="0" w:color="555555"/>
              <w:bottom w:val="single" w:sz="4" w:space="0" w:color="555555"/>
              <w:right w:val="single" w:sz="4" w:space="0" w:color="555555"/>
            </w:tcBorders>
            <w:tcMar>
              <w:top w:w="60" w:type="dxa"/>
              <w:left w:w="80" w:type="dxa"/>
              <w:bottom w:w="60" w:type="dxa"/>
              <w:right w:w="80" w:type="dxa"/>
            </w:tcMar>
            <w:vAlign w:val="center"/>
          </w:tcPr>
          <w:p w14:paraId="24FED22E" w14:textId="77777777" w:rsidR="00520BC1" w:rsidRDefault="00B6741A">
            <w:pPr>
              <w:jc w:val="center"/>
            </w:pPr>
            <w:r>
              <w:rPr>
                <w:color w:val="000000"/>
                <w:sz w:val="16"/>
                <w:szCs w:val="16"/>
              </w:rPr>
              <w:t>Not addressed</w:t>
            </w:r>
          </w:p>
        </w:tc>
      </w:tr>
      <w:tr w:rsidR="00520BC1" w14:paraId="30985373" w14:textId="77777777">
        <w:tblPrEx>
          <w:tblCellMar>
            <w:top w:w="0" w:type="dxa"/>
            <w:bottom w:w="0" w:type="dxa"/>
          </w:tblCellMar>
        </w:tblPrEx>
        <w:tc>
          <w:tcPr>
            <w:tcW w:w="2400" w:type="dxa"/>
            <w:tcBorders>
              <w:top w:val="single" w:sz="4" w:space="0" w:color="555555"/>
              <w:left w:val="single" w:sz="4" w:space="0" w:color="555555"/>
              <w:bottom w:val="single" w:sz="4" w:space="0" w:color="555555"/>
              <w:right w:val="single" w:sz="4" w:space="0" w:color="555555"/>
            </w:tcBorders>
            <w:tcMar>
              <w:top w:w="60" w:type="dxa"/>
              <w:left w:w="80" w:type="dxa"/>
              <w:bottom w:w="60" w:type="dxa"/>
              <w:right w:w="80" w:type="dxa"/>
            </w:tcMar>
            <w:vAlign w:val="center"/>
          </w:tcPr>
          <w:p w14:paraId="38B07124" w14:textId="77777777" w:rsidR="00520BC1" w:rsidRDefault="00B6741A">
            <w:pPr>
              <w:jc w:val="center"/>
            </w:pPr>
            <w:r>
              <w:rPr>
                <w:color w:val="000000"/>
                <w:sz w:val="16"/>
                <w:szCs w:val="16"/>
              </w:rPr>
              <w:t>Data Flow &amp; Processing Pipeline</w:t>
            </w:r>
          </w:p>
        </w:tc>
        <w:tc>
          <w:tcPr>
            <w:tcW w:w="1740" w:type="dxa"/>
            <w:tcBorders>
              <w:top w:val="single" w:sz="4" w:space="0" w:color="555555"/>
              <w:left w:val="single" w:sz="4" w:space="0" w:color="555555"/>
              <w:bottom w:val="single" w:sz="4" w:space="0" w:color="555555"/>
              <w:right w:val="single" w:sz="4" w:space="0" w:color="555555"/>
            </w:tcBorders>
            <w:tcMar>
              <w:top w:w="60" w:type="dxa"/>
              <w:left w:w="80" w:type="dxa"/>
              <w:bottom w:w="60" w:type="dxa"/>
              <w:right w:w="80" w:type="dxa"/>
            </w:tcMar>
            <w:vAlign w:val="center"/>
          </w:tcPr>
          <w:p w14:paraId="63F13763" w14:textId="77777777" w:rsidR="00520BC1" w:rsidRDefault="00B6741A">
            <w:pPr>
              <w:jc w:val="center"/>
            </w:pPr>
            <w:r>
              <w:rPr>
                <w:color w:val="000000"/>
                <w:sz w:val="16"/>
                <w:szCs w:val="16"/>
              </w:rPr>
              <w:t>Clear, logical, and well-defined data flow</w:t>
            </w:r>
          </w:p>
        </w:tc>
        <w:tc>
          <w:tcPr>
            <w:tcW w:w="1740" w:type="dxa"/>
            <w:tcBorders>
              <w:top w:val="single" w:sz="4" w:space="0" w:color="555555"/>
              <w:left w:val="single" w:sz="4" w:space="0" w:color="555555"/>
              <w:bottom w:val="single" w:sz="4" w:space="0" w:color="555555"/>
              <w:right w:val="single" w:sz="4" w:space="0" w:color="555555"/>
            </w:tcBorders>
            <w:tcMar>
              <w:top w:w="60" w:type="dxa"/>
              <w:left w:w="80" w:type="dxa"/>
              <w:bottom w:w="60" w:type="dxa"/>
              <w:right w:w="80" w:type="dxa"/>
            </w:tcMar>
            <w:vAlign w:val="center"/>
          </w:tcPr>
          <w:p w14:paraId="37E6AB7B" w14:textId="77777777" w:rsidR="00520BC1" w:rsidRDefault="00B6741A">
            <w:pPr>
              <w:jc w:val="center"/>
            </w:pPr>
            <w:r>
              <w:rPr>
                <w:color w:val="000000"/>
                <w:sz w:val="16"/>
                <w:szCs w:val="16"/>
              </w:rPr>
              <w:t>Mostly clear</w:t>
            </w:r>
          </w:p>
        </w:tc>
        <w:tc>
          <w:tcPr>
            <w:tcW w:w="1740" w:type="dxa"/>
            <w:tcBorders>
              <w:top w:val="single" w:sz="4" w:space="0" w:color="555555"/>
              <w:left w:val="single" w:sz="4" w:space="0" w:color="555555"/>
              <w:bottom w:val="single" w:sz="4" w:space="0" w:color="555555"/>
              <w:right w:val="single" w:sz="4" w:space="0" w:color="555555"/>
            </w:tcBorders>
            <w:tcMar>
              <w:top w:w="60" w:type="dxa"/>
              <w:left w:w="80" w:type="dxa"/>
              <w:bottom w:w="60" w:type="dxa"/>
              <w:right w:w="80" w:type="dxa"/>
            </w:tcMar>
            <w:vAlign w:val="center"/>
          </w:tcPr>
          <w:p w14:paraId="274D5158" w14:textId="77777777" w:rsidR="00520BC1" w:rsidRDefault="00B6741A">
            <w:pPr>
              <w:jc w:val="center"/>
            </w:pPr>
            <w:r>
              <w:rPr>
                <w:color w:val="000000"/>
                <w:sz w:val="16"/>
                <w:szCs w:val="16"/>
              </w:rPr>
              <w:t>Some gaps</w:t>
            </w:r>
          </w:p>
        </w:tc>
        <w:tc>
          <w:tcPr>
            <w:tcW w:w="1740" w:type="dxa"/>
            <w:tcBorders>
              <w:top w:val="single" w:sz="4" w:space="0" w:color="555555"/>
              <w:left w:val="single" w:sz="4" w:space="0" w:color="555555"/>
              <w:bottom w:val="single" w:sz="4" w:space="0" w:color="555555"/>
              <w:right w:val="single" w:sz="4" w:space="0" w:color="555555"/>
            </w:tcBorders>
            <w:tcMar>
              <w:top w:w="60" w:type="dxa"/>
              <w:left w:w="80" w:type="dxa"/>
              <w:bottom w:w="60" w:type="dxa"/>
              <w:right w:w="80" w:type="dxa"/>
            </w:tcMar>
            <w:vAlign w:val="center"/>
          </w:tcPr>
          <w:p w14:paraId="5C3677A1" w14:textId="77777777" w:rsidR="00520BC1" w:rsidRDefault="00B6741A">
            <w:pPr>
              <w:jc w:val="center"/>
            </w:pPr>
            <w:r>
              <w:rPr>
                <w:color w:val="000000"/>
                <w:sz w:val="16"/>
                <w:szCs w:val="16"/>
              </w:rPr>
              <w:t>Poorly defined</w:t>
            </w:r>
          </w:p>
        </w:tc>
      </w:tr>
      <w:tr w:rsidR="00520BC1" w14:paraId="5DCB0F52" w14:textId="77777777">
        <w:tblPrEx>
          <w:tblCellMar>
            <w:top w:w="0" w:type="dxa"/>
            <w:bottom w:w="0" w:type="dxa"/>
          </w:tblCellMar>
        </w:tblPrEx>
        <w:tc>
          <w:tcPr>
            <w:tcW w:w="2400" w:type="dxa"/>
            <w:tcBorders>
              <w:top w:val="single" w:sz="4" w:space="0" w:color="555555"/>
              <w:left w:val="single" w:sz="4" w:space="0" w:color="555555"/>
              <w:bottom w:val="single" w:sz="4" w:space="0" w:color="555555"/>
              <w:right w:val="single" w:sz="4" w:space="0" w:color="555555"/>
            </w:tcBorders>
            <w:tcMar>
              <w:top w:w="60" w:type="dxa"/>
              <w:left w:w="80" w:type="dxa"/>
              <w:bottom w:w="60" w:type="dxa"/>
              <w:right w:w="80" w:type="dxa"/>
            </w:tcMar>
            <w:vAlign w:val="center"/>
          </w:tcPr>
          <w:p w14:paraId="5EC63532" w14:textId="77777777" w:rsidR="00520BC1" w:rsidRDefault="00B6741A">
            <w:pPr>
              <w:jc w:val="center"/>
            </w:pPr>
            <w:r>
              <w:rPr>
                <w:color w:val="000000"/>
                <w:sz w:val="16"/>
                <w:szCs w:val="16"/>
              </w:rPr>
              <w:t>Innovation &amp; Creativity</w:t>
            </w:r>
          </w:p>
        </w:tc>
        <w:tc>
          <w:tcPr>
            <w:tcW w:w="1740" w:type="dxa"/>
            <w:tcBorders>
              <w:top w:val="single" w:sz="4" w:space="0" w:color="555555"/>
              <w:left w:val="single" w:sz="4" w:space="0" w:color="555555"/>
              <w:bottom w:val="single" w:sz="4" w:space="0" w:color="555555"/>
              <w:right w:val="single" w:sz="4" w:space="0" w:color="555555"/>
            </w:tcBorders>
            <w:tcMar>
              <w:top w:w="60" w:type="dxa"/>
              <w:left w:w="80" w:type="dxa"/>
              <w:bottom w:w="60" w:type="dxa"/>
              <w:right w:w="80" w:type="dxa"/>
            </w:tcMar>
            <w:vAlign w:val="center"/>
          </w:tcPr>
          <w:p w14:paraId="74F3B7DF" w14:textId="77777777" w:rsidR="00520BC1" w:rsidRDefault="00B6741A">
            <w:pPr>
              <w:jc w:val="center"/>
            </w:pPr>
            <w:r>
              <w:rPr>
                <w:color w:val="000000"/>
                <w:sz w:val="16"/>
                <w:szCs w:val="16"/>
              </w:rPr>
              <w:t>Highly innovative, realistic, and impactful solution</w:t>
            </w:r>
          </w:p>
        </w:tc>
        <w:tc>
          <w:tcPr>
            <w:tcW w:w="1740" w:type="dxa"/>
            <w:tcBorders>
              <w:top w:val="single" w:sz="4" w:space="0" w:color="555555"/>
              <w:left w:val="single" w:sz="4" w:space="0" w:color="555555"/>
              <w:bottom w:val="single" w:sz="4" w:space="0" w:color="555555"/>
              <w:right w:val="single" w:sz="4" w:space="0" w:color="555555"/>
            </w:tcBorders>
            <w:tcMar>
              <w:top w:w="60" w:type="dxa"/>
              <w:left w:w="80" w:type="dxa"/>
              <w:bottom w:w="60" w:type="dxa"/>
              <w:right w:w="80" w:type="dxa"/>
            </w:tcMar>
            <w:vAlign w:val="center"/>
          </w:tcPr>
          <w:p w14:paraId="44E1D7C1" w14:textId="77777777" w:rsidR="00520BC1" w:rsidRDefault="00B6741A">
            <w:pPr>
              <w:jc w:val="center"/>
            </w:pPr>
            <w:r>
              <w:rPr>
                <w:color w:val="000000"/>
                <w:sz w:val="16"/>
                <w:szCs w:val="16"/>
              </w:rPr>
              <w:t>Some innovation</w:t>
            </w:r>
          </w:p>
        </w:tc>
        <w:tc>
          <w:tcPr>
            <w:tcW w:w="1740" w:type="dxa"/>
            <w:tcBorders>
              <w:top w:val="single" w:sz="4" w:space="0" w:color="555555"/>
              <w:left w:val="single" w:sz="4" w:space="0" w:color="555555"/>
              <w:bottom w:val="single" w:sz="4" w:space="0" w:color="555555"/>
              <w:right w:val="single" w:sz="4" w:space="0" w:color="555555"/>
            </w:tcBorders>
            <w:tcMar>
              <w:top w:w="60" w:type="dxa"/>
              <w:left w:w="80" w:type="dxa"/>
              <w:bottom w:w="60" w:type="dxa"/>
              <w:right w:w="80" w:type="dxa"/>
            </w:tcMar>
            <w:vAlign w:val="center"/>
          </w:tcPr>
          <w:p w14:paraId="271ED6C4" w14:textId="77777777" w:rsidR="00520BC1" w:rsidRDefault="00B6741A">
            <w:pPr>
              <w:jc w:val="center"/>
            </w:pPr>
            <w:r>
              <w:rPr>
                <w:color w:val="000000"/>
                <w:sz w:val="16"/>
                <w:szCs w:val="16"/>
              </w:rPr>
              <w:t>Basic idea</w:t>
            </w:r>
          </w:p>
        </w:tc>
        <w:tc>
          <w:tcPr>
            <w:tcW w:w="1740" w:type="dxa"/>
            <w:tcBorders>
              <w:top w:val="single" w:sz="4" w:space="0" w:color="555555"/>
              <w:left w:val="single" w:sz="4" w:space="0" w:color="555555"/>
              <w:bottom w:val="single" w:sz="4" w:space="0" w:color="555555"/>
              <w:right w:val="single" w:sz="4" w:space="0" w:color="555555"/>
            </w:tcBorders>
            <w:tcMar>
              <w:top w:w="60" w:type="dxa"/>
              <w:left w:w="80" w:type="dxa"/>
              <w:bottom w:w="60" w:type="dxa"/>
              <w:right w:w="80" w:type="dxa"/>
            </w:tcMar>
            <w:vAlign w:val="center"/>
          </w:tcPr>
          <w:p w14:paraId="6521D3E6" w14:textId="77777777" w:rsidR="00520BC1" w:rsidRDefault="00B6741A">
            <w:pPr>
              <w:jc w:val="center"/>
            </w:pPr>
            <w:r>
              <w:rPr>
                <w:color w:val="000000"/>
                <w:sz w:val="16"/>
                <w:szCs w:val="16"/>
              </w:rPr>
              <w:t>No originality</w:t>
            </w:r>
          </w:p>
        </w:tc>
      </w:tr>
      <w:tr w:rsidR="00520BC1" w14:paraId="424ADD28" w14:textId="77777777">
        <w:tblPrEx>
          <w:tblCellMar>
            <w:top w:w="0" w:type="dxa"/>
            <w:bottom w:w="0" w:type="dxa"/>
          </w:tblCellMar>
        </w:tblPrEx>
        <w:tc>
          <w:tcPr>
            <w:tcW w:w="2400" w:type="dxa"/>
            <w:tcBorders>
              <w:top w:val="single" w:sz="4" w:space="0" w:color="555555"/>
              <w:left w:val="single" w:sz="4" w:space="0" w:color="555555"/>
              <w:bottom w:val="single" w:sz="4" w:space="0" w:color="555555"/>
              <w:right w:val="single" w:sz="4" w:space="0" w:color="555555"/>
            </w:tcBorders>
            <w:tcMar>
              <w:top w:w="60" w:type="dxa"/>
              <w:left w:w="80" w:type="dxa"/>
              <w:bottom w:w="60" w:type="dxa"/>
              <w:right w:w="80" w:type="dxa"/>
            </w:tcMar>
            <w:vAlign w:val="center"/>
          </w:tcPr>
          <w:p w14:paraId="5217A4CA" w14:textId="77777777" w:rsidR="00520BC1" w:rsidRDefault="00B6741A">
            <w:pPr>
              <w:jc w:val="center"/>
            </w:pPr>
            <w:r>
              <w:rPr>
                <w:color w:val="000000"/>
                <w:sz w:val="16"/>
                <w:szCs w:val="16"/>
              </w:rPr>
              <w:t>Clarity, Presentation &amp; Documentation</w:t>
            </w:r>
          </w:p>
        </w:tc>
        <w:tc>
          <w:tcPr>
            <w:tcW w:w="1740" w:type="dxa"/>
            <w:tcBorders>
              <w:top w:val="single" w:sz="4" w:space="0" w:color="555555"/>
              <w:left w:val="single" w:sz="4" w:space="0" w:color="555555"/>
              <w:bottom w:val="single" w:sz="4" w:space="0" w:color="555555"/>
              <w:right w:val="single" w:sz="4" w:space="0" w:color="555555"/>
            </w:tcBorders>
            <w:tcMar>
              <w:top w:w="60" w:type="dxa"/>
              <w:left w:w="80" w:type="dxa"/>
              <w:bottom w:w="60" w:type="dxa"/>
              <w:right w:w="80" w:type="dxa"/>
            </w:tcMar>
            <w:vAlign w:val="center"/>
          </w:tcPr>
          <w:p w14:paraId="7019B7B7" w14:textId="77777777" w:rsidR="00520BC1" w:rsidRDefault="00B6741A">
            <w:pPr>
              <w:jc w:val="center"/>
            </w:pPr>
            <w:r>
              <w:rPr>
                <w:color w:val="000000"/>
                <w:sz w:val="16"/>
                <w:szCs w:val="16"/>
              </w:rPr>
              <w:t>Very clear, neat diagrams, well-organized report</w:t>
            </w:r>
          </w:p>
        </w:tc>
        <w:tc>
          <w:tcPr>
            <w:tcW w:w="1740" w:type="dxa"/>
            <w:tcBorders>
              <w:top w:val="single" w:sz="4" w:space="0" w:color="555555"/>
              <w:left w:val="single" w:sz="4" w:space="0" w:color="555555"/>
              <w:bottom w:val="single" w:sz="4" w:space="0" w:color="555555"/>
              <w:right w:val="single" w:sz="4" w:space="0" w:color="555555"/>
            </w:tcBorders>
            <w:tcMar>
              <w:top w:w="60" w:type="dxa"/>
              <w:left w:w="80" w:type="dxa"/>
              <w:bottom w:w="60" w:type="dxa"/>
              <w:right w:w="80" w:type="dxa"/>
            </w:tcMar>
            <w:vAlign w:val="center"/>
          </w:tcPr>
          <w:p w14:paraId="25A9DB9F" w14:textId="77777777" w:rsidR="00520BC1" w:rsidRDefault="00B6741A">
            <w:pPr>
              <w:jc w:val="center"/>
            </w:pPr>
            <w:r>
              <w:rPr>
                <w:color w:val="000000"/>
                <w:sz w:val="16"/>
                <w:szCs w:val="16"/>
              </w:rPr>
              <w:t>Mostly clear</w:t>
            </w:r>
          </w:p>
        </w:tc>
        <w:tc>
          <w:tcPr>
            <w:tcW w:w="1740" w:type="dxa"/>
            <w:tcBorders>
              <w:top w:val="single" w:sz="4" w:space="0" w:color="555555"/>
              <w:left w:val="single" w:sz="4" w:space="0" w:color="555555"/>
              <w:bottom w:val="single" w:sz="4" w:space="0" w:color="555555"/>
              <w:right w:val="single" w:sz="4" w:space="0" w:color="555555"/>
            </w:tcBorders>
            <w:tcMar>
              <w:top w:w="60" w:type="dxa"/>
              <w:left w:w="80" w:type="dxa"/>
              <w:bottom w:w="60" w:type="dxa"/>
              <w:right w:w="80" w:type="dxa"/>
            </w:tcMar>
            <w:vAlign w:val="center"/>
          </w:tcPr>
          <w:p w14:paraId="005B2B39" w14:textId="77777777" w:rsidR="00520BC1" w:rsidRDefault="00B6741A">
            <w:pPr>
              <w:jc w:val="center"/>
            </w:pPr>
            <w:r>
              <w:rPr>
                <w:color w:val="000000"/>
                <w:sz w:val="16"/>
                <w:szCs w:val="16"/>
              </w:rPr>
              <w:t>Somewhat organized</w:t>
            </w:r>
          </w:p>
        </w:tc>
        <w:tc>
          <w:tcPr>
            <w:tcW w:w="1740" w:type="dxa"/>
            <w:tcBorders>
              <w:top w:val="single" w:sz="4" w:space="0" w:color="555555"/>
              <w:left w:val="single" w:sz="4" w:space="0" w:color="555555"/>
              <w:bottom w:val="single" w:sz="4" w:space="0" w:color="555555"/>
              <w:right w:val="single" w:sz="4" w:space="0" w:color="555555"/>
            </w:tcBorders>
            <w:tcMar>
              <w:top w:w="60" w:type="dxa"/>
              <w:left w:w="80" w:type="dxa"/>
              <w:bottom w:w="60" w:type="dxa"/>
              <w:right w:w="80" w:type="dxa"/>
            </w:tcMar>
            <w:vAlign w:val="center"/>
          </w:tcPr>
          <w:p w14:paraId="4495CF9F" w14:textId="77777777" w:rsidR="00520BC1" w:rsidRDefault="00B6741A">
            <w:pPr>
              <w:jc w:val="center"/>
            </w:pPr>
            <w:r>
              <w:rPr>
                <w:color w:val="000000"/>
                <w:sz w:val="16"/>
                <w:szCs w:val="16"/>
              </w:rPr>
              <w:t>Poor presentation</w:t>
            </w:r>
          </w:p>
        </w:tc>
      </w:tr>
    </w:tbl>
    <w:p w14:paraId="4D1319F4" w14:textId="77777777" w:rsidR="00B6741A" w:rsidRDefault="00B6741A"/>
    <w:sectPr w:rsidR="00B6741A">
      <w:pgSz w:w="11906" w:h="16838"/>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545333"/>
    <w:multiLevelType w:val="hybridMultilevel"/>
    <w:tmpl w:val="0BC02A50"/>
    <w:lvl w:ilvl="0" w:tplc="AE5EC7A2">
      <w:start w:val="1"/>
      <w:numFmt w:val="bullet"/>
      <w:lvlText w:val="●"/>
      <w:lvlJc w:val="left"/>
      <w:pPr>
        <w:ind w:left="720" w:hanging="360"/>
      </w:pPr>
    </w:lvl>
    <w:lvl w:ilvl="1" w:tplc="1004AD28">
      <w:start w:val="1"/>
      <w:numFmt w:val="bullet"/>
      <w:lvlText w:val="○"/>
      <w:lvlJc w:val="left"/>
      <w:pPr>
        <w:ind w:left="1440" w:hanging="360"/>
      </w:pPr>
    </w:lvl>
    <w:lvl w:ilvl="2" w:tplc="6218C918">
      <w:start w:val="1"/>
      <w:numFmt w:val="bullet"/>
      <w:lvlText w:val="■"/>
      <w:lvlJc w:val="left"/>
      <w:pPr>
        <w:ind w:left="2160" w:hanging="360"/>
      </w:pPr>
    </w:lvl>
    <w:lvl w:ilvl="3" w:tplc="140211E6">
      <w:start w:val="1"/>
      <w:numFmt w:val="bullet"/>
      <w:lvlText w:val="●"/>
      <w:lvlJc w:val="left"/>
      <w:pPr>
        <w:ind w:left="2880" w:hanging="360"/>
      </w:pPr>
    </w:lvl>
    <w:lvl w:ilvl="4" w:tplc="29063BA8">
      <w:start w:val="1"/>
      <w:numFmt w:val="bullet"/>
      <w:lvlText w:val="○"/>
      <w:lvlJc w:val="left"/>
      <w:pPr>
        <w:ind w:left="3600" w:hanging="360"/>
      </w:pPr>
    </w:lvl>
    <w:lvl w:ilvl="5" w:tplc="F5D8290C">
      <w:start w:val="1"/>
      <w:numFmt w:val="bullet"/>
      <w:lvlText w:val="■"/>
      <w:lvlJc w:val="left"/>
      <w:pPr>
        <w:ind w:left="4320" w:hanging="360"/>
      </w:pPr>
    </w:lvl>
    <w:lvl w:ilvl="6" w:tplc="3F5ABDDE">
      <w:start w:val="1"/>
      <w:numFmt w:val="bullet"/>
      <w:lvlText w:val="●"/>
      <w:lvlJc w:val="left"/>
      <w:pPr>
        <w:ind w:left="5040" w:hanging="360"/>
      </w:pPr>
    </w:lvl>
    <w:lvl w:ilvl="7" w:tplc="84B82A60">
      <w:start w:val="1"/>
      <w:numFmt w:val="bullet"/>
      <w:lvlText w:val="●"/>
      <w:lvlJc w:val="left"/>
      <w:pPr>
        <w:ind w:left="5760" w:hanging="360"/>
      </w:pPr>
    </w:lvl>
    <w:lvl w:ilvl="8" w:tplc="1BFAA2FC">
      <w:start w:val="1"/>
      <w:numFmt w:val="bullet"/>
      <w:lvlText w:val="●"/>
      <w:lvlJc w:val="left"/>
      <w:pPr>
        <w:ind w:left="6480" w:hanging="360"/>
      </w:pPr>
    </w:lvl>
  </w:abstractNum>
  <w:abstractNum w:abstractNumId="1" w15:restartNumberingAfterBreak="0">
    <w:nsid w:val="740E1E2B"/>
    <w:multiLevelType w:val="hybridMultilevel"/>
    <w:tmpl w:val="23BE74C0"/>
    <w:lvl w:ilvl="0" w:tplc="80723EB6">
      <w:start w:val="1"/>
      <w:numFmt w:val="bullet"/>
      <w:lvlText w:val="•"/>
      <w:lvlJc w:val="left"/>
      <w:pPr>
        <w:ind w:left="480" w:hanging="260"/>
      </w:pPr>
    </w:lvl>
    <w:lvl w:ilvl="1" w:tplc="53F2E218">
      <w:numFmt w:val="decimal"/>
      <w:lvlText w:val=""/>
      <w:lvlJc w:val="left"/>
    </w:lvl>
    <w:lvl w:ilvl="2" w:tplc="5CCC87AA">
      <w:numFmt w:val="decimal"/>
      <w:lvlText w:val=""/>
      <w:lvlJc w:val="left"/>
    </w:lvl>
    <w:lvl w:ilvl="3" w:tplc="0E1E10A6">
      <w:numFmt w:val="decimal"/>
      <w:lvlText w:val=""/>
      <w:lvlJc w:val="left"/>
    </w:lvl>
    <w:lvl w:ilvl="4" w:tplc="32461000">
      <w:numFmt w:val="decimal"/>
      <w:lvlText w:val=""/>
      <w:lvlJc w:val="left"/>
    </w:lvl>
    <w:lvl w:ilvl="5" w:tplc="4FE69BF4">
      <w:numFmt w:val="decimal"/>
      <w:lvlText w:val=""/>
      <w:lvlJc w:val="left"/>
    </w:lvl>
    <w:lvl w:ilvl="6" w:tplc="5AF28C08">
      <w:numFmt w:val="decimal"/>
      <w:lvlText w:val=""/>
      <w:lvlJc w:val="left"/>
    </w:lvl>
    <w:lvl w:ilvl="7" w:tplc="7B946B4E">
      <w:numFmt w:val="decimal"/>
      <w:lvlText w:val=""/>
      <w:lvlJc w:val="left"/>
    </w:lvl>
    <w:lvl w:ilvl="8" w:tplc="E5BC0FA0">
      <w:numFmt w:val="decimal"/>
      <w:lvlText w:val=""/>
      <w:lvlJc w:val="left"/>
    </w:lvl>
  </w:abstractNum>
  <w:num w:numId="1" w16cid:durableId="74607359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20BC1"/>
    <w:rsid w:val="003A4E31"/>
    <w:rsid w:val="004D0F4F"/>
    <w:rsid w:val="00520BC1"/>
    <w:rsid w:val="00B6741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037B2A"/>
  <w15:docId w15:val="{4B45F0AB-E9A1-4785-8F49-59D2A450B8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6</Pages>
  <Words>1691</Words>
  <Characters>9641</Characters>
  <Application>Microsoft Office Word</Application>
  <DocSecurity>0</DocSecurity>
  <Lines>80</Lines>
  <Paragraphs>22</Paragraphs>
  <ScaleCrop>false</ScaleCrop>
  <Company/>
  <LinksUpToDate>false</LinksUpToDate>
  <CharactersWithSpaces>11310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thug life</cp:lastModifiedBy>
  <cp:revision>2</cp:revision>
  <dcterms:created xsi:type="dcterms:W3CDTF">2026-08-29T08:50:00Z</dcterms:created>
  <dcterms:modified xsi:type="dcterms:W3CDTF">2026-08-29T08:50:00Z</dcterms:modified>
</cp:coreProperties>
</file>