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BlueHarbor SharePoint Knowledge Runbook</w:t>
      </w:r>
    </w:p>
    <w:p>
      <w:r>
        <w:t>This runbook describes how BlueHarbor syncs SharePoint knowledge libraries into the local AI knowledge index.</w:t>
      </w:r>
    </w:p>
    <w:p>
      <w:pPr>
        <w:pStyle w:val="Heading2"/>
      </w:pPr>
      <w:r>
        <w:t>OAuth token refresh</w:t>
      </w:r>
    </w:p>
    <w:p>
      <w:r>
        <w:t>The sync worker refreshes the OAuth access token before calling the Microsoft Graph API for large SharePoint sync jobs.</w:t>
      </w:r>
    </w:p>
    <w:p>
      <w:pPr>
        <w:pStyle w:val="Heading2"/>
      </w:pPr>
      <w:r>
        <w:t>Incremental sync</w:t>
      </w:r>
    </w:p>
    <w:p>
      <w:r>
        <w:t>Incremental sync only uploads changed files and preserves the existing chunk ids for unchanged documents.</w:t>
      </w:r>
    </w:p>
    <w:p>
      <w:pPr>
        <w:pStyle w:val="Heading2"/>
      </w:pPr>
      <w:r>
        <w:t>Supported file types</w:t>
      </w:r>
    </w:p>
    <w:p>
      <w:r>
        <w:t>The current SharePoint lane targets PDF, DOCX, XLSX, PPTX, code files, and YAML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