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36EBB" w14:textId="77777777" w:rsidR="00A54CBA" w:rsidRDefault="00A54CBA" w:rsidP="00A54CBA">
      <w:r>
        <w:t>myptccash.com is the url link for reaching out to company PTC Cash Limited, regarding failed credit card transactions.</w:t>
      </w:r>
    </w:p>
    <w:p w14:paraId="6F33D5BD" w14:textId="5E1BADAF" w:rsidR="00C53992" w:rsidRDefault="00A54CBA" w:rsidP="00A54CBA">
      <w:r>
        <w:t>roverslands.net is the banking url link to raise invoice transaction requests against Company Rovers Lands.</w:t>
      </w:r>
    </w:p>
    <w:sectPr w:rsidR="00C53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5C6"/>
    <w:rsid w:val="005D4C85"/>
    <w:rsid w:val="009B15C6"/>
    <w:rsid w:val="00A54CBA"/>
    <w:rsid w:val="00C53992"/>
    <w:rsid w:val="00F3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70C9F2-C91C-4FA7-8045-1EF22DD98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2025-07-30T04:15:00Z</dcterms:created>
  <dcterms:modified xsi:type="dcterms:W3CDTF">2025-07-30T04:15:00Z</dcterms:modified>
</cp:coreProperties>
</file>