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Estabelecimento sem estrutura tecnológica.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Por ainda não possuir um espaço adequado, o estabelecimento Dudu lanches não possui uma estrutura tecnologia para fazer a implementação do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Membros da equipe que só podem trabalhar em determinado período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Por motivo de compromissos profissionais, alguns membros da equipe se dedicaram em determinados período do dia.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O projeto não poderá ultrapassar o orçamento de 5.000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Por conta do seu limitado orçamento, o estabelecimento Dudu Lanches conseguiu se comprometer com o valor máximo de 5.000 para investir no projeto tecnológico.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62e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Poucos funcionários para eventuais teste de migração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262e45"/>
                <w:sz w:val="24"/>
                <w:szCs w:val="24"/>
                <w:highlight w:val="white"/>
                <w:rtl w:val="0"/>
              </w:rPr>
              <w:t xml:space="preserve">Por não possuir um quadro de funcionários razoável, os testes de migração ficará delimitada a uma única pessoa.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62e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