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9" w:lineRule="auto"/>
        <w:ind w:left="2" w:right="2276" w:hanging="2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153150" cy="2921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274480" y="3770460"/>
                          <a:ext cx="6143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153150" cy="2921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53150" cy="292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9" w:lineRule="auto"/>
        <w:ind w:left="2" w:right="2276" w:hanging="2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32"/>
          <w:szCs w:val="32"/>
          <w:rtl w:val="0"/>
        </w:rPr>
        <w:t xml:space="preserve">A Expansão das Energias Renováveis na Matriz Elétrica Brasileira (1985–2024)</w:t>
      </w:r>
      <w:r w:rsidDel="00000000" w:rsidR="00000000" w:rsidRPr="00000000"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39"/>
          <w:szCs w:val="39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venir" w:cs="Avenir" w:eastAsia="Avenir" w:hAnsi="Avenir"/>
          <w:color w:val="16a6ff"/>
          <w:sz w:val="20"/>
          <w:szCs w:val="20"/>
          <w:rtl w:val="0"/>
        </w:rPr>
        <w:t xml:space="preserve">Paloma Duarte, duartepaloma0701@gmail.com, Erlon Avelino, erlon.avelino@academico.ufpb.br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7" w:line="240" w:lineRule="auto"/>
        <w:ind w:left="0" w:right="23" w:firstLine="0"/>
        <w:jc w:val="righ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Universidade Federal da Paraíba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" w:line="240" w:lineRule="auto"/>
        <w:ind w:left="0" w:right="23" w:firstLine="0"/>
        <w:jc w:val="righ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Cadernos de Visualização de Dados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righ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a6ff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a6ff"/>
          <w:sz w:val="15"/>
          <w:szCs w:val="15"/>
          <w:u w:val="none"/>
          <w:shd w:fill="auto" w:val="clear"/>
          <w:vertAlign w:val="baseline"/>
          <w:rtl w:val="0"/>
        </w:rPr>
        <w:t xml:space="preserve">cdia.ci.ufpb.br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righ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a6ff"/>
          <w:sz w:val="13"/>
          <w:szCs w:val="1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153150" cy="2921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274480" y="3770460"/>
                          <a:ext cx="6143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153150" cy="2921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53150" cy="292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center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center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24</w:t>
      </w: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de março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20" w:firstLine="0"/>
        <w:jc w:val="center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footerReference r:id="rId7" w:type="default"/>
          <w:pgSz w:h="16820" w:w="11906" w:orient="portrait"/>
          <w:pgMar w:bottom="850" w:top="564" w:left="1127" w:right="1105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" w:line="240" w:lineRule="auto"/>
        <w:ind w:left="0" w:right="165" w:firstLine="0"/>
        <w:jc w:val="both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a6ff"/>
          <w:sz w:val="49"/>
          <w:szCs w:val="49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18"/>
          <w:szCs w:val="18"/>
          <w:rtl w:val="0"/>
        </w:rPr>
        <w:t xml:space="preserve">ste trabalho apresenta um estudo de caso de visualização de dados sobre a evolução da matriz elétrica brasileira entre 1985 e 2024, com foco na expansão das fontes renováveis de energia. A partir de dados públicos disponibilizados pelo Our World in Data, são analisadas as contribuições da geração hidráulica, eólica, solar e de combustíveis fósseis ao longo do período, destacando marcos históricos como a crise hídrica de 2001, a seca severa de 2014-2015 e o recorde de 89% de participação renovável em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" w:line="240" w:lineRule="auto"/>
        <w:ind w:left="50" w:right="167" w:firstLine="0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30"/>
          <w:szCs w:val="30"/>
          <w:u w:val="none"/>
          <w:shd w:fill="auto" w:val="clear"/>
          <w:vertAlign w:val="superscript"/>
          <w:rtl w:val="0"/>
        </w:rPr>
        <w:t xml:space="preserve"> </w:t>
      </w: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28"/>
          <w:szCs w:val="28"/>
          <w:rtl w:val="0"/>
        </w:rPr>
        <w:t xml:space="preserve">Introdução</w:t>
      </w:r>
      <w:r w:rsidDel="00000000" w:rsidR="00000000" w:rsidRPr="00000000"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A transição energética é um dos temas centrais do debate climático global. O Brasil ocupa uma posição privilegiada nesse contexto, contando com uma das matrizes elétricas mais limpas do mundo, historicamente dominada pela geração hidráulica. Nas últimas décadas, o país tem diversificado sua matriz com a expansão acelerada das fontes eólica e solar, enquanto busca reduzir a dependência de combustíveis fósseis.</w:t>
      </w:r>
    </w:p>
    <w:p w:rsidR="00000000" w:rsidDel="00000000" w:rsidP="00000000" w:rsidRDefault="00000000" w:rsidRPr="00000000" w14:paraId="0000000E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Este trabalho analisa a evolução da geração elétrica brasileira entre 1985 e 2024, utilizando visualizações de dados para revelar tendências, identificar momentos de crise e destacar o avanço das energias renováveis no período.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80" w:lineRule="auto"/>
        <w:ind w:left="141" w:right="-5" w:firstLine="225"/>
        <w:jc w:val="both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2129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" w:line="240" w:lineRule="auto"/>
        <w:ind w:left="141" w:right="-5" w:firstLine="0"/>
        <w:jc w:val="left"/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26"/>
          <w:szCs w:val="26"/>
          <w:rtl w:val="0"/>
        </w:rPr>
        <w:t xml:space="preserve">Dados e Metodologia</w:t>
      </w:r>
      <w:r w:rsidDel="00000000" w:rsidR="00000000" w:rsidRPr="00000000"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Os dados utilizados neste trabalho foram obtidos do repositório público Our World in Data, que consolida informações de fontes como o Energy Institute, a U.S. Energy Information Administration (EIA) e o Ember. O conjunto de dados cobre 130 indicadores energéticos para países de todo o mundo, com séries históricas desde o século XX.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Para este estudo, foram selecionados dados exclusivamente do Brasil, no período de 1985 a 2024, abrangendo as seguintes variáveis: geração de eletricidade por fonte (hidráulica, eólica, solar e combustíveis fósseis), medida em terawatts-hora (TWh), e participação percentual das fontes renováveis na matriz elétrica total.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O processamento e a visualização dos dados foram realizados em Python, utilizando as bibliotecas Pandas e Matplotlib, em ambiente Google Colab. O código e os dados estão disponíveis publicamente no repositório GitHub do projeto.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0" w:line="240" w:lineRule="auto"/>
        <w:ind w:left="0" w:right="-5" w:firstLine="0"/>
        <w:jc w:val="left"/>
        <w:rPr>
          <w:rFonts w:ascii="Avenir" w:cs="Avenir" w:eastAsia="Avenir" w:hAnsi="Avenir"/>
          <w:color w:val="162129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0" w:line="240" w:lineRule="auto"/>
        <w:ind w:left="141" w:right="-5" w:firstLine="0"/>
        <w:jc w:val="left"/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24"/>
          <w:szCs w:val="24"/>
          <w:rtl w:val="0"/>
        </w:rPr>
        <w:t xml:space="preserve">Análise</w:t>
      </w:r>
      <w:r w:rsidDel="00000000" w:rsidR="00000000" w:rsidRPr="00000000"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A Figura 1 apresenta duas visualizações complementares da matriz elétrica brasileira no período analisado.</w:t>
      </w:r>
    </w:p>
    <w:p w:rsidR="00000000" w:rsidDel="00000000" w:rsidP="00000000" w:rsidRDefault="00000000" w:rsidRPr="00000000" w14:paraId="00000017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O gráfico de área empilhada revela que a geração hidráulica dominou historicamente a matriz brasileira, respondendo pela maior parte da eletricidade produzida ao longo de todo o período. A partir dos anos 2000, observa-se o crescimento gradual da geração eólica e, mais recentemente, da solar — esta última com expansão notável a partir de 2018, saltando de 3,5 TWh para 71 TWh em 2024.</w:t>
      </w:r>
    </w:p>
    <w:p w:rsidR="00000000" w:rsidDel="00000000" w:rsidP="00000000" w:rsidRDefault="00000000" w:rsidRPr="00000000" w14:paraId="00000018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color w:val="162129"/>
          <w:sz w:val="18"/>
          <w:szCs w:val="18"/>
          <w:rtl w:val="0"/>
        </w:rPr>
        <w:t xml:space="preserve">O gráfico de linha evidencia a participação percentual das renováveis na matriz, que se manteve acima de 80% na maior parte do período. Dois momentos de queda se destacam: a crise hídrica de 2001, que forçou o racionamento de energia e expôs a vulnerabilidade da dependência hidráulica, e a seca severa de 2014-2015, quando a participação renovável caiu para cerca de 73%. Em resposta a essas crises, o Brasil acelerou os investimentos em eólica e solar, fontes que não dependem do regime de chuvas. Em 2023, o país atingiu o recorde de 89% de geração renovável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41" w:right="167" w:firstLine="0"/>
        <w:jc w:val="both"/>
        <w:rPr>
          <w:rFonts w:ascii="Avenir" w:cs="Avenir" w:eastAsia="Avenir" w:hAnsi="Avenir"/>
          <w:color w:val="162129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color w:val="162129"/>
          <w:sz w:val="18"/>
          <w:szCs w:val="18"/>
        </w:rPr>
        <w:drawing>
          <wp:inline distB="114300" distT="114300" distL="114300" distR="114300">
            <wp:extent cx="3067050" cy="1143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11" w:line="280" w:lineRule="auto"/>
        <w:ind w:left="181" w:right="167" w:firstLine="538"/>
        <w:jc w:val="center"/>
        <w:rPr>
          <w:rFonts w:ascii="Avenir" w:cs="Avenir" w:eastAsia="Avenir" w:hAnsi="Avenir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17"/>
          <w:szCs w:val="17"/>
          <w:rtl w:val="0"/>
        </w:rPr>
        <w:t xml:space="preserve">Figura 1: </w:t>
      </w:r>
      <w:r w:rsidDel="00000000" w:rsidR="00000000" w:rsidRPr="00000000">
        <w:rPr>
          <w:rFonts w:ascii="Avenir" w:cs="Avenir" w:eastAsia="Avenir" w:hAnsi="Avenir"/>
          <w:i w:val="1"/>
          <w:iCs w:val="1"/>
          <w:sz w:val="17"/>
          <w:szCs w:val="17"/>
          <w:rtl w:val="0"/>
        </w:rPr>
        <w:t xml:space="preserve">Geração de eletricidade no Brasil por fonte (esquerda) e participação de renováveis na matriz elétrica brasileira (direita), 1985–2024. Fonte: Our World in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41" w:right="167" w:firstLine="0"/>
        <w:jc w:val="both"/>
        <w:rPr>
          <w:rFonts w:ascii="Avenir" w:cs="Avenir" w:eastAsia="Avenir" w:hAnsi="Avenir"/>
          <w:color w:val="162129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41" w:right="167" w:firstLine="0"/>
        <w:jc w:val="both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162129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24"/>
          <w:szCs w:val="24"/>
          <w:rtl w:val="0"/>
        </w:rPr>
        <w:t xml:space="preserve">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b w:val="1"/>
          <w:bCs w:val="1"/>
          <w:i w:val="0"/>
          <w:iCs w:val="0"/>
          <w:smallCaps w:val="0"/>
          <w:strike w:val="0"/>
          <w:color w:val="162129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sz w:val="18"/>
          <w:szCs w:val="18"/>
          <w:rtl w:val="0"/>
        </w:rPr>
        <w:t xml:space="preserve">Os dados analisados demonstram que o Brasil consolidou, ao longo das últimas quatro décadas, uma matriz elétrica predominantemente renovável. A expansão das fontes eólica e solar a partir dos anos 2000 representa uma mudança estrutural importante, reduzindo a vulnerabilidade histórica associada à dependência das chuvas para a geração hidráulica.</w:t>
      </w:r>
    </w:p>
    <w:p w:rsidR="00000000" w:rsidDel="00000000" w:rsidP="00000000" w:rsidRDefault="00000000" w:rsidRPr="00000000" w14:paraId="00000020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sz w:val="18"/>
          <w:szCs w:val="18"/>
          <w:rtl w:val="0"/>
        </w:rPr>
        <w:t xml:space="preserve">Os episódios de crise hídrica evidenciaram a necessidade de diversificação da matriz, funcionando como catalisadores para investimentos em novas fontes renováveis. O resultado dessa transição pode ser observado no recorde de 89% de participação renovável atingido em 2023, com tendência de crescimento para os próximos anos dado o ritmo de expansão da energia solar.</w:t>
      </w:r>
    </w:p>
    <w:p w:rsidR="00000000" w:rsidDel="00000000" w:rsidP="00000000" w:rsidRDefault="00000000" w:rsidRPr="00000000" w14:paraId="00000021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sz w:val="18"/>
          <w:szCs w:val="18"/>
        </w:rPr>
      </w:pPr>
      <w:r w:rsidDel="00000000" w:rsidR="00000000" w:rsidRPr="00000000">
        <w:rPr>
          <w:rFonts w:ascii="Avenir" w:cs="Avenir" w:eastAsia="Avenir" w:hAnsi="Avenir"/>
          <w:i w:val="1"/>
          <w:iCs w:val="1"/>
          <w:sz w:val="18"/>
          <w:szCs w:val="18"/>
          <w:rtl w:val="0"/>
        </w:rPr>
        <w:t xml:space="preserve">Como trabalho futuro, seria interessante comparar a trajetória brasileira com a de outros países em desenvolvimento, analisando em que medida as políticas públicas de incentivo às renováveis influenciaram os resultados observados.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i w:val="1"/>
          <w:i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11" w:line="280" w:lineRule="auto"/>
        <w:ind w:left="181" w:right="167" w:firstLine="0"/>
        <w:jc w:val="both"/>
        <w:rPr>
          <w:rFonts w:ascii="Avenir" w:cs="Avenir" w:eastAsia="Avenir" w:hAnsi="Avenir"/>
          <w:b w:val="1"/>
          <w:bCs w:val="1"/>
          <w:color w:val="162129"/>
          <w:sz w:val="24"/>
          <w:szCs w:val="24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color w:val="162129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24">
      <w:pPr>
        <w:spacing w:before="11" w:line="280" w:lineRule="auto"/>
        <w:ind w:left="181" w:right="167" w:firstLine="0"/>
        <w:jc w:val="both"/>
        <w:rPr>
          <w:rFonts w:ascii="Avenir" w:cs="Avenir" w:eastAsia="Avenir" w:hAnsi="Avenir"/>
          <w:b w:val="1"/>
          <w:bCs w:val="1"/>
          <w:color w:val="16212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="280" w:lineRule="auto"/>
        <w:jc w:val="both"/>
        <w:rPr>
          <w:rFonts w:ascii="Avenir" w:cs="Avenir" w:eastAsia="Avenir" w:hAnsi="Avenir"/>
          <w:b w:val="1"/>
          <w:bCs w:val="1"/>
          <w:i w:val="1"/>
          <w:iCs w:val="1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i w:val="1"/>
          <w:iCs w:val="1"/>
          <w:color w:val="162129"/>
          <w:sz w:val="24"/>
          <w:szCs w:val="24"/>
          <w:rtl w:val="0"/>
        </w:rPr>
        <w:t xml:space="preserve">Rosado, P., Ritchie, H., Mathieu, E., Roser, M. (2024). Energy. Our World in Data. Disponível em:</w:t>
      </w:r>
      <w:hyperlink r:id="rId9">
        <w:r w:rsidDel="00000000" w:rsidR="00000000" w:rsidRPr="00000000">
          <w:rPr>
            <w:rFonts w:ascii="Avenir" w:cs="Avenir" w:eastAsia="Avenir" w:hAnsi="Avenir"/>
            <w:b w:val="1"/>
            <w:bCs w:val="1"/>
            <w:i w:val="1"/>
            <w:iCs w:val="1"/>
            <w:color w:val="162129"/>
            <w:sz w:val="24"/>
            <w:szCs w:val="24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Avenir" w:cs="Avenir" w:eastAsia="Avenir" w:hAnsi="Avenir"/>
            <w:b w:val="1"/>
            <w:bCs w:val="1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https://ourworldindata.org/energy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="280" w:lineRule="auto"/>
        <w:jc w:val="both"/>
        <w:rPr>
          <w:rFonts w:ascii="Avenir" w:cs="Avenir" w:eastAsia="Avenir" w:hAnsi="Avenir"/>
          <w:b w:val="1"/>
          <w:bCs w:val="1"/>
          <w:i w:val="1"/>
          <w:iCs w:val="1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i w:val="1"/>
          <w:iCs w:val="1"/>
          <w:color w:val="162129"/>
          <w:sz w:val="24"/>
          <w:szCs w:val="24"/>
          <w:rtl w:val="0"/>
        </w:rPr>
        <w:t xml:space="preserve">Hannah Ritchie, Pablo Rosado and Max Roser (2023) - "Electricity Mix" Published online at OurWorldInData.org. Disponível em:</w:t>
      </w:r>
      <w:hyperlink r:id="rId11">
        <w:r w:rsidDel="00000000" w:rsidR="00000000" w:rsidRPr="00000000">
          <w:rPr>
            <w:rFonts w:ascii="Avenir" w:cs="Avenir" w:eastAsia="Avenir" w:hAnsi="Avenir"/>
            <w:b w:val="1"/>
            <w:bCs w:val="1"/>
            <w:i w:val="1"/>
            <w:iCs w:val="1"/>
            <w:color w:val="162129"/>
            <w:sz w:val="24"/>
            <w:szCs w:val="24"/>
            <w:rtl w:val="0"/>
          </w:rPr>
          <w:t xml:space="preserve"> </w:t>
        </w:r>
      </w:hyperlink>
      <w:hyperlink r:id="rId12">
        <w:r w:rsidDel="00000000" w:rsidR="00000000" w:rsidRPr="00000000">
          <w:rPr>
            <w:rFonts w:ascii="Avenir" w:cs="Avenir" w:eastAsia="Avenir" w:hAnsi="Avenir"/>
            <w:b w:val="1"/>
            <w:bCs w:val="1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https://ourworldindata.org/electricity-mix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80" w:lineRule="auto"/>
        <w:jc w:val="both"/>
        <w:rPr>
          <w:rFonts w:ascii="Avenir" w:cs="Avenir" w:eastAsia="Avenir" w:hAnsi="Avenir"/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80" w:lineRule="auto"/>
        <w:ind w:left="181" w:right="167" w:firstLine="0"/>
        <w:jc w:val="both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240" w:lineRule="auto"/>
        <w:ind w:left="15" w:right="-5" w:firstLine="126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3"/>
          <w:szCs w:val="1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240" w:lineRule="auto"/>
        <w:ind w:left="15" w:right="-5" w:firstLine="126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13"/>
          <w:szCs w:val="1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240" w:lineRule="auto"/>
        <w:ind w:left="15" w:right="-5" w:firstLine="126"/>
        <w:jc w:val="left"/>
        <w:rPr>
          <w:rFonts w:ascii="Avenir" w:cs="Avenir" w:eastAsia="Avenir" w:hAnsi="Aveni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20" w:w="11906" w:orient="portrait"/>
      <w:pgMar w:bottom="850" w:top="564" w:left="1127" w:right="1105" w:header="0" w:footer="720"/>
      <w:cols w:equalWidth="0" w:num="2">
        <w:col w:space="0" w:w="4836.999999999999"/>
        <w:col w:space="0" w:w="4836.99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ourworldindata.org/electricity-mix" TargetMode="External"/><Relationship Id="rId10" Type="http://schemas.openxmlformats.org/officeDocument/2006/relationships/hyperlink" Target="https://ourworldindata.org/energy" TargetMode="External"/><Relationship Id="rId12" Type="http://schemas.openxmlformats.org/officeDocument/2006/relationships/hyperlink" Target="https://ourworldindata.org/electricity-mix" TargetMode="External"/><Relationship Id="rId9" Type="http://schemas.openxmlformats.org/officeDocument/2006/relationships/hyperlink" Target="https://ourworldindata.org/energy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