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Cumplimos casi todo a tiempo, salvo un par de atrasos en la base de datos por temas de prueba y pega. Lo que más nos ayudó fue coordinar por Discord en las tardes, mientras que la falta de tiempo libre nos complicó un poco.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Para mitigar las desviaciones en el cronograma, implementamos una gestión de tareas centralizada a través de los documentos y establecimos canales de comunicación continua mediante Discord. Ante bloqueos técnicos en el modelado de la base de datos o en el desarrollo backend, aplicamos resolución colaborativa de problemas y optimizamos los tiempos de integración para asegurar la coherencia del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Evaluación del desempeño: El rendimiento en el diseño e implementación de la base de datos ha sido sólido y estructurado, logrando mantener la integridad referencial y cumplir con los requerimientos lógicos del modelo.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Persisten dudas respecto a los estándares óptimos de despliegue para la persistencia de datos y la estrategia de versionamiento del esquema ante futuras modificaciones del modelo lógico.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Evaluación de la distribución: Por el momento, consideramos que la carga de trabajo se encuentra equilibrada y no requiere una redistribución entre los integrantes 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Nuevas asignaciones: No se han identificado nuevas actividades extraordinarias que deban incorporarse al plan, por lo que cada miembro continuará ejecutando las tareas asignadas originalmente para asegurar el cumplimiento de los objetivos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q4o4czyraw8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 resalta la excelente comunicación interna, el compromiso constante de los integrantes y la disposición para brindar apoyo técnico mutuo ante los bloqueos en las distintas áreas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c4EvuAqJsf4n/LUlI8o1oTUu8w==">CgMxLjAyDmgucTRvNGN6eXJhdzhuOAByITFWck9UTTU0QUZ2STNmYU9fZkx0T3ctNWJZYURLelVYVg==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