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Grant Proposal: Youth Mentoring Program</w:t>
      </w:r>
    </w:p>
    <w:p>
      <w:r>
        <w:rPr>
          <w:b/>
        </w:rPr>
        <w:t>Fictional Example for Training Purposes</w:t>
      </w:r>
    </w:p>
    <w:p>
      <w:pPr>
        <w:spacing w:before="120" w:after="120"/>
        <w:pBdr>
          <w:bottom w:val="single" w:sz="6" w:space="1" w:color="003366"/>
        </w:pBdr>
      </w:pPr>
    </w:p>
    <w:p>
      <w:pPr>
        <w:pStyle w:val="Heading2"/>
      </w:pPr>
      <w:r>
        <w:t>COVER LETTER</w:t>
      </w:r>
    </w:p>
    <w:p>
      <w:pPr>
        <w:pStyle w:val="GrantBody"/>
      </w:pPr>
      <w:r>
        <w:rPr>
          <w:i/>
        </w:rPr>
        <w:t>[Ottawa Youth Connections Letterhead]</w:t>
      </w:r>
    </w:p>
    <w:p>
      <w:pPr>
        <w:pStyle w:val="GrantBody"/>
      </w:pPr>
      <w:r>
        <w:t>February 28, 2026</w:t>
      </w:r>
    </w:p>
    <w:p>
      <w:pPr>
        <w:pStyle w:val="GrantBody"/>
      </w:pPr>
      <w:r>
        <w:t>United Way East Ontario</w:t>
      </w:r>
    </w:p>
    <w:p>
      <w:pPr>
        <w:pStyle w:val="GrantBody"/>
      </w:pPr>
      <w:r>
        <w:t>Community Investment Team</w:t>
      </w:r>
    </w:p>
    <w:p>
      <w:pPr>
        <w:pStyle w:val="GrantBody"/>
      </w:pPr>
      <w:r>
        <w:t>363 Coventry Road</w:t>
      </w:r>
    </w:p>
    <w:p>
      <w:pPr>
        <w:pStyle w:val="GrantBody"/>
      </w:pPr>
      <w:r>
        <w:t>Ottawa, ON K1K 2C5</w:t>
      </w:r>
    </w:p>
    <w:p>
      <w:r>
        <w:rPr>
          <w:b/>
        </w:rPr>
        <w:t>RE: Funding Request for Pathways Youth Mentoring Program</w:t>
      </w:r>
    </w:p>
    <w:p>
      <w:pPr>
        <w:pStyle w:val="GrantBody"/>
      </w:pPr>
      <w:r>
        <w:t>Dear Community Investment Committee,</w:t>
      </w:r>
    </w:p>
    <w:p>
      <w:pPr>
        <w:pStyle w:val="GrantBody"/>
      </w:pPr>
      <w:r>
        <w:t>Ottawa Youth Connections respectfully requests $75,000 per year for two years ($150,000 total) to expand our Pathways Youth Mentoring Program, serving at-risk youth ages 12-18 in Ottawa's priority neighborhoods.</w:t>
      </w:r>
    </w:p>
    <w:p>
      <w:pPr>
        <w:pStyle w:val="GrantBody"/>
      </w:pPr>
      <w:r>
        <w:t>In Ottawa, 23% of youth live in low-income households, facing barriers that can derail their path to success. Research consistently shows that mentoring relationships are one of the most effective interventions for at-risk youth, improving academic outcomes, reducing risky behaviors, and building confidence.</w:t>
      </w:r>
    </w:p>
    <w:p>
      <w:pPr>
        <w:pStyle w:val="GrantBody"/>
      </w:pPr>
      <w:r>
        <w:t>Since 2015, Ottawa Youth Connections has matched over 500 youth with trained mentors, with measurable results: 85% of participants show improved academic engagement, and 92% report having a trusted adult in their lives. With United Way support, we will serve an additional 100 youth annually in Nepean, Gloucester, and Vanier.</w:t>
      </w:r>
    </w:p>
    <w:p>
      <w:pPr>
        <w:pStyle w:val="GrantBody"/>
      </w:pPr>
      <w:r>
        <w:t>We are confident this program aligns with United Way's "All That Kids Can Be" focus area and will create lasting change for young people in our community.</w:t>
      </w:r>
    </w:p>
    <w:p>
      <w:pPr>
        <w:pStyle w:val="GrantBody"/>
      </w:pPr>
      <w:r>
        <w:t>Thank you for considering this request. We would welcome the opportunity to discuss our work further.</w:t>
      </w:r>
    </w:p>
    <w:p>
      <w:pPr>
        <w:pStyle w:val="GrantBody"/>
      </w:pPr>
      <w:r>
        <w:t>Sincerely,</w:t>
      </w:r>
    </w:p>
    <w:p>
      <w:r>
        <w:rPr>
          <w:b/>
        </w:rPr>
        <w:t>Sarah Chen</w:t>
      </w:r>
    </w:p>
    <w:p>
      <w:pPr>
        <w:pStyle w:val="GrantBody"/>
      </w:pPr>
      <w:r>
        <w:t>Executive Director</w:t>
      </w:r>
    </w:p>
    <w:p>
      <w:pPr>
        <w:pStyle w:val="GrantBody"/>
      </w:pPr>
      <w:r>
        <w:t>Ottawa Youth Connections</w:t>
      </w:r>
    </w:p>
    <w:p>
      <w:pPr>
        <w:pStyle w:val="GrantBody"/>
      </w:pPr>
      <w:r>
        <w:t>(613) 555-0123 | sarah.chen@oyc-ottawa.ca</w:t>
      </w:r>
    </w:p>
    <w:p>
      <w:pPr>
        <w:spacing w:before="120" w:after="120"/>
        <w:pBdr>
          <w:bottom w:val="single" w:sz="6" w:space="1" w:color="003366"/>
        </w:pBdr>
      </w:pPr>
    </w:p>
    <w:p>
      <w:pPr>
        <w:pStyle w:val="Heading2"/>
      </w:pPr>
      <w:r>
        <w:t>EXECUTIVE SUMMARY</w:t>
      </w:r>
    </w:p>
    <w:p>
      <w:r>
        <w:rPr>
          <w:b/>
        </w:rPr>
        <w:t>Organization:</w:t>
      </w:r>
      <w:r>
        <w:t>Ottawa Youth Connections</w:t>
      </w:r>
    </w:p>
    <w:p>
      <w:r>
        <w:rPr>
          <w:b/>
        </w:rPr>
        <w:t>Project:</w:t>
      </w:r>
      <w:r>
        <w:t>Pathways Youth Mentoring Program Expansion</w:t>
      </w:r>
    </w:p>
    <w:p>
      <w:r>
        <w:rPr>
          <w:b/>
        </w:rPr>
        <w:t>Request:</w:t>
      </w:r>
      <w:r>
        <w:t>$75,000/year for 2 years ($150,000 total)</w:t>
      </w:r>
    </w:p>
    <w:p>
      <w:r>
        <w:rPr>
          <w:b/>
        </w:rPr>
        <w:t>Focus Area:</w:t>
      </w:r>
      <w:r>
        <w:t>All That Kids Can Be</w:t>
      </w:r>
    </w:p>
    <w:p>
      <w:r>
        <w:rPr>
          <w:b/>
        </w:rPr>
        <w:t>Geographic Area:</w:t>
      </w:r>
      <w:r>
        <w:t>Ottawa (Nepean, Gloucester, Vanier)</w:t>
      </w:r>
    </w:p>
    <w:p>
      <w:r>
        <w:rPr>
          <w:b/>
        </w:rPr>
        <w:t>Population Served:</w:t>
      </w:r>
      <w:r>
        <w:t>At-risk youth ages 12-18</w:t>
      </w:r>
    </w:p>
    <w:p>
      <w:r>
        <w:rPr>
          <w:b/>
        </w:rPr>
        <w:t>Summary:</w:t>
      </w:r>
    </w:p>
    <w:p>
      <w:pPr>
        <w:pStyle w:val="GrantBody"/>
      </w:pPr>
      <w:r>
        <w:t>Ottawa Youth Connections requests $150,000 over two years to expand our evidence-based Pathways Youth Mentoring Program. We will serve 100 additional youth annually, matching them with trained volunteer mentors for at least one year of consistent support.</w:t>
      </w:r>
    </w:p>
    <w:p>
      <w:pPr>
        <w:pStyle w:val="GrantBody"/>
      </w:pPr>
      <w:r>
        <w:t>Youth in Ottawa's priority neighborhoods face significant challenges: poverty, family instability, and limited access to positive role models. Our program addresses these barriers through one-on-one mentoring relationships proven to improve academic engagement, reduce risky behaviors, and build life skills.</w:t>
      </w:r>
    </w:p>
    <w:p>
      <w:pPr>
        <w:pStyle w:val="GrantBody"/>
      </w:pPr>
      <w:r>
        <w:t>With 10 years of experience and demonstrated outcomes, we are positioned to scale this proven model. United Way funding will enable us to recruit and train 50 new mentors, support 100 youth matches, and measure outcomes that align with United Way's priority of helping all kids reach their potential.</w:t>
      </w:r>
    </w:p>
    <w:p>
      <w:pPr>
        <w:spacing w:before="120" w:after="120"/>
        <w:pBdr>
          <w:bottom w:val="single" w:sz="6" w:space="1" w:color="003366"/>
        </w:pBdr>
      </w:pPr>
    </w:p>
    <w:p>
      <w:pPr>
        <w:pStyle w:val="Heading2"/>
      </w:pPr>
      <w:r>
        <w:t>ORGANIZATION BACKGROUND</w:t>
      </w:r>
    </w:p>
    <w:p>
      <w:pPr>
        <w:pStyle w:val="Heading3"/>
      </w:pPr>
      <w:r>
        <w:t>Mission Statement</w:t>
      </w:r>
    </w:p>
    <w:p>
      <w:pPr>
        <w:pStyle w:val="GrantQuote"/>
      </w:pPr>
      <w:r>
        <w:t>Ottawa Youth Connections empowers youth ages 12-24 to reach their full potential through mentoring, skill-building, and community connections.</w:t>
      </w:r>
    </w:p>
    <w:p>
      <w:pPr>
        <w:pStyle w:val="Heading3"/>
      </w:pPr>
      <w:r>
        <w:t>History</w:t>
      </w:r>
    </w:p>
    <w:p>
      <w:pPr>
        <w:pStyle w:val="GrantBody"/>
      </w:pPr>
      <w:r>
        <w:t>Founded in 2010, Ottawa Youth Connections began as a small after-school program serving 25 youth in Vanier. Recognizing the transformative power of mentoring relationships, we launched the Pathways program in 2015. Today, we serve over 300 youth annually through mentoring, academic support, and leadership development programs.</w:t>
      </w:r>
    </w:p>
    <w:p>
      <w:pPr>
        <w:pStyle w:val="Heading3"/>
      </w:pPr>
      <w:r>
        <w:t>Governance</w:t>
      </w:r>
    </w:p>
    <w:p>
      <w:pPr>
        <w:pStyle w:val="GrantBody"/>
      </w:pPr>
      <w:r>
        <w:t>Our Board of 10 members provides expertise in youth services, finance, education, and community development: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pPr>
              <w:spacing w:before="40" w:after="40"/>
            </w:pPr>
            <w:r>
              <w:rPr>
                <w:b/>
                <w:color w:val="FFFFFF"/>
                <w:sz w:val="20"/>
              </w:rPr>
              <w:t>Board Member</w:t>
            </w:r>
          </w:p>
        </w:tc>
        <w:tc>
          <w:tcPr>
            <w:tcW w:type="dxa" w:w="3120"/>
            <w:shd w:fill="003366"/>
          </w:tcPr>
          <w:p>
            <w:pPr>
              <w:spacing w:before="40" w:after="40"/>
            </w:pPr>
            <w:r>
              <w:rPr>
                <w:b/>
                <w:color w:val="FFFFFF"/>
                <w:sz w:val="20"/>
              </w:rPr>
              <w:t>Affiliation</w:t>
            </w:r>
          </w:p>
        </w:tc>
        <w:tc>
          <w:tcPr>
            <w:tcW w:type="dxa" w:w="3120"/>
            <w:shd w:fill="003366"/>
          </w:tcPr>
          <w:p>
            <w:pPr>
              <w:spacing w:before="40" w:after="40"/>
            </w:pPr>
            <w:r>
              <w:rPr>
                <w:b/>
                <w:color w:val="FFFFFF"/>
                <w:sz w:val="20"/>
              </w:rPr>
              <w:t>Expertise</w:t>
            </w:r>
          </w:p>
        </w:tc>
      </w:tr>
      <w:tr>
        <w:tc>
          <w:tcPr>
            <w:tcW w:type="dxa" w:w="3120"/>
          </w:tcPr>
          <w:p>
            <w:pPr>
              <w:spacing w:before="40" w:after="40"/>
            </w:pPr>
            <w:r>
              <w:rPr>
                <w:sz w:val="20"/>
              </w:rPr>
              <w:t>Michael Thompson, Chair</w:t>
            </w:r>
          </w:p>
        </w:tc>
        <w:tc>
          <w:tcPr>
            <w:tcW w:type="dxa" w:w="3120"/>
          </w:tcPr>
          <w:p>
            <w:pPr>
              <w:spacing w:before="40" w:after="40"/>
            </w:pPr>
            <w:r>
              <w:rPr>
                <w:sz w:val="20"/>
              </w:rPr>
              <w:t>Retired Principal</w:t>
            </w:r>
          </w:p>
        </w:tc>
        <w:tc>
          <w:tcPr>
            <w:tcW w:type="dxa" w:w="3120"/>
          </w:tcPr>
          <w:p>
            <w:pPr>
              <w:spacing w:before="40" w:after="40"/>
            </w:pPr>
            <w:r>
              <w:rPr>
                <w:sz w:val="20"/>
              </w:rPr>
              <w:t>Education</w:t>
            </w:r>
          </w:p>
        </w:tc>
      </w:tr>
      <w:tr>
        <w:tc>
          <w:tcPr>
            <w:tcW w:type="dxa" w:w="3120"/>
            <w:shd w:fill="F2F2F2"/>
          </w:tcPr>
          <w:p>
            <w:pPr>
              <w:spacing w:before="40" w:after="40"/>
            </w:pPr>
            <w:r>
              <w:rPr>
                <w:sz w:val="20"/>
              </w:rPr>
              <w:t>Dr. Lisa Wong, Vice-Chair</w:t>
            </w:r>
          </w:p>
        </w:tc>
        <w:tc>
          <w:tcPr>
            <w:tcW w:type="dxa" w:w="3120"/>
            <w:shd w:fill="F2F2F2"/>
          </w:tcPr>
          <w:p>
            <w:pPr>
              <w:spacing w:before="40" w:after="40"/>
            </w:pPr>
            <w:r>
              <w:rPr>
                <w:sz w:val="20"/>
              </w:rPr>
              <w:t>CHEO</w:t>
            </w:r>
          </w:p>
        </w:tc>
        <w:tc>
          <w:tcPr>
            <w:tcW w:type="dxa" w:w="3120"/>
            <w:shd w:fill="F2F2F2"/>
          </w:tcPr>
          <w:p>
            <w:pPr>
              <w:spacing w:before="40" w:after="40"/>
            </w:pPr>
            <w:r>
              <w:rPr>
                <w:sz w:val="20"/>
              </w:rPr>
              <w:t>Youth mental health</w:t>
            </w:r>
          </w:p>
        </w:tc>
      </w:tr>
      <w:tr>
        <w:tc>
          <w:tcPr>
            <w:tcW w:type="dxa" w:w="3120"/>
          </w:tcPr>
          <w:p>
            <w:pPr>
              <w:spacing w:before="40" w:after="40"/>
            </w:pPr>
            <w:r>
              <w:rPr>
                <w:sz w:val="20"/>
              </w:rPr>
              <w:t>James Okonkwo, Treasurer</w:t>
            </w:r>
          </w:p>
        </w:tc>
        <w:tc>
          <w:tcPr>
            <w:tcW w:type="dxa" w:w="3120"/>
          </w:tcPr>
          <w:p>
            <w:pPr>
              <w:spacing w:before="40" w:after="40"/>
            </w:pPr>
            <w:r>
              <w:rPr>
                <w:sz w:val="20"/>
              </w:rPr>
              <w:t>CPA Firm</w:t>
            </w:r>
          </w:p>
        </w:tc>
        <w:tc>
          <w:tcPr>
            <w:tcW w:type="dxa" w:w="3120"/>
          </w:tcPr>
          <w:p>
            <w:pPr>
              <w:spacing w:before="40" w:after="40"/>
            </w:pPr>
            <w:r>
              <w:rPr>
                <w:sz w:val="20"/>
              </w:rPr>
              <w:t>Finance</w:t>
            </w:r>
          </w:p>
        </w:tc>
      </w:tr>
      <w:tr>
        <w:tc>
          <w:tcPr>
            <w:tcW w:type="dxa" w:w="3120"/>
            <w:shd w:fill="F2F2F2"/>
          </w:tcPr>
          <w:p>
            <w:pPr>
              <w:spacing w:before="40" w:after="40"/>
            </w:pPr>
            <w:r>
              <w:rPr>
                <w:sz w:val="20"/>
              </w:rPr>
              <w:t>Anne-Marie Dubois</w:t>
            </w:r>
          </w:p>
        </w:tc>
        <w:tc>
          <w:tcPr>
            <w:tcW w:type="dxa" w:w="3120"/>
            <w:shd w:fill="F2F2F2"/>
          </w:tcPr>
          <w:p>
            <w:pPr>
              <w:spacing w:before="40" w:after="40"/>
            </w:pPr>
            <w:r>
              <w:rPr>
                <w:sz w:val="20"/>
              </w:rPr>
              <w:t>City of Ottawa</w:t>
            </w:r>
          </w:p>
        </w:tc>
        <w:tc>
          <w:tcPr>
            <w:tcW w:type="dxa" w:w="3120"/>
            <w:shd w:fill="F2F2F2"/>
          </w:tcPr>
          <w:p>
            <w:pPr>
              <w:spacing w:before="40" w:after="40"/>
            </w:pPr>
            <w:r>
              <w:rPr>
                <w:sz w:val="20"/>
              </w:rPr>
              <w:t>Social services</w:t>
            </w:r>
          </w:p>
        </w:tc>
      </w:tr>
      <w:tr>
        <w:tc>
          <w:tcPr>
            <w:tcW w:type="dxa" w:w="3120"/>
          </w:tcPr>
          <w:p>
            <w:pPr>
              <w:spacing w:before="40" w:after="40"/>
            </w:pPr>
            <w:r>
              <w:rPr>
                <w:sz w:val="20"/>
              </w:rPr>
              <w:t>David Patel</w:t>
            </w:r>
          </w:p>
        </w:tc>
        <w:tc>
          <w:tcPr>
            <w:tcW w:type="dxa" w:w="3120"/>
          </w:tcPr>
          <w:p>
            <w:pPr>
              <w:spacing w:before="40" w:after="40"/>
            </w:pPr>
            <w:r>
              <w:rPr>
                <w:sz w:val="20"/>
              </w:rPr>
              <w:t>Technology Sector</w:t>
            </w:r>
          </w:p>
        </w:tc>
        <w:tc>
          <w:tcPr>
            <w:tcW w:type="dxa" w:w="3120"/>
          </w:tcPr>
          <w:p>
            <w:pPr>
              <w:spacing w:before="40" w:after="40"/>
            </w:pPr>
            <w:r>
              <w:rPr>
                <w:sz w:val="20"/>
              </w:rPr>
              <w:t>Youth employment</w:t>
            </w:r>
          </w:p>
        </w:tc>
      </w:tr>
    </w:tbl>
    <w:p/>
    <w:p>
      <w:pPr>
        <w:pStyle w:val="Heading3"/>
      </w:pPr>
      <w:r>
        <w:t>Programs and Services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pPr>
              <w:spacing w:before="40" w:after="40"/>
            </w:pPr>
            <w:r>
              <w:rPr>
                <w:b/>
                <w:color w:val="FFFFFF"/>
                <w:sz w:val="20"/>
              </w:rPr>
              <w:t>Program</w:t>
            </w:r>
          </w:p>
        </w:tc>
        <w:tc>
          <w:tcPr>
            <w:tcW w:type="dxa" w:w="3120"/>
            <w:shd w:fill="003366"/>
          </w:tcPr>
          <w:p>
            <w:pPr>
              <w:spacing w:before="40" w:after="40"/>
            </w:pPr>
            <w:r>
              <w:rPr>
                <w:b/>
                <w:color w:val="FFFFFF"/>
                <w:sz w:val="20"/>
              </w:rPr>
              <w:t>Description</w:t>
            </w:r>
          </w:p>
        </w:tc>
        <w:tc>
          <w:tcPr>
            <w:tcW w:type="dxa" w:w="3120"/>
            <w:shd w:fill="003366"/>
          </w:tcPr>
          <w:p>
            <w:pPr>
              <w:spacing w:before="40" w:after="40"/>
            </w:pPr>
            <w:r>
              <w:rPr>
                <w:b/>
                <w:color w:val="FFFFFF"/>
                <w:sz w:val="20"/>
              </w:rPr>
              <w:t>Participants</w:t>
            </w:r>
          </w:p>
        </w:tc>
      </w:tr>
      <w:tr>
        <w:tc>
          <w:tcPr>
            <w:tcW w:type="dxa" w:w="3120"/>
          </w:tcPr>
          <w:p>
            <w:pPr>
              <w:spacing w:before="40" w:after="40"/>
            </w:pPr>
            <w:r>
              <w:rPr>
                <w:sz w:val="20"/>
              </w:rPr>
              <w:t>Pathways Mentoring</w:t>
            </w:r>
          </w:p>
        </w:tc>
        <w:tc>
          <w:tcPr>
            <w:tcW w:type="dxa" w:w="3120"/>
          </w:tcPr>
          <w:p>
            <w:pPr>
              <w:spacing w:before="40" w:after="40"/>
            </w:pPr>
            <w:r>
              <w:rPr>
                <w:sz w:val="20"/>
              </w:rPr>
              <w:t>1:1 mentoring for ages 12-18</w:t>
            </w:r>
          </w:p>
        </w:tc>
        <w:tc>
          <w:tcPr>
            <w:tcW w:type="dxa" w:w="3120"/>
          </w:tcPr>
          <w:p>
            <w:pPr>
              <w:spacing w:before="40" w:after="40"/>
            </w:pPr>
            <w:r>
              <w:rPr>
                <w:sz w:val="20"/>
              </w:rPr>
              <w:t>150/year</w:t>
            </w:r>
          </w:p>
        </w:tc>
      </w:tr>
      <w:tr>
        <w:tc>
          <w:tcPr>
            <w:tcW w:type="dxa" w:w="3120"/>
            <w:shd w:fill="F2F2F2"/>
          </w:tcPr>
          <w:p>
            <w:pPr>
              <w:spacing w:before="40" w:after="40"/>
            </w:pPr>
            <w:r>
              <w:rPr>
                <w:sz w:val="20"/>
              </w:rPr>
              <w:t>Academic Connections</w:t>
            </w:r>
          </w:p>
        </w:tc>
        <w:tc>
          <w:tcPr>
            <w:tcW w:type="dxa" w:w="3120"/>
            <w:shd w:fill="F2F2F2"/>
          </w:tcPr>
          <w:p>
            <w:pPr>
              <w:spacing w:before="40" w:after="40"/>
            </w:pPr>
            <w:r>
              <w:rPr>
                <w:sz w:val="20"/>
              </w:rPr>
              <w:t>Tutoring and homework help</w:t>
            </w:r>
          </w:p>
        </w:tc>
        <w:tc>
          <w:tcPr>
            <w:tcW w:type="dxa" w:w="3120"/>
            <w:shd w:fill="F2F2F2"/>
          </w:tcPr>
          <w:p>
            <w:pPr>
              <w:spacing w:before="40" w:after="40"/>
            </w:pPr>
            <w:r>
              <w:rPr>
                <w:sz w:val="20"/>
              </w:rPr>
              <w:t>100/year</w:t>
            </w:r>
          </w:p>
        </w:tc>
      </w:tr>
      <w:tr>
        <w:tc>
          <w:tcPr>
            <w:tcW w:type="dxa" w:w="3120"/>
          </w:tcPr>
          <w:p>
            <w:pPr>
              <w:spacing w:before="40" w:after="40"/>
            </w:pPr>
            <w:r>
              <w:rPr>
                <w:sz w:val="20"/>
              </w:rPr>
              <w:t>Youth Leadership Council</w:t>
            </w:r>
          </w:p>
        </w:tc>
        <w:tc>
          <w:tcPr>
            <w:tcW w:type="dxa" w:w="3120"/>
          </w:tcPr>
          <w:p>
            <w:pPr>
              <w:spacing w:before="40" w:after="40"/>
            </w:pPr>
            <w:r>
              <w:rPr>
                <w:sz w:val="20"/>
              </w:rPr>
              <w:t>Youth voice and leadership</w:t>
            </w:r>
          </w:p>
        </w:tc>
        <w:tc>
          <w:tcPr>
            <w:tcW w:type="dxa" w:w="3120"/>
          </w:tcPr>
          <w:p>
            <w:pPr>
              <w:spacing w:before="40" w:after="40"/>
            </w:pPr>
            <w:r>
              <w:rPr>
                <w:sz w:val="20"/>
              </w:rPr>
              <w:t>25/year</w:t>
            </w:r>
          </w:p>
        </w:tc>
      </w:tr>
    </w:tbl>
    <w:p/>
    <w:p>
      <w:pPr>
        <w:pStyle w:val="Heading3"/>
      </w:pPr>
      <w:r>
        <w:t>Accomplishments</w:t>
      </w:r>
    </w:p>
    <w:p>
      <w:pPr>
        <w:pStyle w:val="ListBullet"/>
      </w:pPr>
      <w:r>
        <w:t>500+ youth matched with mentors since 2015</w:t>
      </w:r>
    </w:p>
    <w:p>
      <w:pPr>
        <w:pStyle w:val="ListBullet"/>
      </w:pPr>
      <w:r>
        <w:t>85% of participants show improved academic engagement</w:t>
      </w:r>
    </w:p>
    <w:p>
      <w:pPr>
        <w:pStyle w:val="ListBullet"/>
      </w:pPr>
      <w:r>
        <w:t>92% report having a trusted adult</w:t>
      </w:r>
    </w:p>
    <w:p>
      <w:pPr>
        <w:pStyle w:val="ListBullet"/>
      </w:pPr>
      <w:r>
        <w:t>78% of matches continue beyond one year</w:t>
      </w:r>
    </w:p>
    <w:p>
      <w:pPr>
        <w:pStyle w:val="ListBullet"/>
      </w:pPr>
      <w:r>
        <w:t>Recognized with 2023 Ottawa Community Safety Award</w:t>
      </w:r>
    </w:p>
    <w:p>
      <w:pPr>
        <w:spacing w:before="120" w:after="120"/>
        <w:pBdr>
          <w:bottom w:val="single" w:sz="6" w:space="1" w:color="003366"/>
        </w:pBdr>
      </w:pPr>
    </w:p>
    <w:p>
      <w:pPr>
        <w:pStyle w:val="Heading2"/>
      </w:pPr>
      <w:r>
        <w:t>STATEMENT OF NEED</w:t>
      </w:r>
    </w:p>
    <w:p>
      <w:pPr>
        <w:pStyle w:val="Heading3"/>
      </w:pPr>
      <w:r>
        <w:t>The Problem</w:t>
      </w:r>
    </w:p>
    <w:p>
      <w:pPr>
        <w:pStyle w:val="GrantBody"/>
      </w:pPr>
      <w:r>
        <w:t>In Ottawa, thousands of young people face barriers that limit their potential: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pPr>
              <w:spacing w:before="40" w:after="40"/>
            </w:pPr>
            <w:r>
              <w:rPr>
                <w:b/>
                <w:color w:val="FFFFFF"/>
                <w:sz w:val="20"/>
              </w:rPr>
              <w:t>Challenge</w:t>
            </w:r>
          </w:p>
        </w:tc>
        <w:tc>
          <w:tcPr>
            <w:tcW w:type="dxa" w:w="3120"/>
            <w:shd w:fill="003366"/>
          </w:tcPr>
          <w:p>
            <w:pPr>
              <w:spacing w:before="40" w:after="40"/>
            </w:pPr>
            <w:r>
              <w:rPr>
                <w:b/>
                <w:color w:val="FFFFFF"/>
                <w:sz w:val="20"/>
              </w:rPr>
              <w:t>Ottawa Data</w:t>
            </w:r>
          </w:p>
        </w:tc>
        <w:tc>
          <w:tcPr>
            <w:tcW w:type="dxa" w:w="3120"/>
            <w:shd w:fill="003366"/>
          </w:tcPr>
          <w:p>
            <w:pPr>
              <w:spacing w:before="40" w:after="40"/>
            </w:pPr>
            <w:r>
              <w:rPr>
                <w:b/>
                <w:color w:val="FFFFFF"/>
                <w:sz w:val="20"/>
              </w:rPr>
              <w:t>Source</w:t>
            </w:r>
          </w:p>
        </w:tc>
      </w:tr>
      <w:tr>
        <w:tc>
          <w:tcPr>
            <w:tcW w:type="dxa" w:w="3120"/>
          </w:tcPr>
          <w:p>
            <w:pPr>
              <w:spacing w:before="40" w:after="40"/>
            </w:pPr>
            <w:r>
              <w:rPr>
                <w:sz w:val="20"/>
              </w:rPr>
              <w:t>Youth in low-income households</w:t>
            </w:r>
          </w:p>
        </w:tc>
        <w:tc>
          <w:tcPr>
            <w:tcW w:type="dxa" w:w="3120"/>
          </w:tcPr>
          <w:p>
            <w:pPr>
              <w:spacing w:before="40" w:after="40"/>
            </w:pPr>
            <w:r>
              <w:rPr>
                <w:sz w:val="20"/>
              </w:rPr>
              <w:t>23%</w:t>
            </w:r>
          </w:p>
        </w:tc>
        <w:tc>
          <w:tcPr>
            <w:tcW w:type="dxa" w:w="3120"/>
          </w:tcPr>
          <w:p>
            <w:pPr>
              <w:spacing w:before="40" w:after="40"/>
            </w:pPr>
            <w:r>
              <w:rPr>
                <w:sz w:val="20"/>
              </w:rPr>
              <w:t>Statistics Canada, 2021</w:t>
            </w:r>
          </w:p>
        </w:tc>
      </w:tr>
      <w:tr>
        <w:tc>
          <w:tcPr>
            <w:tcW w:type="dxa" w:w="3120"/>
            <w:shd w:fill="F2F2F2"/>
          </w:tcPr>
          <w:p>
            <w:pPr>
              <w:spacing w:before="40" w:after="40"/>
            </w:pPr>
            <w:r>
              <w:rPr>
                <w:sz w:val="20"/>
              </w:rPr>
              <w:t>High school non-completion</w:t>
            </w:r>
          </w:p>
        </w:tc>
        <w:tc>
          <w:tcPr>
            <w:tcW w:type="dxa" w:w="3120"/>
            <w:shd w:fill="F2F2F2"/>
          </w:tcPr>
          <w:p>
            <w:pPr>
              <w:spacing w:before="40" w:after="40"/>
            </w:pPr>
            <w:r>
              <w:rPr>
                <w:sz w:val="20"/>
              </w:rPr>
              <w:t>12%</w:t>
            </w:r>
          </w:p>
        </w:tc>
        <w:tc>
          <w:tcPr>
            <w:tcW w:type="dxa" w:w="3120"/>
            <w:shd w:fill="F2F2F2"/>
          </w:tcPr>
          <w:p>
            <w:pPr>
              <w:spacing w:before="40" w:after="40"/>
            </w:pPr>
            <w:r>
              <w:rPr>
                <w:sz w:val="20"/>
              </w:rPr>
              <w:t>OCSB, 2023</w:t>
            </w:r>
          </w:p>
        </w:tc>
      </w:tr>
      <w:tr>
        <w:tc>
          <w:tcPr>
            <w:tcW w:type="dxa" w:w="3120"/>
          </w:tcPr>
          <w:p>
            <w:pPr>
              <w:spacing w:before="40" w:after="40"/>
            </w:pPr>
            <w:r>
              <w:rPr>
                <w:sz w:val="20"/>
              </w:rPr>
              <w:t>Youth unemployment</w:t>
            </w:r>
          </w:p>
        </w:tc>
        <w:tc>
          <w:tcPr>
            <w:tcW w:type="dxa" w:w="3120"/>
          </w:tcPr>
          <w:p>
            <w:pPr>
              <w:spacing w:before="40" w:after="40"/>
            </w:pPr>
            <w:r>
              <w:rPr>
                <w:sz w:val="20"/>
              </w:rPr>
              <w:t>14%</w:t>
            </w:r>
          </w:p>
        </w:tc>
        <w:tc>
          <w:tcPr>
            <w:tcW w:type="dxa" w:w="3120"/>
          </w:tcPr>
          <w:p>
            <w:pPr>
              <w:spacing w:before="40" w:after="40"/>
            </w:pPr>
            <w:r>
              <w:rPr>
                <w:sz w:val="20"/>
              </w:rPr>
              <w:t>StatsCan LFS, 2024</w:t>
            </w:r>
          </w:p>
        </w:tc>
      </w:tr>
      <w:tr>
        <w:tc>
          <w:tcPr>
            <w:tcW w:type="dxa" w:w="3120"/>
            <w:shd w:fill="F2F2F2"/>
          </w:tcPr>
          <w:p>
            <w:pPr>
              <w:spacing w:before="40" w:after="40"/>
            </w:pPr>
            <w:r>
              <w:rPr>
                <w:sz w:val="20"/>
              </w:rPr>
              <w:t>Waitlist for youth mental health</w:t>
            </w:r>
          </w:p>
        </w:tc>
        <w:tc>
          <w:tcPr>
            <w:tcW w:type="dxa" w:w="3120"/>
            <w:shd w:fill="F2F2F2"/>
          </w:tcPr>
          <w:p>
            <w:pPr>
              <w:spacing w:before="40" w:after="40"/>
            </w:pPr>
            <w:r>
              <w:rPr>
                <w:sz w:val="20"/>
              </w:rPr>
              <w:t>6-12 months</w:t>
            </w:r>
          </w:p>
        </w:tc>
        <w:tc>
          <w:tcPr>
            <w:tcW w:type="dxa" w:w="3120"/>
            <w:shd w:fill="F2F2F2"/>
          </w:tcPr>
          <w:p>
            <w:pPr>
              <w:spacing w:before="40" w:after="40"/>
            </w:pPr>
            <w:r>
              <w:rPr>
                <w:sz w:val="20"/>
              </w:rPr>
              <w:t>CHEO, 2023</w:t>
            </w:r>
          </w:p>
        </w:tc>
      </w:tr>
    </w:tbl>
    <w:p/>
    <w:p>
      <w:pPr>
        <w:pStyle w:val="Heading3"/>
      </w:pPr>
      <w:r>
        <w:t>Who is Affected</w:t>
      </w:r>
    </w:p>
    <w:p>
      <w:pPr>
        <w:pStyle w:val="GrantBody"/>
      </w:pPr>
      <w:r>
        <w:t>Our target population is youth ages 12-18 in Ottawa's priority neighborhoods who face one or more risk factors:</w:t>
      </w:r>
    </w:p>
    <w:p>
      <w:pPr>
        <w:pStyle w:val="ListBullet"/>
      </w:pPr>
      <w:r>
        <w:t>Living in low-income households</w:t>
      </w:r>
    </w:p>
    <w:p>
      <w:pPr>
        <w:pStyle w:val="ListBullet"/>
      </w:pPr>
      <w:r>
        <w:t>Single-parent or no-parent families</w:t>
      </w:r>
    </w:p>
    <w:p>
      <w:pPr>
        <w:pStyle w:val="ListBullet"/>
      </w:pPr>
      <w:r>
        <w:t>Struggling academically</w:t>
      </w:r>
    </w:p>
    <w:p>
      <w:pPr>
        <w:pStyle w:val="ListBullet"/>
      </w:pPr>
      <w:r>
        <w:t>Limited access to positive role models</w:t>
      </w:r>
    </w:p>
    <w:p>
      <w:pPr>
        <w:pStyle w:val="ListBullet"/>
      </w:pPr>
      <w:r>
        <w:t>Social isolation</w:t>
      </w:r>
    </w:p>
    <w:p>
      <w:pPr>
        <w:pStyle w:val="Heading3"/>
      </w:pPr>
      <w:r>
        <w:t>The Gap</w:t>
      </w:r>
    </w:p>
    <w:p>
      <w:pPr>
        <w:pStyle w:val="GrantBody"/>
      </w:pPr>
      <w:r>
        <w:t>While several mentoring programs exist in Ottawa, significant gaps remain:</w:t>
      </w:r>
    </w:p>
    <w:p>
      <w:pPr>
        <w:pStyle w:val="ListBullet"/>
      </w:pPr>
      <w:r>
        <w:t>Current programs have waitlists of 50+ youth</w:t>
      </w:r>
    </w:p>
    <w:p>
      <w:pPr>
        <w:pStyle w:val="ListBullet"/>
      </w:pPr>
      <w:r>
        <w:t>Few programs serve the critical 12-18 age range</w:t>
      </w:r>
    </w:p>
    <w:p>
      <w:pPr>
        <w:pStyle w:val="ListBullet"/>
      </w:pPr>
      <w:r>
        <w:t>Limited programming in Nepean and Gloucester</w:t>
      </w:r>
    </w:p>
    <w:p>
      <w:pPr>
        <w:pStyle w:val="ListBullet"/>
      </w:pPr>
      <w:r>
        <w:t>No programs specifically for youth with incarcerated parents</w:t>
      </w:r>
    </w:p>
    <w:p>
      <w:pPr>
        <w:pStyle w:val="Heading3"/>
      </w:pPr>
      <w:r>
        <w:t>Community Voice</w:t>
      </w:r>
    </w:p>
    <w:p>
      <w:pPr>
        <w:pStyle w:val="GrantQuote"/>
      </w:pPr>
      <w:r>
        <w:t>"Before my mentor, I didn't think anyone cared. Now I have someone who checks on me every week and helps me think about my future."</w:t>
      </w:r>
    </w:p>
    <w:p>
      <w:pPr>
        <w:pStyle w:val="GrantQuote"/>
      </w:pPr>
      <w:r>
        <w:t>— Marcus, 16, program participant</w:t>
      </w:r>
    </w:p>
    <w:p>
      <w:pPr>
        <w:pStyle w:val="GrantQuote"/>
      </w:pPr>
      <w:r>
        <w:t>"As a single parent working two jobs, I can't always be there. My son's mentor fills a gap I can't."</w:t>
      </w:r>
    </w:p>
    <w:p>
      <w:pPr>
        <w:pStyle w:val="GrantQuote"/>
      </w:pPr>
      <w:r>
        <w:t>— Parent of participant</w:t>
      </w:r>
    </w:p>
    <w:p>
      <w:pPr>
        <w:pStyle w:val="Heading3"/>
      </w:pPr>
      <w:r>
        <w:t>Why Now</w:t>
      </w:r>
    </w:p>
    <w:p>
      <w:pPr>
        <w:pStyle w:val="GrantBody"/>
      </w:pPr>
      <w:r>
        <w:t>The COVID-19 pandemic exacerbated youth mental health challenges and social isolation. Youth-serving organizations report increased demand, and schools identify more students needing support. Now is the time to invest in proven interventions.</w:t>
      </w:r>
    </w:p>
    <w:p>
      <w:pPr>
        <w:spacing w:before="120" w:after="120"/>
        <w:pBdr>
          <w:bottom w:val="single" w:sz="6" w:space="1" w:color="003366"/>
        </w:pBdr>
      </w:pPr>
    </w:p>
    <w:p>
      <w:pPr>
        <w:pStyle w:val="Heading2"/>
      </w:pPr>
      <w:r>
        <w:t>PROJECT DESCRIPTION</w:t>
      </w:r>
    </w:p>
    <w:p>
      <w:pPr>
        <w:pStyle w:val="Heading3"/>
      </w:pPr>
      <w:r>
        <w:t>Overview</w:t>
      </w:r>
    </w:p>
    <w:p>
      <w:pPr>
        <w:pStyle w:val="GrantBody"/>
      </w:pPr>
      <w:r>
        <w:t>The Pathways Youth Mentoring Program matches at-risk youth ages 12-18 with trained volunteer mentors for a minimum of one year. Mentors commit to meeting their mentee 2-4 hours per week, building a consistent, supportive relationship.</w:t>
      </w:r>
    </w:p>
    <w:p>
      <w:pPr>
        <w:pStyle w:val="Heading3"/>
      </w:pPr>
      <w:r>
        <w:t>Goals and Objectives</w:t>
      </w:r>
    </w:p>
    <w:p>
      <w:r>
        <w:rPr>
          <w:b/>
        </w:rPr>
        <w:t>Goal:</w:t>
      </w:r>
      <w:r>
        <w:t>At-risk youth develop the skills, confidence, and support they need to reach their potential.</w:t>
      </w:r>
    </w:p>
    <w:p>
      <w:r>
        <w:rPr>
          <w:b/>
        </w:rPr>
        <w:t>Objective 1:</w:t>
      </w:r>
      <w:r>
        <w:t>By March 2027, 100 youth will be matched with trained mentors, exceeding our current capacity by 67%.</w:t>
      </w:r>
    </w:p>
    <w:p>
      <w:r>
        <w:rPr>
          <w:b/>
        </w:rPr>
        <w:t>Objective 2:</w:t>
      </w:r>
      <w:r>
        <w:t>By the end of Year 2, 85% of youth participants will demonstrate improved academic engagement as measured by school attendance and grades.</w:t>
      </w:r>
    </w:p>
    <w:p>
      <w:r>
        <w:rPr>
          <w:b/>
        </w:rPr>
        <w:t>Objective 3:</w:t>
      </w:r>
      <w:r>
        <w:t>By the end of Year 2, 90% of youth will report having a trusted adult in their lives, as measured by pre/post surveys.</w:t>
      </w:r>
    </w:p>
    <w:p>
      <w:pPr>
        <w:pStyle w:val="Heading3"/>
      </w:pPr>
      <w:r>
        <w:t>Activities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pPr>
              <w:spacing w:before="40" w:after="40"/>
            </w:pPr>
            <w:r>
              <w:rPr>
                <w:b/>
                <w:color w:val="FFFFFF"/>
                <w:sz w:val="20"/>
              </w:rPr>
              <w:t>Activity</w:t>
            </w:r>
          </w:p>
        </w:tc>
        <w:tc>
          <w:tcPr>
            <w:tcW w:type="dxa" w:w="2340"/>
            <w:shd w:fill="003366"/>
          </w:tcPr>
          <w:p>
            <w:pPr>
              <w:spacing w:before="40" w:after="40"/>
            </w:pPr>
            <w:r>
              <w:rPr>
                <w:b/>
                <w:color w:val="FFFFFF"/>
                <w:sz w:val="20"/>
              </w:rPr>
              <w:t>Timeline</w:t>
            </w:r>
          </w:p>
        </w:tc>
        <w:tc>
          <w:tcPr>
            <w:tcW w:type="dxa" w:w="2340"/>
            <w:shd w:fill="003366"/>
          </w:tcPr>
          <w:p>
            <w:pPr>
              <w:spacing w:before="40" w:after="40"/>
            </w:pPr>
            <w:r>
              <w:rPr>
                <w:b/>
                <w:color w:val="FFFFFF"/>
                <w:sz w:val="20"/>
              </w:rPr>
              <w:t>Who</w:t>
            </w:r>
          </w:p>
        </w:tc>
        <w:tc>
          <w:tcPr>
            <w:tcW w:type="dxa" w:w="2340"/>
            <w:shd w:fill="003366"/>
          </w:tcPr>
          <w:p>
            <w:pPr>
              <w:spacing w:before="40" w:after="40"/>
            </w:pPr>
            <w:r>
              <w:rPr>
                <w:b/>
                <w:color w:val="FFFFFF"/>
                <w:sz w:val="20"/>
              </w:rPr>
              <w:t>Outputs</w:t>
            </w:r>
          </w:p>
        </w:tc>
      </w:tr>
      <w:tr>
        <w:tc>
          <w:tcPr>
            <w:tcW w:type="dxa" w:w="2340"/>
          </w:tcPr>
          <w:p>
            <w:pPr>
              <w:spacing w:before="40" w:after="40"/>
            </w:pPr>
            <w:r>
              <w:rPr>
                <w:sz w:val="20"/>
              </w:rPr>
              <w:t>Mentor recruitment</w:t>
            </w:r>
          </w:p>
        </w:tc>
        <w:tc>
          <w:tcPr>
            <w:tcW w:type="dxa" w:w="2340"/>
          </w:tcPr>
          <w:p>
            <w:pPr>
              <w:spacing w:before="40" w:after="40"/>
            </w:pPr>
            <w:r>
              <w:rPr>
                <w:sz w:val="20"/>
              </w:rPr>
              <w:t>Ongoing</w:t>
            </w:r>
          </w:p>
        </w:tc>
        <w:tc>
          <w:tcPr>
            <w:tcW w:type="dxa" w:w="2340"/>
          </w:tcPr>
          <w:p>
            <w:pPr>
              <w:spacing w:before="40" w:after="40"/>
            </w:pPr>
            <w:r>
              <w:rPr>
                <w:sz w:val="20"/>
              </w:rPr>
              <w:t>Program Coordinator</w:t>
            </w:r>
          </w:p>
        </w:tc>
        <w:tc>
          <w:tcPr>
            <w:tcW w:type="dxa" w:w="2340"/>
          </w:tcPr>
          <w:p>
            <w:pPr>
              <w:spacing w:before="40" w:after="40"/>
            </w:pPr>
            <w:r>
              <w:rPr>
                <w:sz w:val="20"/>
              </w:rPr>
              <w:t>50 mentors recruited/year</w:t>
            </w:r>
          </w:p>
        </w:tc>
      </w:tr>
      <w:tr>
        <w:tc>
          <w:tcPr>
            <w:tcW w:type="dxa" w:w="2340"/>
            <w:shd w:fill="F2F2F2"/>
          </w:tcPr>
          <w:p>
            <w:pPr>
              <w:spacing w:before="40" w:after="40"/>
            </w:pPr>
            <w:r>
              <w:rPr>
                <w:sz w:val="20"/>
              </w:rPr>
              <w:t>Mentor training</w:t>
            </w:r>
          </w:p>
        </w:tc>
        <w:tc>
          <w:tcPr>
            <w:tcW w:type="dxa" w:w="2340"/>
            <w:shd w:fill="F2F2F2"/>
          </w:tcPr>
          <w:p>
            <w:pPr>
              <w:spacing w:before="40" w:after="40"/>
            </w:pPr>
            <w:r>
              <w:rPr>
                <w:sz w:val="20"/>
              </w:rPr>
              <w:t>Quarterly</w:t>
            </w:r>
          </w:p>
        </w:tc>
        <w:tc>
          <w:tcPr>
            <w:tcW w:type="dxa" w:w="2340"/>
            <w:shd w:fill="F2F2F2"/>
          </w:tcPr>
          <w:p>
            <w:pPr>
              <w:spacing w:before="40" w:after="40"/>
            </w:pPr>
            <w:r>
              <w:rPr>
                <w:sz w:val="20"/>
              </w:rPr>
              <w:t>Program Coordinator</w:t>
            </w:r>
          </w:p>
        </w:tc>
        <w:tc>
          <w:tcPr>
            <w:tcW w:type="dxa" w:w="2340"/>
            <w:shd w:fill="F2F2F2"/>
          </w:tcPr>
          <w:p>
            <w:pPr>
              <w:spacing w:before="40" w:after="40"/>
            </w:pPr>
            <w:r>
              <w:rPr>
                <w:sz w:val="20"/>
              </w:rPr>
              <w:t>4 trainings, 50 mentors trained</w:t>
            </w:r>
          </w:p>
        </w:tc>
      </w:tr>
      <w:tr>
        <w:tc>
          <w:tcPr>
            <w:tcW w:type="dxa" w:w="2340"/>
          </w:tcPr>
          <w:p>
            <w:pPr>
              <w:spacing w:before="40" w:after="40"/>
            </w:pPr>
            <w:r>
              <w:rPr>
                <w:sz w:val="20"/>
              </w:rPr>
              <w:t>Youth recruitment</w:t>
            </w:r>
          </w:p>
        </w:tc>
        <w:tc>
          <w:tcPr>
            <w:tcW w:type="dxa" w:w="2340"/>
          </w:tcPr>
          <w:p>
            <w:pPr>
              <w:spacing w:before="40" w:after="40"/>
            </w:pPr>
            <w:r>
              <w:rPr>
                <w:sz w:val="20"/>
              </w:rPr>
              <w:t>Ongoing</w:t>
            </w:r>
          </w:p>
        </w:tc>
        <w:tc>
          <w:tcPr>
            <w:tcW w:type="dxa" w:w="2340"/>
          </w:tcPr>
          <w:p>
            <w:pPr>
              <w:spacing w:before="40" w:after="40"/>
            </w:pPr>
            <w:r>
              <w:rPr>
                <w:sz w:val="20"/>
              </w:rPr>
              <w:t>Outreach Worker</w:t>
            </w:r>
          </w:p>
        </w:tc>
        <w:tc>
          <w:tcPr>
            <w:tcW w:type="dxa" w:w="2340"/>
          </w:tcPr>
          <w:p>
            <w:pPr>
              <w:spacing w:before="40" w:after="40"/>
            </w:pPr>
            <w:r>
              <w:rPr>
                <w:sz w:val="20"/>
              </w:rPr>
              <w:t>100 youth enrolled/year</w:t>
            </w:r>
          </w:p>
        </w:tc>
      </w:tr>
      <w:tr>
        <w:tc>
          <w:tcPr>
            <w:tcW w:type="dxa" w:w="2340"/>
            <w:shd w:fill="F2F2F2"/>
          </w:tcPr>
          <w:p>
            <w:pPr>
              <w:spacing w:before="40" w:after="40"/>
            </w:pPr>
            <w:r>
              <w:rPr>
                <w:sz w:val="20"/>
              </w:rPr>
              <w:t>Match meetings</w:t>
            </w:r>
          </w:p>
        </w:tc>
        <w:tc>
          <w:tcPr>
            <w:tcW w:type="dxa" w:w="2340"/>
            <w:shd w:fill="F2F2F2"/>
          </w:tcPr>
          <w:p>
            <w:pPr>
              <w:spacing w:before="40" w:after="40"/>
            </w:pPr>
            <w:r>
              <w:rPr>
                <w:sz w:val="20"/>
              </w:rPr>
              <w:t>Weekly</w:t>
            </w:r>
          </w:p>
        </w:tc>
        <w:tc>
          <w:tcPr>
            <w:tcW w:type="dxa" w:w="2340"/>
            <w:shd w:fill="F2F2F2"/>
          </w:tcPr>
          <w:p>
            <w:pPr>
              <w:spacing w:before="40" w:after="40"/>
            </w:pPr>
            <w:r>
              <w:rPr>
                <w:sz w:val="20"/>
              </w:rPr>
              <w:t>Mentors/Mentees</w:t>
            </w:r>
          </w:p>
        </w:tc>
        <w:tc>
          <w:tcPr>
            <w:tcW w:type="dxa" w:w="2340"/>
            <w:shd w:fill="F2F2F2"/>
          </w:tcPr>
          <w:p>
            <w:pPr>
              <w:spacing w:before="40" w:after="40"/>
            </w:pPr>
            <w:r>
              <w:rPr>
                <w:sz w:val="20"/>
              </w:rPr>
              <w:t>100 matches, 2-4 hrs/week</w:t>
            </w:r>
          </w:p>
        </w:tc>
      </w:tr>
      <w:tr>
        <w:tc>
          <w:tcPr>
            <w:tcW w:type="dxa" w:w="2340"/>
          </w:tcPr>
          <w:p>
            <w:pPr>
              <w:spacing w:before="40" w:after="40"/>
            </w:pPr>
            <w:r>
              <w:rPr>
                <w:sz w:val="20"/>
              </w:rPr>
              <w:t>Match support</w:t>
            </w:r>
          </w:p>
        </w:tc>
        <w:tc>
          <w:tcPr>
            <w:tcW w:type="dxa" w:w="2340"/>
          </w:tcPr>
          <w:p>
            <w:pPr>
              <w:spacing w:before="40" w:after="40"/>
            </w:pPr>
            <w:r>
              <w:rPr>
                <w:sz w:val="20"/>
              </w:rPr>
              <w:t>Monthly</w:t>
            </w:r>
          </w:p>
        </w:tc>
        <w:tc>
          <w:tcPr>
            <w:tcW w:type="dxa" w:w="2340"/>
          </w:tcPr>
          <w:p>
            <w:pPr>
              <w:spacing w:before="40" w:after="40"/>
            </w:pPr>
            <w:r>
              <w:rPr>
                <w:sz w:val="20"/>
              </w:rPr>
              <w:t>Program Coordinator</w:t>
            </w:r>
          </w:p>
        </w:tc>
        <w:tc>
          <w:tcPr>
            <w:tcW w:type="dxa" w:w="2340"/>
          </w:tcPr>
          <w:p>
            <w:pPr>
              <w:spacing w:before="40" w:after="40"/>
            </w:pPr>
            <w:r>
              <w:rPr>
                <w:sz w:val="20"/>
              </w:rPr>
              <w:t>Monthly check-ins, events</w:t>
            </w:r>
          </w:p>
        </w:tc>
      </w:tr>
      <w:tr>
        <w:tc>
          <w:tcPr>
            <w:tcW w:type="dxa" w:w="2340"/>
            <w:shd w:fill="F2F2F2"/>
          </w:tcPr>
          <w:p>
            <w:pPr>
              <w:spacing w:before="40" w:after="40"/>
            </w:pPr>
            <w:r>
              <w:rPr>
                <w:sz w:val="20"/>
              </w:rPr>
              <w:t>Outcome tracking</w:t>
            </w:r>
          </w:p>
        </w:tc>
        <w:tc>
          <w:tcPr>
            <w:tcW w:type="dxa" w:w="2340"/>
            <w:shd w:fill="F2F2F2"/>
          </w:tcPr>
          <w:p>
            <w:pPr>
              <w:spacing w:before="40" w:after="40"/>
            </w:pPr>
            <w:r>
              <w:rPr>
                <w:sz w:val="20"/>
              </w:rPr>
              <w:t>Quarterly</w:t>
            </w:r>
          </w:p>
        </w:tc>
        <w:tc>
          <w:tcPr>
            <w:tcW w:type="dxa" w:w="2340"/>
            <w:shd w:fill="F2F2F2"/>
          </w:tcPr>
          <w:p>
            <w:pPr>
              <w:spacing w:before="40" w:after="40"/>
            </w:pPr>
            <w:r>
              <w:rPr>
                <w:sz w:val="20"/>
              </w:rPr>
              <w:t>Evaluation Lead</w:t>
            </w:r>
          </w:p>
        </w:tc>
        <w:tc>
          <w:tcPr>
            <w:tcW w:type="dxa" w:w="2340"/>
            <w:shd w:fill="F2F2F2"/>
          </w:tcPr>
          <w:p>
            <w:pPr>
              <w:spacing w:before="40" w:after="40"/>
            </w:pPr>
            <w:r>
              <w:rPr>
                <w:sz w:val="20"/>
              </w:rPr>
              <w:t>Data collection, reports</w:t>
            </w:r>
          </w:p>
        </w:tc>
      </w:tr>
    </w:tbl>
    <w:p/>
    <w:p>
      <w:pPr>
        <w:pStyle w:val="Heading3"/>
      </w:pPr>
      <w:r>
        <w:t>Timeline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pPr>
              <w:spacing w:before="40" w:after="40"/>
            </w:pPr>
            <w:r>
              <w:rPr>
                <w:b/>
                <w:color w:val="FFFFFF"/>
                <w:sz w:val="20"/>
              </w:rPr>
              <w:t>Phase</w:t>
            </w:r>
          </w:p>
        </w:tc>
        <w:tc>
          <w:tcPr>
            <w:tcW w:type="dxa" w:w="3120"/>
            <w:shd w:fill="003366"/>
          </w:tcPr>
          <w:p>
            <w:pPr>
              <w:spacing w:before="40" w:after="40"/>
            </w:pPr>
            <w:r>
              <w:rPr>
                <w:b/>
                <w:color w:val="FFFFFF"/>
                <w:sz w:val="20"/>
              </w:rPr>
              <w:t>Year 1</w:t>
            </w:r>
          </w:p>
        </w:tc>
        <w:tc>
          <w:tcPr>
            <w:tcW w:type="dxa" w:w="3120"/>
            <w:shd w:fill="003366"/>
          </w:tcPr>
          <w:p>
            <w:pPr>
              <w:spacing w:before="40" w:after="40"/>
            </w:pPr>
            <w:r>
              <w:rPr>
                <w:b/>
                <w:color w:val="FFFFFF"/>
                <w:sz w:val="20"/>
              </w:rPr>
              <w:t>Year 2</w:t>
            </w:r>
          </w:p>
        </w:tc>
      </w:tr>
      <w:tr>
        <w:tc>
          <w:tcPr>
            <w:tcW w:type="dxa" w:w="3120"/>
          </w:tcPr>
          <w:p>
            <w:pPr>
              <w:spacing w:before="40" w:after="40"/>
            </w:pPr>
            <w:r>
              <w:rPr>
                <w:sz w:val="20"/>
              </w:rPr>
              <w:t>Planning &amp; hiring</w:t>
            </w:r>
          </w:p>
        </w:tc>
        <w:tc>
          <w:tcPr>
            <w:tcW w:type="dxa" w:w="3120"/>
          </w:tcPr>
          <w:p>
            <w:pPr>
              <w:spacing w:before="40" w:after="40"/>
            </w:pPr>
            <w:r>
              <w:rPr>
                <w:sz w:val="20"/>
              </w:rPr>
              <w:t>Q1</w:t>
            </w:r>
          </w:p>
        </w:tc>
        <w:tc>
          <w:tcPr>
            <w:tcW w:type="dxa" w:w="3120"/>
          </w:tcPr>
          <w:p>
            <w:pPr>
              <w:spacing w:before="40" w:after="40"/>
            </w:pPr>
            <w:r>
              <w:rPr>
                <w:sz w:val="20"/>
              </w:rPr>
            </w:r>
          </w:p>
        </w:tc>
      </w:tr>
      <w:tr>
        <w:tc>
          <w:tcPr>
            <w:tcW w:type="dxa" w:w="3120"/>
            <w:shd w:fill="F2F2F2"/>
          </w:tcPr>
          <w:p>
            <w:pPr>
              <w:spacing w:before="40" w:after="40"/>
            </w:pPr>
            <w:r>
              <w:rPr>
                <w:sz w:val="20"/>
              </w:rPr>
              <w:t>Mentor recruitment</w:t>
            </w:r>
          </w:p>
        </w:tc>
        <w:tc>
          <w:tcPr>
            <w:tcW w:type="dxa" w:w="3120"/>
            <w:shd w:fill="F2F2F2"/>
          </w:tcPr>
          <w:p>
            <w:pPr>
              <w:spacing w:before="40" w:after="40"/>
            </w:pPr>
            <w:r>
              <w:rPr>
                <w:sz w:val="20"/>
              </w:rPr>
              <w:t>Q1-Q4</w:t>
            </w:r>
          </w:p>
        </w:tc>
        <w:tc>
          <w:tcPr>
            <w:tcW w:type="dxa" w:w="3120"/>
            <w:shd w:fill="F2F2F2"/>
          </w:tcPr>
          <w:p>
            <w:pPr>
              <w:spacing w:before="40" w:after="40"/>
            </w:pPr>
            <w:r>
              <w:rPr>
                <w:sz w:val="20"/>
              </w:rPr>
              <w:t>Q1-Q4</w:t>
            </w:r>
          </w:p>
        </w:tc>
      </w:tr>
      <w:tr>
        <w:tc>
          <w:tcPr>
            <w:tcW w:type="dxa" w:w="3120"/>
          </w:tcPr>
          <w:p>
            <w:pPr>
              <w:spacing w:before="40" w:after="40"/>
            </w:pPr>
            <w:r>
              <w:rPr>
                <w:sz w:val="20"/>
              </w:rPr>
              <w:t>Youth recruitment</w:t>
            </w:r>
          </w:p>
        </w:tc>
        <w:tc>
          <w:tcPr>
            <w:tcW w:type="dxa" w:w="3120"/>
          </w:tcPr>
          <w:p>
            <w:pPr>
              <w:spacing w:before="40" w:after="40"/>
            </w:pPr>
            <w:r>
              <w:rPr>
                <w:sz w:val="20"/>
              </w:rPr>
              <w:t>Q1-Q4</w:t>
            </w:r>
          </w:p>
        </w:tc>
        <w:tc>
          <w:tcPr>
            <w:tcW w:type="dxa" w:w="3120"/>
          </w:tcPr>
          <w:p>
            <w:pPr>
              <w:spacing w:before="40" w:after="40"/>
            </w:pPr>
            <w:r>
              <w:rPr>
                <w:sz w:val="20"/>
              </w:rPr>
              <w:t>Q1-Q4</w:t>
            </w:r>
          </w:p>
        </w:tc>
      </w:tr>
      <w:tr>
        <w:tc>
          <w:tcPr>
            <w:tcW w:type="dxa" w:w="3120"/>
            <w:shd w:fill="F2F2F2"/>
          </w:tcPr>
          <w:p>
            <w:pPr>
              <w:spacing w:before="40" w:after="40"/>
            </w:pPr>
            <w:r>
              <w:rPr>
                <w:sz w:val="20"/>
              </w:rPr>
              <w:t>Training &amp; matching</w:t>
            </w:r>
          </w:p>
        </w:tc>
        <w:tc>
          <w:tcPr>
            <w:tcW w:type="dxa" w:w="3120"/>
            <w:shd w:fill="F2F2F2"/>
          </w:tcPr>
          <w:p>
            <w:pPr>
              <w:spacing w:before="40" w:after="40"/>
            </w:pPr>
            <w:r>
              <w:rPr>
                <w:sz w:val="20"/>
              </w:rPr>
              <w:t>Q1-Q4</w:t>
            </w:r>
          </w:p>
        </w:tc>
        <w:tc>
          <w:tcPr>
            <w:tcW w:type="dxa" w:w="3120"/>
            <w:shd w:fill="F2F2F2"/>
          </w:tcPr>
          <w:p>
            <w:pPr>
              <w:spacing w:before="40" w:after="40"/>
            </w:pPr>
            <w:r>
              <w:rPr>
                <w:sz w:val="20"/>
              </w:rPr>
              <w:t>Q1-Q4</w:t>
            </w:r>
          </w:p>
        </w:tc>
      </w:tr>
      <w:tr>
        <w:tc>
          <w:tcPr>
            <w:tcW w:type="dxa" w:w="3120"/>
          </w:tcPr>
          <w:p>
            <w:pPr>
              <w:spacing w:before="40" w:after="40"/>
            </w:pPr>
            <w:r>
              <w:rPr>
                <w:sz w:val="20"/>
              </w:rPr>
              <w:t>Match support</w:t>
            </w:r>
          </w:p>
        </w:tc>
        <w:tc>
          <w:tcPr>
            <w:tcW w:type="dxa" w:w="3120"/>
          </w:tcPr>
          <w:p>
            <w:pPr>
              <w:spacing w:before="40" w:after="40"/>
            </w:pPr>
            <w:r>
              <w:rPr>
                <w:sz w:val="20"/>
              </w:rPr>
              <w:t>Q2-Q4</w:t>
            </w:r>
          </w:p>
        </w:tc>
        <w:tc>
          <w:tcPr>
            <w:tcW w:type="dxa" w:w="3120"/>
          </w:tcPr>
          <w:p>
            <w:pPr>
              <w:spacing w:before="40" w:after="40"/>
            </w:pPr>
            <w:r>
              <w:rPr>
                <w:sz w:val="20"/>
              </w:rPr>
              <w:t>Q1-Q4</w:t>
            </w:r>
          </w:p>
        </w:tc>
      </w:tr>
      <w:tr>
        <w:tc>
          <w:tcPr>
            <w:tcW w:type="dxa" w:w="3120"/>
            <w:shd w:fill="F2F2F2"/>
          </w:tcPr>
          <w:p>
            <w:pPr>
              <w:spacing w:before="40" w:after="40"/>
            </w:pPr>
            <w:r>
              <w:rPr>
                <w:sz w:val="20"/>
              </w:rPr>
              <w:t>Evaluation</w:t>
            </w:r>
          </w:p>
        </w:tc>
        <w:tc>
          <w:tcPr>
            <w:tcW w:type="dxa" w:w="3120"/>
            <w:shd w:fill="F2F2F2"/>
          </w:tcPr>
          <w:p>
            <w:pPr>
              <w:spacing w:before="40" w:after="40"/>
            </w:pPr>
            <w:r>
              <w:rPr>
                <w:sz w:val="20"/>
              </w:rPr>
              <w:t>Q4</w:t>
            </w:r>
          </w:p>
        </w:tc>
        <w:tc>
          <w:tcPr>
            <w:tcW w:type="dxa" w:w="3120"/>
            <w:shd w:fill="F2F2F2"/>
          </w:tcPr>
          <w:p>
            <w:pPr>
              <w:spacing w:before="40" w:after="40"/>
            </w:pPr>
            <w:r>
              <w:rPr>
                <w:sz w:val="20"/>
              </w:rPr>
              <w:t>Q4</w:t>
            </w:r>
          </w:p>
        </w:tc>
      </w:tr>
    </w:tbl>
    <w:p/>
    <w:p>
      <w:pPr>
        <w:pStyle w:val="Heading3"/>
      </w:pPr>
      <w:r>
        <w:t>Staffing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pPr>
              <w:spacing w:before="40" w:after="40"/>
            </w:pPr>
            <w:r>
              <w:rPr>
                <w:b/>
                <w:color w:val="FFFFFF"/>
                <w:sz w:val="20"/>
              </w:rPr>
              <w:t>Position</w:t>
            </w:r>
          </w:p>
        </w:tc>
        <w:tc>
          <w:tcPr>
            <w:tcW w:type="dxa" w:w="3120"/>
            <w:shd w:fill="003366"/>
          </w:tcPr>
          <w:p>
            <w:pPr>
              <w:spacing w:before="40" w:after="40"/>
            </w:pPr>
            <w:r>
              <w:rPr>
                <w:b/>
                <w:color w:val="FFFFFF"/>
                <w:sz w:val="20"/>
              </w:rPr>
              <w:t>FTE</w:t>
            </w:r>
          </w:p>
        </w:tc>
        <w:tc>
          <w:tcPr>
            <w:tcW w:type="dxa" w:w="3120"/>
            <w:shd w:fill="003366"/>
          </w:tcPr>
          <w:p>
            <w:pPr>
              <w:spacing w:before="40" w:after="40"/>
            </w:pPr>
            <w:r>
              <w:rPr>
                <w:b/>
                <w:color w:val="FFFFFF"/>
                <w:sz w:val="20"/>
              </w:rPr>
              <w:t>Role</w:t>
            </w:r>
          </w:p>
        </w:tc>
      </w:tr>
      <w:tr>
        <w:tc>
          <w:tcPr>
            <w:tcW w:type="dxa" w:w="3120"/>
          </w:tcPr>
          <w:p>
            <w:pPr>
              <w:spacing w:before="40" w:after="40"/>
            </w:pPr>
            <w:r>
              <w:rPr>
                <w:sz w:val="20"/>
              </w:rPr>
              <w:t>Program Coordinator</w:t>
            </w:r>
          </w:p>
        </w:tc>
        <w:tc>
          <w:tcPr>
            <w:tcW w:type="dxa" w:w="3120"/>
          </w:tcPr>
          <w:p>
            <w:pPr>
              <w:spacing w:before="40" w:after="40"/>
            </w:pPr>
            <w:r>
              <w:rPr>
                <w:sz w:val="20"/>
              </w:rPr>
              <w:t>1.0</w:t>
            </w:r>
          </w:p>
        </w:tc>
        <w:tc>
          <w:tcPr>
            <w:tcW w:type="dxa" w:w="3120"/>
          </w:tcPr>
          <w:p>
            <w:pPr>
              <w:spacing w:before="40" w:after="40"/>
            </w:pPr>
            <w:r>
              <w:rPr>
                <w:sz w:val="20"/>
              </w:rPr>
              <w:t>Overall program management, mentor training</w:t>
            </w:r>
          </w:p>
        </w:tc>
      </w:tr>
      <w:tr>
        <w:tc>
          <w:tcPr>
            <w:tcW w:type="dxa" w:w="3120"/>
            <w:shd w:fill="F2F2F2"/>
          </w:tcPr>
          <w:p>
            <w:pPr>
              <w:spacing w:before="40" w:after="40"/>
            </w:pPr>
            <w:r>
              <w:rPr>
                <w:sz w:val="20"/>
              </w:rPr>
              <w:t>Outreach Worker</w:t>
            </w:r>
          </w:p>
        </w:tc>
        <w:tc>
          <w:tcPr>
            <w:tcW w:type="dxa" w:w="3120"/>
            <w:shd w:fill="F2F2F2"/>
          </w:tcPr>
          <w:p>
            <w:pPr>
              <w:spacing w:before="40" w:after="40"/>
            </w:pPr>
            <w:r>
              <w:rPr>
                <w:sz w:val="20"/>
              </w:rPr>
              <w:t>0.5</w:t>
            </w:r>
          </w:p>
        </w:tc>
        <w:tc>
          <w:tcPr>
            <w:tcW w:type="dxa" w:w="3120"/>
            <w:shd w:fill="F2F2F2"/>
          </w:tcPr>
          <w:p>
            <w:pPr>
              <w:spacing w:before="40" w:after="40"/>
            </w:pPr>
            <w:r>
              <w:rPr>
                <w:sz w:val="20"/>
              </w:rPr>
              <w:t>Youth recruitment, community partnerships</w:t>
            </w:r>
          </w:p>
        </w:tc>
      </w:tr>
      <w:tr>
        <w:tc>
          <w:tcPr>
            <w:tcW w:type="dxa" w:w="3120"/>
          </w:tcPr>
          <w:p>
            <w:pPr>
              <w:spacing w:before="40" w:after="40"/>
            </w:pPr>
            <w:r>
              <w:rPr>
                <w:sz w:val="20"/>
              </w:rPr>
              <w:t>Evaluation Lead</w:t>
            </w:r>
          </w:p>
        </w:tc>
        <w:tc>
          <w:tcPr>
            <w:tcW w:type="dxa" w:w="3120"/>
          </w:tcPr>
          <w:p>
            <w:pPr>
              <w:spacing w:before="40" w:after="40"/>
            </w:pPr>
            <w:r>
              <w:rPr>
                <w:sz w:val="20"/>
              </w:rPr>
              <w:t>0.25</w:t>
            </w:r>
          </w:p>
        </w:tc>
        <w:tc>
          <w:tcPr>
            <w:tcW w:type="dxa" w:w="3120"/>
          </w:tcPr>
          <w:p>
            <w:pPr>
              <w:spacing w:before="40" w:after="40"/>
            </w:pPr>
            <w:r>
              <w:rPr>
                <w:sz w:val="20"/>
              </w:rPr>
              <w:t>Data collection, outcome tracking</w:t>
            </w:r>
          </w:p>
        </w:tc>
      </w:tr>
    </w:tbl>
    <w:p/>
    <w:p>
      <w:pPr>
        <w:spacing w:before="120" w:after="120"/>
        <w:pBdr>
          <w:bottom w:val="single" w:sz="6" w:space="1" w:color="003366"/>
        </w:pBdr>
      </w:pPr>
    </w:p>
    <w:p>
      <w:pPr>
        <w:pStyle w:val="Heading2"/>
      </w:pPr>
      <w:r>
        <w:t>EVALUATION PLAN</w:t>
      </w:r>
    </w:p>
    <w:p>
      <w:pPr>
        <w:pStyle w:val="Heading3"/>
      </w:pPr>
      <w:r>
        <w:t>Outputs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pPr>
              <w:spacing w:before="40" w:after="40"/>
            </w:pPr>
            <w:r>
              <w:rPr>
                <w:b/>
                <w:color w:val="FFFFFF"/>
                <w:sz w:val="20"/>
              </w:rPr>
              <w:t>Output</w:t>
            </w:r>
          </w:p>
        </w:tc>
        <w:tc>
          <w:tcPr>
            <w:tcW w:type="dxa" w:w="2340"/>
            <w:shd w:fill="003366"/>
          </w:tcPr>
          <w:p>
            <w:pPr>
              <w:spacing w:before="40" w:after="40"/>
            </w:pPr>
            <w:r>
              <w:rPr>
                <w:b/>
                <w:color w:val="FFFFFF"/>
                <w:sz w:val="20"/>
              </w:rPr>
              <w:t>Year 1 Target</w:t>
            </w:r>
          </w:p>
        </w:tc>
        <w:tc>
          <w:tcPr>
            <w:tcW w:type="dxa" w:w="2340"/>
            <w:shd w:fill="003366"/>
          </w:tcPr>
          <w:p>
            <w:pPr>
              <w:spacing w:before="40" w:after="40"/>
            </w:pPr>
            <w:r>
              <w:rPr>
                <w:b/>
                <w:color w:val="FFFFFF"/>
                <w:sz w:val="20"/>
              </w:rPr>
              <w:t>Year 2 Target</w:t>
            </w:r>
          </w:p>
        </w:tc>
        <w:tc>
          <w:tcPr>
            <w:tcW w:type="dxa" w:w="2340"/>
            <w:shd w:fill="003366"/>
          </w:tcPr>
          <w:p>
            <w:pPr>
              <w:spacing w:before="40" w:after="40"/>
            </w:pPr>
            <w:r>
              <w:rPr>
                <w:b/>
                <w:color w:val="FFFFFF"/>
                <w:sz w:val="20"/>
              </w:rPr>
              <w:t>Data Source</w:t>
            </w:r>
          </w:p>
        </w:tc>
      </w:tr>
      <w:tr>
        <w:tc>
          <w:tcPr>
            <w:tcW w:type="dxa" w:w="2340"/>
          </w:tcPr>
          <w:p>
            <w:pPr>
              <w:spacing w:before="40" w:after="40"/>
            </w:pPr>
            <w:r>
              <w:rPr>
                <w:sz w:val="20"/>
              </w:rPr>
              <w:t>Youth enrolled</w:t>
            </w:r>
          </w:p>
        </w:tc>
        <w:tc>
          <w:tcPr>
            <w:tcW w:type="dxa" w:w="2340"/>
          </w:tcPr>
          <w:p>
            <w:pPr>
              <w:spacing w:before="40" w:after="40"/>
            </w:pPr>
            <w:r>
              <w:rPr>
                <w:sz w:val="20"/>
              </w:rPr>
              <w:t>100</w:t>
            </w:r>
          </w:p>
        </w:tc>
        <w:tc>
          <w:tcPr>
            <w:tcW w:type="dxa" w:w="2340"/>
          </w:tcPr>
          <w:p>
            <w:pPr>
              <w:spacing w:before="40" w:after="40"/>
            </w:pPr>
            <w:r>
              <w:rPr>
                <w:sz w:val="20"/>
              </w:rPr>
              <w:t>100</w:t>
            </w:r>
          </w:p>
        </w:tc>
        <w:tc>
          <w:tcPr>
            <w:tcW w:type="dxa" w:w="2340"/>
          </w:tcPr>
          <w:p>
            <w:pPr>
              <w:spacing w:before="40" w:after="40"/>
            </w:pPr>
            <w:r>
              <w:rPr>
                <w:sz w:val="20"/>
              </w:rPr>
              <w:t>Registration database</w:t>
            </w:r>
          </w:p>
        </w:tc>
      </w:tr>
      <w:tr>
        <w:tc>
          <w:tcPr>
            <w:tcW w:type="dxa" w:w="2340"/>
            <w:shd w:fill="F2F2F2"/>
          </w:tcPr>
          <w:p>
            <w:pPr>
              <w:spacing w:before="40" w:after="40"/>
            </w:pPr>
            <w:r>
              <w:rPr>
                <w:sz w:val="20"/>
              </w:rPr>
              <w:t>Mentors trained</w:t>
            </w:r>
          </w:p>
        </w:tc>
        <w:tc>
          <w:tcPr>
            <w:tcW w:type="dxa" w:w="2340"/>
            <w:shd w:fill="F2F2F2"/>
          </w:tcPr>
          <w:p>
            <w:pPr>
              <w:spacing w:before="40" w:after="40"/>
            </w:pPr>
            <w:r>
              <w:rPr>
                <w:sz w:val="20"/>
              </w:rPr>
              <w:t>50</w:t>
            </w:r>
          </w:p>
        </w:tc>
        <w:tc>
          <w:tcPr>
            <w:tcW w:type="dxa" w:w="2340"/>
            <w:shd w:fill="F2F2F2"/>
          </w:tcPr>
          <w:p>
            <w:pPr>
              <w:spacing w:before="40" w:after="40"/>
            </w:pPr>
            <w:r>
              <w:rPr>
                <w:sz w:val="20"/>
              </w:rPr>
              <w:t>50</w:t>
            </w:r>
          </w:p>
        </w:tc>
        <w:tc>
          <w:tcPr>
            <w:tcW w:type="dxa" w:w="2340"/>
            <w:shd w:fill="F2F2F2"/>
          </w:tcPr>
          <w:p>
            <w:pPr>
              <w:spacing w:before="40" w:after="40"/>
            </w:pPr>
            <w:r>
              <w:rPr>
                <w:sz w:val="20"/>
              </w:rPr>
              <w:t>Training records</w:t>
            </w:r>
          </w:p>
        </w:tc>
      </w:tr>
      <w:tr>
        <w:tc>
          <w:tcPr>
            <w:tcW w:type="dxa" w:w="2340"/>
          </w:tcPr>
          <w:p>
            <w:pPr>
              <w:spacing w:before="40" w:after="40"/>
            </w:pPr>
            <w:r>
              <w:rPr>
                <w:sz w:val="20"/>
              </w:rPr>
              <w:t>Active matches</w:t>
            </w:r>
          </w:p>
        </w:tc>
        <w:tc>
          <w:tcPr>
            <w:tcW w:type="dxa" w:w="2340"/>
          </w:tcPr>
          <w:p>
            <w:pPr>
              <w:spacing w:before="40" w:after="40"/>
            </w:pPr>
            <w:r>
              <w:rPr>
                <w:sz w:val="20"/>
              </w:rPr>
              <w:t>100</w:t>
            </w:r>
          </w:p>
        </w:tc>
        <w:tc>
          <w:tcPr>
            <w:tcW w:type="dxa" w:w="2340"/>
          </w:tcPr>
          <w:p>
            <w:pPr>
              <w:spacing w:before="40" w:after="40"/>
            </w:pPr>
            <w:r>
              <w:rPr>
                <w:sz w:val="20"/>
              </w:rPr>
              <w:t>100</w:t>
            </w:r>
          </w:p>
        </w:tc>
        <w:tc>
          <w:tcPr>
            <w:tcW w:type="dxa" w:w="2340"/>
          </w:tcPr>
          <w:p>
            <w:pPr>
              <w:spacing w:before="40" w:after="40"/>
            </w:pPr>
            <w:r>
              <w:rPr>
                <w:sz w:val="20"/>
              </w:rPr>
              <w:t>Match database</w:t>
            </w:r>
          </w:p>
        </w:tc>
      </w:tr>
      <w:tr>
        <w:tc>
          <w:tcPr>
            <w:tcW w:type="dxa" w:w="2340"/>
            <w:shd w:fill="F2F2F2"/>
          </w:tcPr>
          <w:p>
            <w:pPr>
              <w:spacing w:before="40" w:after="40"/>
            </w:pPr>
            <w:r>
              <w:rPr>
                <w:sz w:val="20"/>
              </w:rPr>
              <w:t>Match hours</w:t>
            </w:r>
          </w:p>
        </w:tc>
        <w:tc>
          <w:tcPr>
            <w:tcW w:type="dxa" w:w="2340"/>
            <w:shd w:fill="F2F2F2"/>
          </w:tcPr>
          <w:p>
            <w:pPr>
              <w:spacing w:before="40" w:after="40"/>
            </w:pPr>
            <w:r>
              <w:rPr>
                <w:sz w:val="20"/>
              </w:rPr>
              <w:t>10,400</w:t>
            </w:r>
          </w:p>
        </w:tc>
        <w:tc>
          <w:tcPr>
            <w:tcW w:type="dxa" w:w="2340"/>
            <w:shd w:fill="F2F2F2"/>
          </w:tcPr>
          <w:p>
            <w:pPr>
              <w:spacing w:before="40" w:after="40"/>
            </w:pPr>
            <w:r>
              <w:rPr>
                <w:sz w:val="20"/>
              </w:rPr>
              <w:t>10,400</w:t>
            </w:r>
          </w:p>
        </w:tc>
        <w:tc>
          <w:tcPr>
            <w:tcW w:type="dxa" w:w="2340"/>
            <w:shd w:fill="F2F2F2"/>
          </w:tcPr>
          <w:p>
            <w:pPr>
              <w:spacing w:before="40" w:after="40"/>
            </w:pPr>
            <w:r>
              <w:rPr>
                <w:sz w:val="20"/>
              </w:rPr>
              <w:t>Mentor reports (2 hrs/wk × 52 wks)</w:t>
            </w:r>
          </w:p>
        </w:tc>
      </w:tr>
    </w:tbl>
    <w:p/>
    <w:p>
      <w:pPr>
        <w:pStyle w:val="Heading3"/>
      </w:pPr>
      <w:r>
        <w:t>Outcomes</w:t>
      </w:r>
    </w:p>
    <w:p>
      <w:r>
        <w:rPr>
          <w:b/>
        </w:rPr>
        <w:t>Short-term (3-6 months):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pPr>
              <w:spacing w:before="40" w:after="40"/>
            </w:pPr>
            <w:r>
              <w:rPr>
                <w:b/>
                <w:color w:val="FFFFFF"/>
                <w:sz w:val="20"/>
              </w:rPr>
              <w:t>Outcome</w:t>
            </w:r>
          </w:p>
        </w:tc>
        <w:tc>
          <w:tcPr>
            <w:tcW w:type="dxa" w:w="2340"/>
            <w:shd w:fill="003366"/>
          </w:tcPr>
          <w:p>
            <w:pPr>
              <w:spacing w:before="40" w:after="40"/>
            </w:pPr>
            <w:r>
              <w:rPr>
                <w:b/>
                <w:color w:val="FFFFFF"/>
                <w:sz w:val="20"/>
              </w:rPr>
              <w:t>Indicator</w:t>
            </w:r>
          </w:p>
        </w:tc>
        <w:tc>
          <w:tcPr>
            <w:tcW w:type="dxa" w:w="2340"/>
            <w:shd w:fill="003366"/>
          </w:tcPr>
          <w:p>
            <w:pPr>
              <w:spacing w:before="40" w:after="40"/>
            </w:pPr>
            <w:r>
              <w:rPr>
                <w:b/>
                <w:color w:val="FFFFFF"/>
                <w:sz w:val="20"/>
              </w:rPr>
              <w:t>Target</w:t>
            </w:r>
          </w:p>
        </w:tc>
        <w:tc>
          <w:tcPr>
            <w:tcW w:type="dxa" w:w="2340"/>
            <w:shd w:fill="003366"/>
          </w:tcPr>
          <w:p>
            <w:pPr>
              <w:spacing w:before="40" w:after="40"/>
            </w:pPr>
            <w:r>
              <w:rPr>
                <w:b/>
                <w:color w:val="FFFFFF"/>
                <w:sz w:val="20"/>
              </w:rPr>
              <w:t>Data Collection</w:t>
            </w:r>
          </w:p>
        </w:tc>
      </w:tr>
      <w:tr>
        <w:tc>
          <w:tcPr>
            <w:tcW w:type="dxa" w:w="2340"/>
          </w:tcPr>
          <w:p>
            <w:pPr>
              <w:spacing w:before="40" w:after="40"/>
            </w:pPr>
            <w:r>
              <w:rPr>
                <w:sz w:val="20"/>
              </w:rPr>
              <w:t>Youth feel supported</w:t>
            </w:r>
          </w:p>
        </w:tc>
        <w:tc>
          <w:tcPr>
            <w:tcW w:type="dxa" w:w="2340"/>
          </w:tcPr>
          <w:p>
            <w:pPr>
              <w:spacing w:before="40" w:after="40"/>
            </w:pPr>
            <w:r>
              <w:rPr>
                <w:sz w:val="20"/>
              </w:rPr>
              <w:t>"I have a trusted adult"</w:t>
            </w:r>
          </w:p>
        </w:tc>
        <w:tc>
          <w:tcPr>
            <w:tcW w:type="dxa" w:w="2340"/>
          </w:tcPr>
          <w:p>
            <w:pPr>
              <w:spacing w:before="40" w:after="40"/>
            </w:pPr>
            <w:r>
              <w:rPr>
                <w:sz w:val="20"/>
              </w:rPr>
              <w:t>90%</w:t>
            </w:r>
          </w:p>
        </w:tc>
        <w:tc>
          <w:tcPr>
            <w:tcW w:type="dxa" w:w="2340"/>
          </w:tcPr>
          <w:p>
            <w:pPr>
              <w:spacing w:before="40" w:after="40"/>
            </w:pPr>
            <w:r>
              <w:rPr>
                <w:sz w:val="20"/>
              </w:rPr>
              <w:t>Pre/post survey</w:t>
            </w:r>
          </w:p>
        </w:tc>
      </w:tr>
      <w:tr>
        <w:tc>
          <w:tcPr>
            <w:tcW w:type="dxa" w:w="2340"/>
            <w:shd w:fill="F2F2F2"/>
          </w:tcPr>
          <w:p>
            <w:pPr>
              <w:spacing w:before="40" w:after="40"/>
            </w:pPr>
            <w:r>
              <w:rPr>
                <w:sz w:val="20"/>
              </w:rPr>
              <w:t>Youth engaged in program</w:t>
            </w:r>
          </w:p>
        </w:tc>
        <w:tc>
          <w:tcPr>
            <w:tcW w:type="dxa" w:w="2340"/>
            <w:shd w:fill="F2F2F2"/>
          </w:tcPr>
          <w:p>
            <w:pPr>
              <w:spacing w:before="40" w:after="40"/>
            </w:pPr>
            <w:r>
              <w:rPr>
                <w:sz w:val="20"/>
              </w:rPr>
              <w:t>Match meetings attended</w:t>
            </w:r>
          </w:p>
        </w:tc>
        <w:tc>
          <w:tcPr>
            <w:tcW w:type="dxa" w:w="2340"/>
            <w:shd w:fill="F2F2F2"/>
          </w:tcPr>
          <w:p>
            <w:pPr>
              <w:spacing w:before="40" w:after="40"/>
            </w:pPr>
            <w:r>
              <w:rPr>
                <w:sz w:val="20"/>
              </w:rPr>
              <w:t>80% retention</w:t>
            </w:r>
          </w:p>
        </w:tc>
        <w:tc>
          <w:tcPr>
            <w:tcW w:type="dxa" w:w="2340"/>
            <w:shd w:fill="F2F2F2"/>
          </w:tcPr>
          <w:p>
            <w:pPr>
              <w:spacing w:before="40" w:after="40"/>
            </w:pPr>
            <w:r>
              <w:rPr>
                <w:sz w:val="20"/>
              </w:rPr>
              <w:t>Attendance records</w:t>
            </w:r>
          </w:p>
        </w:tc>
      </w:tr>
    </w:tbl>
    <w:p/>
    <w:p>
      <w:r>
        <w:rPr>
          <w:b/>
        </w:rPr>
        <w:t>Medium-term (6-12 months):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pPr>
              <w:spacing w:before="40" w:after="40"/>
            </w:pPr>
            <w:r>
              <w:rPr>
                <w:b/>
                <w:color w:val="FFFFFF"/>
                <w:sz w:val="20"/>
              </w:rPr>
              <w:t>Outcome</w:t>
            </w:r>
          </w:p>
        </w:tc>
        <w:tc>
          <w:tcPr>
            <w:tcW w:type="dxa" w:w="2340"/>
            <w:shd w:fill="003366"/>
          </w:tcPr>
          <w:p>
            <w:pPr>
              <w:spacing w:before="40" w:after="40"/>
            </w:pPr>
            <w:r>
              <w:rPr>
                <w:b/>
                <w:color w:val="FFFFFF"/>
                <w:sz w:val="20"/>
              </w:rPr>
              <w:t>Indicator</w:t>
            </w:r>
          </w:p>
        </w:tc>
        <w:tc>
          <w:tcPr>
            <w:tcW w:type="dxa" w:w="2340"/>
            <w:shd w:fill="003366"/>
          </w:tcPr>
          <w:p>
            <w:pPr>
              <w:spacing w:before="40" w:after="40"/>
            </w:pPr>
            <w:r>
              <w:rPr>
                <w:b/>
                <w:color w:val="FFFFFF"/>
                <w:sz w:val="20"/>
              </w:rPr>
              <w:t>Target</w:t>
            </w:r>
          </w:p>
        </w:tc>
        <w:tc>
          <w:tcPr>
            <w:tcW w:type="dxa" w:w="2340"/>
            <w:shd w:fill="003366"/>
          </w:tcPr>
          <w:p>
            <w:pPr>
              <w:spacing w:before="40" w:after="40"/>
            </w:pPr>
            <w:r>
              <w:rPr>
                <w:b/>
                <w:color w:val="FFFFFF"/>
                <w:sz w:val="20"/>
              </w:rPr>
              <w:t>Data Collection</w:t>
            </w:r>
          </w:p>
        </w:tc>
      </w:tr>
      <w:tr>
        <w:tc>
          <w:tcPr>
            <w:tcW w:type="dxa" w:w="2340"/>
          </w:tcPr>
          <w:p>
            <w:pPr>
              <w:spacing w:before="40" w:after="40"/>
            </w:pPr>
            <w:r>
              <w:rPr>
                <w:sz w:val="20"/>
              </w:rPr>
              <w:t>Academic engagement</w:t>
            </w:r>
          </w:p>
        </w:tc>
        <w:tc>
          <w:tcPr>
            <w:tcW w:type="dxa" w:w="2340"/>
          </w:tcPr>
          <w:p>
            <w:pPr>
              <w:spacing w:before="40" w:after="40"/>
            </w:pPr>
            <w:r>
              <w:rPr>
                <w:sz w:val="20"/>
              </w:rPr>
              <w:t>School attendance, grades</w:t>
            </w:r>
          </w:p>
        </w:tc>
        <w:tc>
          <w:tcPr>
            <w:tcW w:type="dxa" w:w="2340"/>
          </w:tcPr>
          <w:p>
            <w:pPr>
              <w:spacing w:before="40" w:after="40"/>
            </w:pPr>
            <w:r>
              <w:rPr>
                <w:sz w:val="20"/>
              </w:rPr>
              <w:t>85% show improvement</w:t>
            </w:r>
          </w:p>
        </w:tc>
        <w:tc>
          <w:tcPr>
            <w:tcW w:type="dxa" w:w="2340"/>
          </w:tcPr>
          <w:p>
            <w:pPr>
              <w:spacing w:before="40" w:after="40"/>
            </w:pPr>
            <w:r>
              <w:rPr>
                <w:sz w:val="20"/>
              </w:rPr>
              <w:t>School records, survey</w:t>
            </w:r>
          </w:p>
        </w:tc>
      </w:tr>
      <w:tr>
        <w:tc>
          <w:tcPr>
            <w:tcW w:type="dxa" w:w="2340"/>
            <w:shd w:fill="F2F2F2"/>
          </w:tcPr>
          <w:p>
            <w:pPr>
              <w:spacing w:before="40" w:after="40"/>
            </w:pPr>
            <w:r>
              <w:rPr>
                <w:sz w:val="20"/>
              </w:rPr>
              <w:t>Life skills</w:t>
            </w:r>
          </w:p>
        </w:tc>
        <w:tc>
          <w:tcPr>
            <w:tcW w:type="dxa" w:w="2340"/>
            <w:shd w:fill="F2F2F2"/>
          </w:tcPr>
          <w:p>
            <w:pPr>
              <w:spacing w:before="40" w:after="40"/>
            </w:pPr>
            <w:r>
              <w:rPr>
                <w:sz w:val="20"/>
              </w:rPr>
              <w:t>Life skills assessment</w:t>
            </w:r>
          </w:p>
        </w:tc>
        <w:tc>
          <w:tcPr>
            <w:tcW w:type="dxa" w:w="2340"/>
            <w:shd w:fill="F2F2F2"/>
          </w:tcPr>
          <w:p>
            <w:pPr>
              <w:spacing w:before="40" w:after="40"/>
            </w:pPr>
            <w:r>
              <w:rPr>
                <w:sz w:val="20"/>
              </w:rPr>
              <w:t>80% show growth</w:t>
            </w:r>
          </w:p>
        </w:tc>
        <w:tc>
          <w:tcPr>
            <w:tcW w:type="dxa" w:w="2340"/>
            <w:shd w:fill="F2F2F2"/>
          </w:tcPr>
          <w:p>
            <w:pPr>
              <w:spacing w:before="40" w:after="40"/>
            </w:pPr>
            <w:r>
              <w:rPr>
                <w:sz w:val="20"/>
              </w:rPr>
              <w:t>Pre/post assessment</w:t>
            </w:r>
          </w:p>
        </w:tc>
      </w:tr>
      <w:tr>
        <w:tc>
          <w:tcPr>
            <w:tcW w:type="dxa" w:w="2340"/>
          </w:tcPr>
          <w:p>
            <w:pPr>
              <w:spacing w:before="40" w:after="40"/>
            </w:pPr>
            <w:r>
              <w:rPr>
                <w:sz w:val="20"/>
              </w:rPr>
              <w:t>Reduced risk behaviors</w:t>
            </w:r>
          </w:p>
        </w:tc>
        <w:tc>
          <w:tcPr>
            <w:tcW w:type="dxa" w:w="2340"/>
          </w:tcPr>
          <w:p>
            <w:pPr>
              <w:spacing w:before="40" w:after="40"/>
            </w:pPr>
            <w:r>
              <w:rPr>
                <w:sz w:val="20"/>
              </w:rPr>
              <w:t>Self-reported behaviors</w:t>
            </w:r>
          </w:p>
        </w:tc>
        <w:tc>
          <w:tcPr>
            <w:tcW w:type="dxa" w:w="2340"/>
          </w:tcPr>
          <w:p>
            <w:pPr>
              <w:spacing w:before="40" w:after="40"/>
            </w:pPr>
            <w:r>
              <w:rPr>
                <w:sz w:val="20"/>
              </w:rPr>
              <w:t>75% report reduction</w:t>
            </w:r>
          </w:p>
        </w:tc>
        <w:tc>
          <w:tcPr>
            <w:tcW w:type="dxa" w:w="2340"/>
          </w:tcPr>
          <w:p>
            <w:pPr>
              <w:spacing w:before="40" w:after="40"/>
            </w:pPr>
            <w:r>
              <w:rPr>
                <w:sz w:val="20"/>
              </w:rPr>
              <w:t>Survey</w:t>
            </w:r>
          </w:p>
        </w:tc>
      </w:tr>
    </w:tbl>
    <w:p/>
    <w:p>
      <w:pPr>
        <w:pStyle w:val="Heading3"/>
      </w:pPr>
      <w:r>
        <w:t>Evaluation Methods</w:t>
      </w:r>
    </w:p>
    <w:p>
      <w:pPr>
        <w:pStyle w:val="ListBullet"/>
      </w:pPr>
      <w:r>
        <w:rPr>
          <w:b/>
        </w:rPr>
        <w:t>Pre/post surveys:</w:t>
      </w:r>
      <w:r>
        <w:t xml:space="preserve"> Administered at intake and 6, 12 months</w:t>
      </w:r>
    </w:p>
    <w:p>
      <w:pPr>
        <w:pStyle w:val="ListBullet"/>
      </w:pPr>
      <w:r>
        <w:rPr>
          <w:b/>
        </w:rPr>
        <w:t>School data:</w:t>
      </w:r>
      <w:r>
        <w:t xml:space="preserve"> Attendance and grades (with consent)</w:t>
      </w:r>
    </w:p>
    <w:p>
      <w:pPr>
        <w:pStyle w:val="ListBullet"/>
      </w:pPr>
      <w:r>
        <w:rPr>
          <w:b/>
        </w:rPr>
        <w:t>Mentor reports:</w:t>
      </w:r>
      <w:r>
        <w:t xml:space="preserve"> Monthly logs of activities and observations</w:t>
      </w:r>
    </w:p>
    <w:p>
      <w:pPr>
        <w:pStyle w:val="ListBullet"/>
      </w:pPr>
      <w:r>
        <w:rPr>
          <w:b/>
        </w:rPr>
        <w:t>Case studies:</w:t>
      </w:r>
      <w:r>
        <w:t xml:space="preserve"> 10 in-depth stories per year</w:t>
      </w:r>
    </w:p>
    <w:p>
      <w:pPr>
        <w:spacing w:before="120" w:after="120"/>
        <w:pBdr>
          <w:bottom w:val="single" w:sz="6" w:space="1" w:color="003366"/>
        </w:pBdr>
      </w:pPr>
    </w:p>
    <w:p>
      <w:pPr>
        <w:pStyle w:val="Heading2"/>
      </w:pPr>
      <w:r>
        <w:t>BUDGET</w:t>
      </w:r>
    </w:p>
    <w:p>
      <w:pPr>
        <w:pStyle w:val="Heading3"/>
      </w:pPr>
      <w:r>
        <w:t>Budget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pPr>
              <w:spacing w:before="40" w:after="40"/>
            </w:pPr>
            <w:r>
              <w:rPr>
                <w:b/>
                <w:color w:val="FFFFFF"/>
                <w:sz w:val="20"/>
              </w:rPr>
              <w:t>Category</w:t>
            </w:r>
          </w:p>
        </w:tc>
        <w:tc>
          <w:tcPr>
            <w:tcW w:type="dxa" w:w="2340"/>
            <w:shd w:fill="003366"/>
          </w:tcPr>
          <w:p>
            <w:pPr>
              <w:spacing w:before="40" w:after="40"/>
            </w:pPr>
            <w:r>
              <w:rPr>
                <w:b/>
                <w:color w:val="FFFFFF"/>
                <w:sz w:val="20"/>
              </w:rPr>
              <w:t>Year 1</w:t>
            </w:r>
          </w:p>
        </w:tc>
        <w:tc>
          <w:tcPr>
            <w:tcW w:type="dxa" w:w="2340"/>
            <w:shd w:fill="003366"/>
          </w:tcPr>
          <w:p>
            <w:pPr>
              <w:spacing w:before="40" w:after="40"/>
            </w:pPr>
            <w:r>
              <w:rPr>
                <w:b/>
                <w:color w:val="FFFFFF"/>
                <w:sz w:val="20"/>
              </w:rPr>
              <w:t>Year 2</w:t>
            </w:r>
          </w:p>
        </w:tc>
        <w:tc>
          <w:tcPr>
            <w:tcW w:type="dxa" w:w="2340"/>
            <w:shd w:fill="003366"/>
          </w:tcPr>
          <w:p>
            <w:pPr>
              <w:spacing w:before="40" w:after="40"/>
            </w:pPr>
            <w:r>
              <w:rPr>
                <w:b/>
                <w:color w:val="FFFFFF"/>
                <w:sz w:val="20"/>
              </w:rPr>
              <w:t>Total</w:t>
            </w:r>
          </w:p>
        </w:tc>
      </w:tr>
      <w:tr>
        <w:tc>
          <w:tcPr>
            <w:tcW w:type="dxa" w:w="2340"/>
          </w:tcPr>
          <w:p>
            <w:pPr>
              <w:spacing w:before="40" w:after="40"/>
            </w:pPr>
            <w:r>
              <w:rPr>
                <w:sz w:val="20"/>
              </w:rPr>
              <w:t>Personnel</w:t>
            </w:r>
          </w:p>
        </w:tc>
        <w:tc>
          <w:tcPr>
            <w:tcW w:type="dxa" w:w="2340"/>
          </w:tcPr>
          <w:p>
            <w:pPr>
              <w:spacing w:before="40" w:after="40"/>
            </w:pPr>
            <w:r>
              <w:rPr>
                <w:sz w:val="20"/>
              </w:rPr>
              <w:t>$57,000</w:t>
            </w:r>
          </w:p>
        </w:tc>
        <w:tc>
          <w:tcPr>
            <w:tcW w:type="dxa" w:w="2340"/>
          </w:tcPr>
          <w:p>
            <w:pPr>
              <w:spacing w:before="40" w:after="40"/>
            </w:pPr>
            <w:r>
              <w:rPr>
                <w:sz w:val="20"/>
              </w:rPr>
              <w:t>$58,425</w:t>
            </w:r>
          </w:p>
        </w:tc>
        <w:tc>
          <w:tcPr>
            <w:tcW w:type="dxa" w:w="2340"/>
          </w:tcPr>
          <w:p>
            <w:pPr>
              <w:spacing w:before="40" w:after="40"/>
            </w:pPr>
            <w:r>
              <w:rPr>
                <w:sz w:val="20"/>
              </w:rPr>
              <w:t>$115,425</w:t>
            </w:r>
          </w:p>
        </w:tc>
      </w:tr>
      <w:tr>
        <w:tc>
          <w:tcPr>
            <w:tcW w:type="dxa" w:w="2340"/>
            <w:shd w:fill="F2F2F2"/>
          </w:tcPr>
          <w:p>
            <w:pPr>
              <w:spacing w:before="40" w:after="40"/>
            </w:pPr>
            <w:r>
              <w:rPr>
                <w:sz w:val="20"/>
              </w:rPr>
              <w:t>Program Costs</w:t>
            </w:r>
          </w:p>
        </w:tc>
        <w:tc>
          <w:tcPr>
            <w:tcW w:type="dxa" w:w="2340"/>
            <w:shd w:fill="F2F2F2"/>
          </w:tcPr>
          <w:p>
            <w:pPr>
              <w:spacing w:before="40" w:after="40"/>
            </w:pPr>
            <w:r>
              <w:rPr>
                <w:sz w:val="20"/>
              </w:rPr>
              <w:t>$12,000</w:t>
            </w:r>
          </w:p>
        </w:tc>
        <w:tc>
          <w:tcPr>
            <w:tcW w:type="dxa" w:w="2340"/>
            <w:shd w:fill="F2F2F2"/>
          </w:tcPr>
          <w:p>
            <w:pPr>
              <w:spacing w:before="40" w:after="40"/>
            </w:pPr>
            <w:r>
              <w:rPr>
                <w:sz w:val="20"/>
              </w:rPr>
              <w:t>$12,000</w:t>
            </w:r>
          </w:p>
        </w:tc>
        <w:tc>
          <w:tcPr>
            <w:tcW w:type="dxa" w:w="2340"/>
            <w:shd w:fill="F2F2F2"/>
          </w:tcPr>
          <w:p>
            <w:pPr>
              <w:spacing w:before="40" w:after="40"/>
            </w:pPr>
            <w:r>
              <w:rPr>
                <w:sz w:val="20"/>
              </w:rPr>
              <w:t>$24,000</w:t>
            </w:r>
          </w:p>
        </w:tc>
      </w:tr>
      <w:tr>
        <w:tc>
          <w:tcPr>
            <w:tcW w:type="dxa" w:w="2340"/>
          </w:tcPr>
          <w:p>
            <w:pPr>
              <w:spacing w:before="40" w:after="40"/>
            </w:pPr>
            <w:r>
              <w:rPr>
                <w:sz w:val="20"/>
              </w:rPr>
              <w:t>Administration</w:t>
            </w:r>
          </w:p>
        </w:tc>
        <w:tc>
          <w:tcPr>
            <w:tcW w:type="dxa" w:w="2340"/>
          </w:tcPr>
          <w:p>
            <w:pPr>
              <w:spacing w:before="40" w:after="40"/>
            </w:pPr>
            <w:r>
              <w:rPr>
                <w:sz w:val="20"/>
              </w:rPr>
              <w:t>$6,000</w:t>
            </w:r>
          </w:p>
        </w:tc>
        <w:tc>
          <w:tcPr>
            <w:tcW w:type="dxa" w:w="2340"/>
          </w:tcPr>
          <w:p>
            <w:pPr>
              <w:spacing w:before="40" w:after="40"/>
            </w:pPr>
            <w:r>
              <w:rPr>
                <w:sz w:val="20"/>
              </w:rPr>
              <w:t>$6,575</w:t>
            </w:r>
          </w:p>
        </w:tc>
        <w:tc>
          <w:tcPr>
            <w:tcW w:type="dxa" w:w="2340"/>
          </w:tcPr>
          <w:p>
            <w:pPr>
              <w:spacing w:before="40" w:after="40"/>
            </w:pPr>
            <w:r>
              <w:rPr>
                <w:sz w:val="20"/>
              </w:rPr>
              <w:t>$12,575</w:t>
            </w:r>
          </w:p>
        </w:tc>
      </w:tr>
      <w:tr>
        <w:tc>
          <w:tcPr>
            <w:tcW w:type="dxa" w:w="2340"/>
            <w:shd w:fill="F2F2F2"/>
          </w:tcPr>
          <w:p>
            <w:pPr>
              <w:spacing w:before="40" w:after="40"/>
            </w:pPr>
            <w:r>
              <w:rPr>
                <w:sz w:val="20"/>
              </w:rPr>
              <w:t>**Total**</w:t>
            </w:r>
          </w:p>
        </w:tc>
        <w:tc>
          <w:tcPr>
            <w:tcW w:type="dxa" w:w="2340"/>
            <w:shd w:fill="F2F2F2"/>
          </w:tcPr>
          <w:p>
            <w:pPr>
              <w:spacing w:before="40" w:after="40"/>
            </w:pPr>
            <w:r>
              <w:rPr>
                <w:sz w:val="20"/>
              </w:rPr>
              <w:t>**$75,000**</w:t>
            </w:r>
          </w:p>
        </w:tc>
        <w:tc>
          <w:tcPr>
            <w:tcW w:type="dxa" w:w="2340"/>
            <w:shd w:fill="F2F2F2"/>
          </w:tcPr>
          <w:p>
            <w:pPr>
              <w:spacing w:before="40" w:after="40"/>
            </w:pPr>
            <w:r>
              <w:rPr>
                <w:sz w:val="20"/>
              </w:rPr>
              <w:t>**$77,000**</w:t>
            </w:r>
          </w:p>
        </w:tc>
        <w:tc>
          <w:tcPr>
            <w:tcW w:type="dxa" w:w="2340"/>
            <w:shd w:fill="F2F2F2"/>
          </w:tcPr>
          <w:p>
            <w:pPr>
              <w:spacing w:before="40" w:after="40"/>
            </w:pPr>
            <w:r>
              <w:rPr>
                <w:sz w:val="20"/>
              </w:rPr>
              <w:t>**$152,000**</w:t>
            </w:r>
          </w:p>
        </w:tc>
      </w:tr>
      <w:tr>
        <w:tc>
          <w:tcPr>
            <w:tcW w:type="dxa" w:w="2340"/>
          </w:tcPr>
          <w:p>
            <w:pPr>
              <w:spacing w:before="40" w:after="40"/>
            </w:pPr>
            <w:r>
              <w:rPr>
                <w:sz w:val="20"/>
              </w:rPr>
              <w:t>**United Way Request**</w:t>
            </w:r>
          </w:p>
        </w:tc>
        <w:tc>
          <w:tcPr>
            <w:tcW w:type="dxa" w:w="2340"/>
          </w:tcPr>
          <w:p>
            <w:pPr>
              <w:spacing w:before="40" w:after="40"/>
            </w:pPr>
            <w:r>
              <w:rPr>
                <w:sz w:val="20"/>
              </w:rPr>
              <w:t>**$75,000**</w:t>
            </w:r>
          </w:p>
        </w:tc>
        <w:tc>
          <w:tcPr>
            <w:tcW w:type="dxa" w:w="2340"/>
          </w:tcPr>
          <w:p>
            <w:pPr>
              <w:spacing w:before="40" w:after="40"/>
            </w:pPr>
            <w:r>
              <w:rPr>
                <w:sz w:val="20"/>
              </w:rPr>
              <w:t>**$75,000**</w:t>
            </w:r>
          </w:p>
        </w:tc>
        <w:tc>
          <w:tcPr>
            <w:tcW w:type="dxa" w:w="2340"/>
          </w:tcPr>
          <w:p>
            <w:pPr>
              <w:spacing w:before="40" w:after="40"/>
            </w:pPr>
            <w:r>
              <w:rPr>
                <w:sz w:val="20"/>
              </w:rPr>
              <w:t>**$150,000**</w:t>
            </w:r>
          </w:p>
        </w:tc>
      </w:tr>
    </w:tbl>
    <w:p/>
    <w:p>
      <w:pPr>
        <w:pStyle w:val="Heading3"/>
      </w:pPr>
      <w:r>
        <w:t>Detailed Budget - Year 1</w:t>
      </w:r>
    </w:p>
    <w:p>
      <w:pPr>
        <w:pStyle w:val="Heading4"/>
      </w:pPr>
      <w:r>
        <w:t>Personnel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pPr>
              <w:spacing w:before="40" w:after="40"/>
            </w:pPr>
            <w:r>
              <w:rPr>
                <w:b/>
                <w:color w:val="FFFFFF"/>
                <w:sz w:val="20"/>
              </w:rPr>
              <w:t>Item</w:t>
            </w:r>
          </w:p>
        </w:tc>
        <w:tc>
          <w:tcPr>
            <w:tcW w:type="dxa" w:w="3120"/>
            <w:shd w:fill="003366"/>
          </w:tcPr>
          <w:p>
            <w:pPr>
              <w:spacing w:before="40" w:after="40"/>
            </w:pPr>
            <w:r>
              <w:rPr>
                <w:b/>
                <w:color w:val="FFFFFF"/>
                <w:sz w:val="20"/>
              </w:rPr>
              <w:t>Amount</w:t>
            </w:r>
          </w:p>
        </w:tc>
        <w:tc>
          <w:tcPr>
            <w:tcW w:type="dxa" w:w="3120"/>
            <w:shd w:fill="003366"/>
          </w:tcPr>
          <w:p>
            <w:pPr>
              <w:spacing w:before="40" w:after="40"/>
            </w:pPr>
            <w:r>
              <w:rPr>
                <w:b/>
                <w:color w:val="FFFFFF"/>
                <w:sz w:val="20"/>
              </w:rPr>
              <w:t>Calculation</w:t>
            </w:r>
          </w:p>
        </w:tc>
      </w:tr>
      <w:tr>
        <w:tc>
          <w:tcPr>
            <w:tcW w:type="dxa" w:w="3120"/>
          </w:tcPr>
          <w:p>
            <w:pPr>
              <w:spacing w:before="40" w:after="40"/>
            </w:pPr>
            <w:r>
              <w:rPr>
                <w:sz w:val="20"/>
              </w:rPr>
              <w:t>Program Coordinator (1.0 FTE)</w:t>
            </w:r>
          </w:p>
        </w:tc>
        <w:tc>
          <w:tcPr>
            <w:tcW w:type="dxa" w:w="3120"/>
          </w:tcPr>
          <w:p>
            <w:pPr>
              <w:spacing w:before="40" w:after="40"/>
            </w:pPr>
            <w:r>
              <w:rPr>
                <w:sz w:val="20"/>
              </w:rPr>
              <w:t>$45,000</w:t>
            </w:r>
          </w:p>
        </w:tc>
        <w:tc>
          <w:tcPr>
            <w:tcW w:type="dxa" w:w="3120"/>
          </w:tcPr>
          <w:p>
            <w:pPr>
              <w:spacing w:before="40" w:after="40"/>
            </w:pPr>
            <w:r>
              <w:rPr>
                <w:sz w:val="20"/>
              </w:rPr>
              <w:t>$45,000 × 100%</w:t>
            </w:r>
          </w:p>
        </w:tc>
      </w:tr>
      <w:tr>
        <w:tc>
          <w:tcPr>
            <w:tcW w:type="dxa" w:w="3120"/>
            <w:shd w:fill="F2F2F2"/>
          </w:tcPr>
          <w:p>
            <w:pPr>
              <w:spacing w:before="40" w:after="40"/>
            </w:pPr>
            <w:r>
              <w:rPr>
                <w:sz w:val="20"/>
              </w:rPr>
              <w:t>Outreach Worker (0.5 FTE)</w:t>
            </w:r>
          </w:p>
        </w:tc>
        <w:tc>
          <w:tcPr>
            <w:tcW w:type="dxa" w:w="3120"/>
            <w:shd w:fill="F2F2F2"/>
          </w:tcPr>
          <w:p>
            <w:pPr>
              <w:spacing w:before="40" w:after="40"/>
            </w:pPr>
            <w:r>
              <w:rPr>
                <w:sz w:val="20"/>
              </w:rPr>
              <w:t>$17,500</w:t>
            </w:r>
          </w:p>
        </w:tc>
        <w:tc>
          <w:tcPr>
            <w:tcW w:type="dxa" w:w="3120"/>
            <w:shd w:fill="F2F2F2"/>
          </w:tcPr>
          <w:p>
            <w:pPr>
              <w:spacing w:before="40" w:after="40"/>
            </w:pPr>
            <w:r>
              <w:rPr>
                <w:sz w:val="20"/>
              </w:rPr>
              <w:t>$35,000 × 50%</w:t>
            </w:r>
          </w:p>
        </w:tc>
      </w:tr>
      <w:tr>
        <w:tc>
          <w:tcPr>
            <w:tcW w:type="dxa" w:w="3120"/>
          </w:tcPr>
          <w:p>
            <w:pPr>
              <w:spacing w:before="40" w:after="40"/>
            </w:pPr>
            <w:r>
              <w:rPr>
                <w:sz w:val="20"/>
              </w:rPr>
              <w:t>Evaluation Lead (0.25 FTE)</w:t>
            </w:r>
          </w:p>
        </w:tc>
        <w:tc>
          <w:tcPr>
            <w:tcW w:type="dxa" w:w="3120"/>
          </w:tcPr>
          <w:p>
            <w:pPr>
              <w:spacing w:before="40" w:after="40"/>
            </w:pPr>
            <w:r>
              <w:rPr>
                <w:sz w:val="20"/>
              </w:rPr>
              <w:t>$11,250</w:t>
            </w:r>
          </w:p>
        </w:tc>
        <w:tc>
          <w:tcPr>
            <w:tcW w:type="dxa" w:w="3120"/>
          </w:tcPr>
          <w:p>
            <w:pPr>
              <w:spacing w:before="40" w:after="40"/>
            </w:pPr>
            <w:r>
              <w:rPr>
                <w:sz w:val="20"/>
              </w:rPr>
              <w:t>$45,000 × 25%</w:t>
            </w:r>
          </w:p>
        </w:tc>
      </w:tr>
      <w:tr>
        <w:tc>
          <w:tcPr>
            <w:tcW w:type="dxa" w:w="3120"/>
            <w:shd w:fill="F2F2F2"/>
          </w:tcPr>
          <w:p>
            <w:pPr>
              <w:spacing w:before="40" w:after="40"/>
            </w:pPr>
            <w:r>
              <w:rPr>
                <w:sz w:val="20"/>
              </w:rPr>
              <w:t>Benefits (20%)</w:t>
            </w:r>
          </w:p>
        </w:tc>
        <w:tc>
          <w:tcPr>
            <w:tcW w:type="dxa" w:w="3120"/>
            <w:shd w:fill="F2F2F2"/>
          </w:tcPr>
          <w:p>
            <w:pPr>
              <w:spacing w:before="40" w:after="40"/>
            </w:pPr>
            <w:r>
              <w:rPr>
                <w:sz w:val="20"/>
              </w:rPr>
              <w:t>$11,250</w:t>
            </w:r>
          </w:p>
        </w:tc>
        <w:tc>
          <w:tcPr>
            <w:tcW w:type="dxa" w:w="3120"/>
            <w:shd w:fill="F2F2F2"/>
          </w:tcPr>
          <w:p>
            <w:pPr>
              <w:spacing w:before="40" w:after="40"/>
            </w:pPr>
            <w:r>
              <w:rPr>
                <w:sz w:val="20"/>
              </w:rPr>
              <w:t>$56,250 × 20%</w:t>
            </w:r>
          </w:p>
        </w:tc>
      </w:tr>
      <w:tr>
        <w:tc>
          <w:tcPr>
            <w:tcW w:type="dxa" w:w="3120"/>
          </w:tcPr>
          <w:p>
            <w:pPr>
              <w:spacing w:before="40" w:after="40"/>
            </w:pPr>
            <w:r>
              <w:rPr>
                <w:sz w:val="20"/>
              </w:rPr>
              <w:t>**Personnel Subtotal**</w:t>
            </w:r>
          </w:p>
        </w:tc>
        <w:tc>
          <w:tcPr>
            <w:tcW w:type="dxa" w:w="3120"/>
          </w:tcPr>
          <w:p>
            <w:pPr>
              <w:spacing w:before="40" w:after="40"/>
            </w:pPr>
            <w:r>
              <w:rPr>
                <w:sz w:val="20"/>
              </w:rPr>
              <w:t>**$57,000**</w:t>
            </w:r>
          </w:p>
        </w:tc>
        <w:tc>
          <w:tcPr>
            <w:tcW w:type="dxa" w:w="3120"/>
          </w:tcPr>
          <w:p>
            <w:pPr>
              <w:spacing w:before="40" w:after="40"/>
            </w:pPr>
            <w:r>
              <w:rPr>
                <w:sz w:val="20"/>
              </w:rPr>
            </w:r>
          </w:p>
        </w:tc>
      </w:tr>
    </w:tbl>
    <w:p/>
    <w:p>
      <w:pPr>
        <w:pStyle w:val="Heading4"/>
      </w:pPr>
      <w:r>
        <w:t>Program Costs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pPr>
              <w:spacing w:before="40" w:after="40"/>
            </w:pPr>
            <w:r>
              <w:rPr>
                <w:b/>
                <w:color w:val="FFFFFF"/>
                <w:sz w:val="20"/>
              </w:rPr>
              <w:t>Item</w:t>
            </w:r>
          </w:p>
        </w:tc>
        <w:tc>
          <w:tcPr>
            <w:tcW w:type="dxa" w:w="3120"/>
            <w:shd w:fill="003366"/>
          </w:tcPr>
          <w:p>
            <w:pPr>
              <w:spacing w:before="40" w:after="40"/>
            </w:pPr>
            <w:r>
              <w:rPr>
                <w:b/>
                <w:color w:val="FFFFFF"/>
                <w:sz w:val="20"/>
              </w:rPr>
              <w:t>Amount</w:t>
            </w:r>
          </w:p>
        </w:tc>
        <w:tc>
          <w:tcPr>
            <w:tcW w:type="dxa" w:w="3120"/>
            <w:shd w:fill="003366"/>
          </w:tcPr>
          <w:p>
            <w:pPr>
              <w:spacing w:before="40" w:after="40"/>
            </w:pPr>
            <w:r>
              <w:rPr>
                <w:b/>
                <w:color w:val="FFFFFF"/>
                <w:sz w:val="20"/>
              </w:rPr>
              <w:t>Notes</w:t>
            </w:r>
          </w:p>
        </w:tc>
      </w:tr>
      <w:tr>
        <w:tc>
          <w:tcPr>
            <w:tcW w:type="dxa" w:w="3120"/>
          </w:tcPr>
          <w:p>
            <w:pPr>
              <w:spacing w:before="40" w:after="40"/>
            </w:pPr>
            <w:r>
              <w:rPr>
                <w:sz w:val="20"/>
              </w:rPr>
              <w:t>Mentor training materials</w:t>
            </w:r>
          </w:p>
        </w:tc>
        <w:tc>
          <w:tcPr>
            <w:tcW w:type="dxa" w:w="3120"/>
          </w:tcPr>
          <w:p>
            <w:pPr>
              <w:spacing w:before="40" w:after="40"/>
            </w:pPr>
            <w:r>
              <w:rPr>
                <w:sz w:val="20"/>
              </w:rPr>
              <w:t>$2,000</w:t>
            </w:r>
          </w:p>
        </w:tc>
        <w:tc>
          <w:tcPr>
            <w:tcW w:type="dxa" w:w="3120"/>
          </w:tcPr>
          <w:p>
            <w:pPr>
              <w:spacing w:before="40" w:after="40"/>
            </w:pPr>
            <w:r>
              <w:rPr>
                <w:sz w:val="20"/>
              </w:rPr>
              <w:t>Manuals, resources for 50 mentors</w:t>
            </w:r>
          </w:p>
        </w:tc>
      </w:tr>
      <w:tr>
        <w:tc>
          <w:tcPr>
            <w:tcW w:type="dxa" w:w="3120"/>
            <w:shd w:fill="F2F2F2"/>
          </w:tcPr>
          <w:p>
            <w:pPr>
              <w:spacing w:before="40" w:after="40"/>
            </w:pPr>
            <w:r>
              <w:rPr>
                <w:sz w:val="20"/>
              </w:rPr>
              <w:t>Youth activity supplies</w:t>
            </w:r>
          </w:p>
        </w:tc>
        <w:tc>
          <w:tcPr>
            <w:tcW w:type="dxa" w:w="3120"/>
            <w:shd w:fill="F2F2F2"/>
          </w:tcPr>
          <w:p>
            <w:pPr>
              <w:spacing w:before="40" w:after="40"/>
            </w:pPr>
            <w:r>
              <w:rPr>
                <w:sz w:val="20"/>
              </w:rPr>
              <w:t>$3,000</w:t>
            </w:r>
          </w:p>
        </w:tc>
        <w:tc>
          <w:tcPr>
            <w:tcW w:type="dxa" w:w="3120"/>
            <w:shd w:fill="F2F2F2"/>
          </w:tcPr>
          <w:p>
            <w:pPr>
              <w:spacing w:before="40" w:after="40"/>
            </w:pPr>
            <w:r>
              <w:rPr>
                <w:sz w:val="20"/>
              </w:rPr>
              <w:t>Art, games, educational materials</w:t>
            </w:r>
          </w:p>
        </w:tc>
      </w:tr>
      <w:tr>
        <w:tc>
          <w:tcPr>
            <w:tcW w:type="dxa" w:w="3120"/>
          </w:tcPr>
          <w:p>
            <w:pPr>
              <w:spacing w:before="40" w:after="40"/>
            </w:pPr>
            <w:r>
              <w:rPr>
                <w:sz w:val="20"/>
              </w:rPr>
              <w:t>Match activity fund</w:t>
            </w:r>
          </w:p>
        </w:tc>
        <w:tc>
          <w:tcPr>
            <w:tcW w:type="dxa" w:w="3120"/>
          </w:tcPr>
          <w:p>
            <w:pPr>
              <w:spacing w:before="40" w:after="40"/>
            </w:pPr>
            <w:r>
              <w:rPr>
                <w:sz w:val="20"/>
              </w:rPr>
              <w:t>$4,000</w:t>
            </w:r>
          </w:p>
        </w:tc>
        <w:tc>
          <w:tcPr>
            <w:tcW w:type="dxa" w:w="3120"/>
          </w:tcPr>
          <w:p>
            <w:pPr>
              <w:spacing w:before="40" w:after="40"/>
            </w:pPr>
            <w:r>
              <w:rPr>
                <w:sz w:val="20"/>
              </w:rPr>
              <w:t>$40/match for activities</w:t>
            </w:r>
          </w:p>
        </w:tc>
      </w:tr>
      <w:tr>
        <w:tc>
          <w:tcPr>
            <w:tcW w:type="dxa" w:w="3120"/>
            <w:shd w:fill="F2F2F2"/>
          </w:tcPr>
          <w:p>
            <w:pPr>
              <w:spacing w:before="40" w:after="40"/>
            </w:pPr>
            <w:r>
              <w:rPr>
                <w:sz w:val="20"/>
              </w:rPr>
              <w:t>Participant transportation</w:t>
            </w:r>
          </w:p>
        </w:tc>
        <w:tc>
          <w:tcPr>
            <w:tcW w:type="dxa" w:w="3120"/>
            <w:shd w:fill="F2F2F2"/>
          </w:tcPr>
          <w:p>
            <w:pPr>
              <w:spacing w:before="40" w:after="40"/>
            </w:pPr>
            <w:r>
              <w:rPr>
                <w:sz w:val="20"/>
              </w:rPr>
              <w:t>$2,000</w:t>
            </w:r>
          </w:p>
        </w:tc>
        <w:tc>
          <w:tcPr>
            <w:tcW w:type="dxa" w:w="3120"/>
            <w:shd w:fill="F2F2F2"/>
          </w:tcPr>
          <w:p>
            <w:pPr>
              <w:spacing w:before="40" w:after="40"/>
            </w:pPr>
            <w:r>
              <w:rPr>
                <w:sz w:val="20"/>
              </w:rPr>
              <w:t>Bus tickets, taxi for barriered families</w:t>
            </w:r>
          </w:p>
        </w:tc>
      </w:tr>
      <w:tr>
        <w:tc>
          <w:tcPr>
            <w:tcW w:type="dxa" w:w="3120"/>
          </w:tcPr>
          <w:p>
            <w:pPr>
              <w:spacing w:before="40" w:after="40"/>
            </w:pPr>
            <w:r>
              <w:rPr>
                <w:sz w:val="20"/>
              </w:rPr>
              <w:t>Evaluation costs</w:t>
            </w:r>
          </w:p>
        </w:tc>
        <w:tc>
          <w:tcPr>
            <w:tcW w:type="dxa" w:w="3120"/>
          </w:tcPr>
          <w:p>
            <w:pPr>
              <w:spacing w:before="40" w:after="40"/>
            </w:pPr>
            <w:r>
              <w:rPr>
                <w:sz w:val="20"/>
              </w:rPr>
              <w:t>$1,000</w:t>
            </w:r>
          </w:p>
        </w:tc>
        <w:tc>
          <w:tcPr>
            <w:tcW w:type="dxa" w:w="3120"/>
          </w:tcPr>
          <w:p>
            <w:pPr>
              <w:spacing w:before="40" w:after="40"/>
            </w:pPr>
            <w:r>
              <w:rPr>
                <w:sz w:val="20"/>
              </w:rPr>
              <w:t>Survey tools, data analysis</w:t>
            </w:r>
          </w:p>
        </w:tc>
      </w:tr>
      <w:tr>
        <w:tc>
          <w:tcPr>
            <w:tcW w:type="dxa" w:w="3120"/>
            <w:shd w:fill="F2F2F2"/>
          </w:tcPr>
          <w:p>
            <w:pPr>
              <w:spacing w:before="40" w:after="40"/>
            </w:pPr>
            <w:r>
              <w:rPr>
                <w:sz w:val="20"/>
              </w:rPr>
              <w:t>**Program Subtotal**</w:t>
            </w:r>
          </w:p>
        </w:tc>
        <w:tc>
          <w:tcPr>
            <w:tcW w:type="dxa" w:w="3120"/>
            <w:shd w:fill="F2F2F2"/>
          </w:tcPr>
          <w:p>
            <w:pPr>
              <w:spacing w:before="40" w:after="40"/>
            </w:pPr>
            <w:r>
              <w:rPr>
                <w:sz w:val="20"/>
              </w:rPr>
              <w:t>**$12,000**</w:t>
            </w:r>
          </w:p>
        </w:tc>
        <w:tc>
          <w:tcPr>
            <w:tcW w:type="dxa" w:w="3120"/>
            <w:shd w:fill="F2F2F2"/>
          </w:tcPr>
          <w:p>
            <w:pPr>
              <w:spacing w:before="40" w:after="40"/>
            </w:pPr>
            <w:r>
              <w:rPr>
                <w:sz w:val="20"/>
              </w:rPr>
            </w:r>
          </w:p>
        </w:tc>
      </w:tr>
    </w:tbl>
    <w:p/>
    <w:p>
      <w:pPr>
        <w:pStyle w:val="Heading4"/>
      </w:pPr>
      <w:r>
        <w:t>Administration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Pr>
          <w:p>
            <w:pPr>
              <w:spacing w:before="40" w:after="40"/>
            </w:pPr>
            <w:r>
              <w:rPr>
                <w:b/>
                <w:color w:val="FFFFFF"/>
                <w:sz w:val="20"/>
              </w:rPr>
              <w:t>Item</w:t>
            </w:r>
          </w:p>
        </w:tc>
        <w:tc>
          <w:tcPr>
            <w:tcW w:type="dxa" w:w="3120"/>
            <w:shd w:fill="003366"/>
          </w:tcPr>
          <w:p>
            <w:pPr>
              <w:spacing w:before="40" w:after="40"/>
            </w:pPr>
            <w:r>
              <w:rPr>
                <w:b/>
                <w:color w:val="FFFFFF"/>
                <w:sz w:val="20"/>
              </w:rPr>
              <w:t>Amount</w:t>
            </w:r>
          </w:p>
        </w:tc>
        <w:tc>
          <w:tcPr>
            <w:tcW w:type="dxa" w:w="3120"/>
            <w:shd w:fill="003366"/>
          </w:tcPr>
          <w:p>
            <w:pPr>
              <w:spacing w:before="40" w:after="40"/>
            </w:pPr>
            <w:r>
              <w:rPr>
                <w:b/>
                <w:color w:val="FFFFFF"/>
                <w:sz w:val="20"/>
              </w:rPr>
              <w:t>Notes</w:t>
            </w:r>
          </w:p>
        </w:tc>
      </w:tr>
      <w:tr>
        <w:tc>
          <w:tcPr>
            <w:tcW w:type="dxa" w:w="3120"/>
          </w:tcPr>
          <w:p>
            <w:pPr>
              <w:spacing w:before="40" w:after="40"/>
            </w:pPr>
            <w:r>
              <w:rPr>
                <w:sz w:val="20"/>
              </w:rPr>
              <w:t>Rent allocation</w:t>
            </w:r>
          </w:p>
        </w:tc>
        <w:tc>
          <w:tcPr>
            <w:tcW w:type="dxa" w:w="3120"/>
          </w:tcPr>
          <w:p>
            <w:pPr>
              <w:spacing w:before="40" w:after="40"/>
            </w:pPr>
            <w:r>
              <w:rPr>
                <w:sz w:val="20"/>
              </w:rPr>
              <w:t>$3,000</w:t>
            </w:r>
          </w:p>
        </w:tc>
        <w:tc>
          <w:tcPr>
            <w:tcW w:type="dxa" w:w="3120"/>
          </w:tcPr>
          <w:p>
            <w:pPr>
              <w:spacing w:before="40" w:after="40"/>
            </w:pPr>
            <w:r>
              <w:rPr>
                <w:sz w:val="20"/>
              </w:rPr>
              <w:t>10% of organizational rent</w:t>
            </w:r>
          </w:p>
        </w:tc>
      </w:tr>
      <w:tr>
        <w:tc>
          <w:tcPr>
            <w:tcW w:type="dxa" w:w="3120"/>
            <w:shd w:fill="F2F2F2"/>
          </w:tcPr>
          <w:p>
            <w:pPr>
              <w:spacing w:before="40" w:after="40"/>
            </w:pPr>
            <w:r>
              <w:rPr>
                <w:sz w:val="20"/>
              </w:rPr>
              <w:t>Insurance allocation</w:t>
            </w:r>
          </w:p>
        </w:tc>
        <w:tc>
          <w:tcPr>
            <w:tcW w:type="dxa" w:w="3120"/>
            <w:shd w:fill="F2F2F2"/>
          </w:tcPr>
          <w:p>
            <w:pPr>
              <w:spacing w:before="40" w:after="40"/>
            </w:pPr>
            <w:r>
              <w:rPr>
                <w:sz w:val="20"/>
              </w:rPr>
              <w:t>$1,500</w:t>
            </w:r>
          </w:p>
        </w:tc>
        <w:tc>
          <w:tcPr>
            <w:tcW w:type="dxa" w:w="3120"/>
            <w:shd w:fill="F2F2F2"/>
          </w:tcPr>
          <w:p>
            <w:pPr>
              <w:spacing w:before="40" w:after="40"/>
            </w:pPr>
            <w:r>
              <w:rPr>
                <w:sz w:val="20"/>
              </w:rPr>
              <w:t>Proportional</w:t>
            </w:r>
          </w:p>
        </w:tc>
      </w:tr>
      <w:tr>
        <w:tc>
          <w:tcPr>
            <w:tcW w:type="dxa" w:w="3120"/>
          </w:tcPr>
          <w:p>
            <w:pPr>
              <w:spacing w:before="40" w:after="40"/>
            </w:pPr>
            <w:r>
              <w:rPr>
                <w:sz w:val="20"/>
              </w:rPr>
              <w:t>Office supplies/phone</w:t>
            </w:r>
          </w:p>
        </w:tc>
        <w:tc>
          <w:tcPr>
            <w:tcW w:type="dxa" w:w="3120"/>
          </w:tcPr>
          <w:p>
            <w:pPr>
              <w:spacing w:before="40" w:after="40"/>
            </w:pPr>
            <w:r>
              <w:rPr>
                <w:sz w:val="20"/>
              </w:rPr>
              <w:t>$1,500</w:t>
            </w:r>
          </w:p>
        </w:tc>
        <w:tc>
          <w:tcPr>
            <w:tcW w:type="dxa" w:w="3120"/>
          </w:tcPr>
          <w:p>
            <w:pPr>
              <w:spacing w:before="40" w:after="40"/>
            </w:pPr>
            <w:r>
              <w:rPr>
                <w:sz w:val="20"/>
              </w:rPr>
              <w:t>Proportional</w:t>
            </w:r>
          </w:p>
        </w:tc>
      </w:tr>
      <w:tr>
        <w:tc>
          <w:tcPr>
            <w:tcW w:type="dxa" w:w="3120"/>
            <w:shd w:fill="F2F2F2"/>
          </w:tcPr>
          <w:p>
            <w:pPr>
              <w:spacing w:before="40" w:after="40"/>
            </w:pPr>
            <w:r>
              <w:rPr>
                <w:sz w:val="20"/>
              </w:rPr>
              <w:t>**Admin Subtotal**</w:t>
            </w:r>
          </w:p>
        </w:tc>
        <w:tc>
          <w:tcPr>
            <w:tcW w:type="dxa" w:w="3120"/>
            <w:shd w:fill="F2F2F2"/>
          </w:tcPr>
          <w:p>
            <w:pPr>
              <w:spacing w:before="40" w:after="40"/>
            </w:pPr>
            <w:r>
              <w:rPr>
                <w:sz w:val="20"/>
              </w:rPr>
              <w:t>**$6,000**</w:t>
            </w:r>
          </w:p>
        </w:tc>
        <w:tc>
          <w:tcPr>
            <w:tcW w:type="dxa" w:w="3120"/>
            <w:shd w:fill="F2F2F2"/>
          </w:tcPr>
          <w:p>
            <w:pPr>
              <w:spacing w:before="40" w:after="40"/>
            </w:pPr>
            <w:r>
              <w:rPr>
                <w:sz w:val="20"/>
              </w:rPr>
              <w:t>8% of total budget</w:t>
            </w:r>
          </w:p>
        </w:tc>
      </w:tr>
    </w:tbl>
    <w:p/>
    <w:p>
      <w:pPr>
        <w:pStyle w:val="Heading3"/>
      </w:pPr>
      <w:r>
        <w:t>Budget Narrative</w:t>
      </w:r>
    </w:p>
    <w:p>
      <w:r>
        <w:rPr>
          <w:b/>
        </w:rPr>
        <w:t>Personnel ($57,000):</w:t>
      </w:r>
      <w:r>
        <w:t>Supports 1.75 FTE staff dedicated to this program. The Program Coordinator manages all aspects of mentoring, including recruitment, training, and match support. The Outreach Worker builds relationships with schools and community partners to recruit youth. The Evaluation Lead ensures rigorous outcome tracking. Benefits at 20% cover CPP, EI, and health insurance.</w:t>
      </w:r>
    </w:p>
    <w:p>
      <w:r>
        <w:rPr>
          <w:b/>
        </w:rPr>
        <w:t>Program Costs ($12,000):</w:t>
      </w:r>
      <w:r>
        <w:t>Includes training materials for 50 mentors annually, activity supplies for match meetings, a small activity fund ($40/match) to reduce barriers, transportation assistance for families, and evaluation tools.</w:t>
      </w:r>
    </w:p>
    <w:p>
      <w:r>
        <w:rPr>
          <w:b/>
        </w:rPr>
        <w:t>Administration ($6,000):</w:t>
      </w:r>
      <w:r>
        <w:t>Represents 8% of the budget for a proportionate share of organizational overhead including rent, insurance, and administrative support.</w:t>
      </w:r>
    </w:p>
    <w:p>
      <w:pPr>
        <w:pStyle w:val="Heading3"/>
      </w:pPr>
      <w:r>
        <w:t>Other Funding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Pr>
          <w:p>
            <w:pPr>
              <w:spacing w:before="40" w:after="40"/>
            </w:pPr>
            <w:r>
              <w:rPr>
                <w:b/>
                <w:color w:val="FFFFFF"/>
                <w:sz w:val="20"/>
              </w:rPr>
              <w:t>Source</w:t>
            </w:r>
          </w:p>
        </w:tc>
        <w:tc>
          <w:tcPr>
            <w:tcW w:type="dxa" w:w="2340"/>
            <w:shd w:fill="003366"/>
          </w:tcPr>
          <w:p>
            <w:pPr>
              <w:spacing w:before="40" w:after="40"/>
            </w:pPr>
            <w:r>
              <w:rPr>
                <w:b/>
                <w:color w:val="FFFFFF"/>
                <w:sz w:val="20"/>
              </w:rPr>
              <w:t>Amount</w:t>
            </w:r>
          </w:p>
        </w:tc>
        <w:tc>
          <w:tcPr>
            <w:tcW w:type="dxa" w:w="2340"/>
            <w:shd w:fill="003366"/>
          </w:tcPr>
          <w:p>
            <w:pPr>
              <w:spacing w:before="40" w:after="40"/>
            </w:pPr>
            <w:r>
              <w:rPr>
                <w:b/>
                <w:color w:val="FFFFFF"/>
                <w:sz w:val="20"/>
              </w:rPr>
              <w:t>Status</w:t>
            </w:r>
          </w:p>
        </w:tc>
        <w:tc>
          <w:tcPr>
            <w:tcW w:type="dxa" w:w="2340"/>
            <w:shd w:fill="003366"/>
          </w:tcPr>
          <w:p>
            <w:pPr>
              <w:spacing w:before="40" w:after="40"/>
            </w:pPr>
            <w:r>
              <w:rPr>
                <w:b/>
                <w:color w:val="FFFFFF"/>
                <w:sz w:val="20"/>
              </w:rPr>
              <w:t>Purpose</w:t>
            </w:r>
          </w:p>
        </w:tc>
      </w:tr>
      <w:tr>
        <w:tc>
          <w:tcPr>
            <w:tcW w:type="dxa" w:w="2340"/>
          </w:tcPr>
          <w:p>
            <w:pPr>
              <w:spacing w:before="40" w:after="40"/>
            </w:pPr>
            <w:r>
              <w:rPr>
                <w:sz w:val="20"/>
              </w:rPr>
              <w:t>Ontario Trillium Foundation</w:t>
            </w:r>
          </w:p>
        </w:tc>
        <w:tc>
          <w:tcPr>
            <w:tcW w:type="dxa" w:w="2340"/>
          </w:tcPr>
          <w:p>
            <w:pPr>
              <w:spacing w:before="40" w:after="40"/>
            </w:pPr>
            <w:r>
              <w:rPr>
                <w:sz w:val="20"/>
              </w:rPr>
              <w:t>$50,000</w:t>
            </w:r>
          </w:p>
        </w:tc>
        <w:tc>
          <w:tcPr>
            <w:tcW w:type="dxa" w:w="2340"/>
          </w:tcPr>
          <w:p>
            <w:pPr>
              <w:spacing w:before="40" w:after="40"/>
            </w:pPr>
            <w:r>
              <w:rPr>
                <w:sz w:val="20"/>
              </w:rPr>
              <w:t>Confirmed</w:t>
            </w:r>
          </w:p>
        </w:tc>
        <w:tc>
          <w:tcPr>
            <w:tcW w:type="dxa" w:w="2340"/>
          </w:tcPr>
          <w:p>
            <w:pPr>
              <w:spacing w:before="40" w:after="40"/>
            </w:pPr>
            <w:r>
              <w:rPr>
                <w:sz w:val="20"/>
              </w:rPr>
              <w:t>Program expansion</w:t>
            </w:r>
          </w:p>
        </w:tc>
      </w:tr>
      <w:tr>
        <w:tc>
          <w:tcPr>
            <w:tcW w:type="dxa" w:w="2340"/>
            <w:shd w:fill="F2F2F2"/>
          </w:tcPr>
          <w:p>
            <w:pPr>
              <w:spacing w:before="40" w:after="40"/>
            </w:pPr>
            <w:r>
              <w:rPr>
                <w:sz w:val="20"/>
              </w:rPr>
              <w:t>Individual donations</w:t>
            </w:r>
          </w:p>
        </w:tc>
        <w:tc>
          <w:tcPr>
            <w:tcW w:type="dxa" w:w="2340"/>
            <w:shd w:fill="F2F2F2"/>
          </w:tcPr>
          <w:p>
            <w:pPr>
              <w:spacing w:before="40" w:after="40"/>
            </w:pPr>
            <w:r>
              <w:rPr>
                <w:sz w:val="20"/>
              </w:rPr>
              <w:t>$10,000</w:t>
            </w:r>
          </w:p>
        </w:tc>
        <w:tc>
          <w:tcPr>
            <w:tcW w:type="dxa" w:w="2340"/>
            <w:shd w:fill="F2F2F2"/>
          </w:tcPr>
          <w:p>
            <w:pPr>
              <w:spacing w:before="40" w:after="40"/>
            </w:pPr>
            <w:r>
              <w:rPr>
                <w:sz w:val="20"/>
              </w:rPr>
              <w:t>Projected</w:t>
            </w:r>
          </w:p>
        </w:tc>
        <w:tc>
          <w:tcPr>
            <w:tcW w:type="dxa" w:w="2340"/>
            <w:shd w:fill="F2F2F2"/>
          </w:tcPr>
          <w:p>
            <w:pPr>
              <w:spacing w:before="40" w:after="40"/>
            </w:pPr>
            <w:r>
              <w:rPr>
                <w:sz w:val="20"/>
              </w:rPr>
              <w:t>General operations</w:t>
            </w:r>
          </w:p>
        </w:tc>
      </w:tr>
      <w:tr>
        <w:tc>
          <w:tcPr>
            <w:tcW w:type="dxa" w:w="2340"/>
          </w:tcPr>
          <w:p>
            <w:pPr>
              <w:spacing w:before="40" w:after="40"/>
            </w:pPr>
            <w:r>
              <w:rPr>
                <w:sz w:val="20"/>
              </w:rPr>
              <w:t>City of Ottawa</w:t>
            </w:r>
          </w:p>
        </w:tc>
        <w:tc>
          <w:tcPr>
            <w:tcW w:type="dxa" w:w="2340"/>
          </w:tcPr>
          <w:p>
            <w:pPr>
              <w:spacing w:before="40" w:after="40"/>
            </w:pPr>
            <w:r>
              <w:rPr>
                <w:sz w:val="20"/>
              </w:rPr>
              <w:t>$15,000</w:t>
            </w:r>
          </w:p>
        </w:tc>
        <w:tc>
          <w:tcPr>
            <w:tcW w:type="dxa" w:w="2340"/>
          </w:tcPr>
          <w:p>
            <w:pPr>
              <w:spacing w:before="40" w:after="40"/>
            </w:pPr>
            <w:r>
              <w:rPr>
                <w:sz w:val="20"/>
              </w:rPr>
              <w:t>Pending</w:t>
            </w:r>
          </w:p>
        </w:tc>
        <w:tc>
          <w:tcPr>
            <w:tcW w:type="dxa" w:w="2340"/>
          </w:tcPr>
          <w:p>
            <w:pPr>
              <w:spacing w:before="40" w:after="40"/>
            </w:pPr>
            <w:r>
              <w:rPr>
                <w:sz w:val="20"/>
              </w:rPr>
              <w:t>Youth services</w:t>
            </w:r>
          </w:p>
        </w:tc>
      </w:tr>
    </w:tbl>
    <w:p/>
    <w:p>
      <w:pPr>
        <w:spacing w:before="120" w:after="120"/>
        <w:pBdr>
          <w:bottom w:val="single" w:sz="6" w:space="1" w:color="003366"/>
        </w:pBdr>
      </w:pPr>
    </w:p>
    <w:p>
      <w:pPr>
        <w:pStyle w:val="Heading2"/>
      </w:pPr>
      <w:r>
        <w:t>SUSTAINABILITY PLAN</w:t>
      </w:r>
    </w:p>
    <w:p>
      <w:pPr>
        <w:pStyle w:val="Heading3"/>
      </w:pPr>
      <w:r>
        <w:t>Beyond United Way Funding</w:t>
      </w:r>
    </w:p>
    <w:p>
      <w:r>
        <w:rPr>
          <w:b/>
        </w:rPr>
        <w:t>Year 1-2:</w:t>
      </w:r>
      <w:r>
        <w:t>Diversify funding sources</w:t>
      </w:r>
    </w:p>
    <w:p>
      <w:pPr>
        <w:pStyle w:val="ListBullet"/>
      </w:pPr>
      <w:r>
        <w:t>Apply to Ontario Trillium Foundation (confirmed $50,000)</w:t>
      </w:r>
    </w:p>
    <w:p>
      <w:pPr>
        <w:pStyle w:val="ListBullet"/>
      </w:pPr>
      <w:r>
        <w:t>Develop corporate sponsorship program (target: $20,000/year)</w:t>
      </w:r>
    </w:p>
    <w:p>
      <w:pPr>
        <w:pStyle w:val="ListBullet"/>
      </w:pPr>
      <w:r>
        <w:t>Launch monthly giving program (target: $15,000/year)</w:t>
      </w:r>
    </w:p>
    <w:p>
      <w:pPr>
        <w:pStyle w:val="ListBullet"/>
      </w:pPr>
      <w:r>
        <w:t>Apply to additional foundations (target: 3 applications/year)</w:t>
      </w:r>
    </w:p>
    <w:p>
      <w:r>
        <w:rPr>
          <w:b/>
        </w:rPr>
        <w:t>Year 3+:</w:t>
      </w:r>
      <w:r>
        <w:t>Institutionalize program</w:t>
      </w:r>
    </w:p>
    <w:p>
      <w:pPr>
        <w:pStyle w:val="ListBullet"/>
      </w:pPr>
      <w:r>
        <w:t>Integrate mentoring into organizational core programs</w:t>
      </w:r>
    </w:p>
    <w:p>
      <w:pPr>
        <w:pStyle w:val="ListBullet"/>
      </w:pPr>
      <w:r>
        <w:t>Train volunteers to support mentor recruitment</w:t>
      </w:r>
    </w:p>
    <w:p>
      <w:pPr>
        <w:pStyle w:val="ListBullet"/>
      </w:pPr>
      <w:r>
        <w:t>Develop fee-for-service training for other organizations</w:t>
      </w:r>
    </w:p>
    <w:p>
      <w:pPr>
        <w:pStyle w:val="Heading3"/>
      </w:pPr>
      <w:r>
        <w:t>Long-term Vision</w:t>
      </w:r>
    </w:p>
    <w:p>
      <w:pPr>
        <w:pStyle w:val="GrantBody"/>
      </w:pPr>
      <w:r>
        <w:t>By 2028, Ottawa Youth Connections will serve 300 youth annually through mentoring, with diversified funding from government (40%), foundations (30%), corporate sponsors (20%), and individual donors (10%).</w:t>
      </w:r>
    </w:p>
    <w:p>
      <w:pPr>
        <w:spacing w:before="120" w:after="120"/>
        <w:pBdr>
          <w:bottom w:val="single" w:sz="6" w:space="1" w:color="003366"/>
        </w:pBdr>
      </w:pPr>
    </w:p>
    <w:p>
      <w:pPr>
        <w:pStyle w:val="Heading2"/>
      </w:pPr>
      <w:r>
        <w:t>APPENDICES</w:t>
      </w:r>
    </w:p>
    <w:p>
      <w:pPr>
        <w:pStyle w:val="Heading3"/>
      </w:pPr>
      <w:r>
        <w:t>Required Documents (Attached)</w:t>
      </w:r>
    </w:p>
    <w:p>
      <w:r>
        <w:rPr>
          <w:sz w:val="24"/>
        </w:rPr>
        <w:t xml:space="preserve">☑ </w:t>
      </w:r>
      <w:r>
        <w:t>CRA charitable registration</w:t>
      </w:r>
    </w:p>
    <w:p>
      <w:r>
        <w:rPr>
          <w:sz w:val="24"/>
        </w:rPr>
        <w:t xml:space="preserve">☑ </w:t>
      </w:r>
      <w:r>
        <w:t>Board of Directors list</w:t>
      </w:r>
    </w:p>
    <w:p>
      <w:r>
        <w:rPr>
          <w:sz w:val="24"/>
        </w:rPr>
        <w:t xml:space="preserve">☑ </w:t>
      </w:r>
      <w:r>
        <w:t>Most recent audited financial statements</w:t>
      </w:r>
    </w:p>
    <w:p>
      <w:r>
        <w:rPr>
          <w:sz w:val="24"/>
        </w:rPr>
        <w:t xml:space="preserve">☑ </w:t>
      </w:r>
      <w:r>
        <w:t>Organizational chart</w:t>
      </w:r>
    </w:p>
    <w:p>
      <w:r>
        <w:rPr>
          <w:sz w:val="24"/>
        </w:rPr>
        <w:t xml:space="preserve">☑ </w:t>
      </w:r>
      <w:r>
        <w:t>Annual report</w:t>
      </w:r>
    </w:p>
    <w:p>
      <w:pPr>
        <w:pStyle w:val="Heading3"/>
      </w:pPr>
      <w:r>
        <w:t>Supporting Documents (Attached)</w:t>
      </w:r>
    </w:p>
    <w:p>
      <w:r>
        <w:rPr>
          <w:sz w:val="24"/>
        </w:rPr>
        <w:t xml:space="preserve">☑ </w:t>
      </w:r>
      <w:r>
        <w:t>Letters of support from partner schools</w:t>
      </w:r>
    </w:p>
    <w:p>
      <w:r>
        <w:rPr>
          <w:sz w:val="24"/>
        </w:rPr>
        <w:t xml:space="preserve">☑ </w:t>
      </w:r>
      <w:r>
        <w:t>Mentor training curriculum outline</w:t>
      </w:r>
    </w:p>
    <w:p>
      <w:r>
        <w:rPr>
          <w:sz w:val="24"/>
        </w:rPr>
        <w:t xml:space="preserve">☑ </w:t>
      </w:r>
      <w:r>
        <w:t>Sample evaluation instruments</w:t>
      </w:r>
    </w:p>
    <w:p>
      <w:r>
        <w:rPr>
          <w:sz w:val="24"/>
        </w:rPr>
        <w:t xml:space="preserve">☑ </w:t>
      </w:r>
      <w:r>
        <w:t>Media coverage</w:t>
      </w:r>
    </w:p>
    <w:p>
      <w:pPr>
        <w:spacing w:before="120" w:after="120"/>
        <w:pBdr>
          <w:bottom w:val="single" w:sz="6" w:space="1" w:color="003366"/>
        </w:pBdr>
      </w:pPr>
    </w:p>
    <w:p>
      <w:r>
        <w:rPr>
          <w:b/>
        </w:rPr>
        <w:t>Sample Proposal - Fictional Organization</w:t>
      </w:r>
    </w:p>
    <w:p>
      <w:r>
        <w:rPr>
          <w:b/>
        </w:rPr>
        <w:t>Created for Training Purposes</w:t>
      </w:r>
    </w:p>
    <w:p>
      <w:r>
        <w:rPr>
          <w:b/>
        </w:rPr>
        <w:t>Created by:</w:t>
      </w:r>
      <w:r>
        <w:t>Pam, AI Grant Writing Assistant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antTitle">
    <w:name w:val="GrantTitle"/>
    <w:pPr>
      <w:spacing w:after="240"/>
      <w:jc w:val="left"/>
    </w:pPr>
    <w:rPr>
      <w:rFonts w:ascii="Calibri" w:hAnsi="Calibri"/>
      <w:b/>
      <w:color w:val="003366"/>
      <w:sz w:val="48"/>
    </w:rPr>
  </w:style>
  <w:style w:type="paragraph" w:customStyle="1" w:styleId="GrantSubtitle">
    <w:name w:val="GrantSubtitle"/>
    <w:pPr>
      <w:spacing w:after="240"/>
    </w:pPr>
    <w:rPr>
      <w:rFonts w:ascii="Calibri" w:hAnsi="Calibri"/>
      <w:i/>
      <w:color w:val="666666"/>
      <w:sz w:val="28"/>
    </w:rPr>
  </w:style>
  <w:style w:type="paragraph" w:customStyle="1" w:styleId="GrantBody">
    <w:name w:val="GrantBody"/>
    <w:pPr>
      <w:spacing w:after="160" w:line="240" w:lineRule="auto"/>
    </w:pPr>
    <w:rPr>
      <w:rFonts w:ascii="Calibri" w:hAnsi="Calibri"/>
      <w:sz w:val="22"/>
    </w:rPr>
  </w:style>
  <w:style w:type="paragraph" w:customStyle="1" w:styleId="GrantQuote">
    <w:name w:val="GrantQuote"/>
    <w:pPr>
      <w:spacing w:after="160"/>
      <w:ind w:left="720"/>
    </w:pPr>
    <w:rPr>
      <w:rFonts w:ascii="Calibri" w:hAnsi="Calibri"/>
      <w:i/>
      <w:color w:val="444444"/>
      <w:sz w:val="22"/>
    </w:rPr>
  </w:style>
  <w:style w:type="paragraph" w:customStyle="1" w:styleId="GrantCode">
    <w:name w:val="GrantCode"/>
    <w:pPr>
      <w:spacing w:after="80"/>
      <w:ind w:left="360"/>
    </w:pPr>
    <w:rPr>
      <w:rFonts w:ascii="Consolas" w:hAnsi="Consolas"/>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