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BC431" w14:textId="0D8B7586" w:rsidR="00161770" w:rsidRDefault="00161770" w:rsidP="00161770">
      <w:pPr>
        <w:jc w:val="center"/>
        <w:rPr>
          <w:rStyle w:val="margin--left--10"/>
        </w:rPr>
      </w:pPr>
      <w:r>
        <w:t xml:space="preserve">D802 – Task 3 | Robert Parham | Student ID: </w:t>
      </w:r>
      <w:r>
        <w:rPr>
          <w:rStyle w:val="margin--left--10"/>
        </w:rPr>
        <w:t>012420086</w:t>
      </w:r>
    </w:p>
    <w:p w14:paraId="11F24B9F" w14:textId="06685EC0" w:rsidR="006D2855" w:rsidRDefault="00161770" w:rsidP="00161770">
      <w:pPr>
        <w:pStyle w:val="Heading1"/>
        <w:jc w:val="center"/>
      </w:pPr>
      <w:r>
        <w:t xml:space="preserve">Building and </w:t>
      </w:r>
      <w:proofErr w:type="gramStart"/>
      <w:r>
        <w:t>Training</w:t>
      </w:r>
      <w:proofErr w:type="gramEnd"/>
      <w:r>
        <w:t xml:space="preserve"> a CNN to Classify Images</w:t>
      </w:r>
    </w:p>
    <w:p w14:paraId="5BD18EEC" w14:textId="77777777" w:rsidR="00161770" w:rsidRDefault="00161770" w:rsidP="00161770"/>
    <w:p w14:paraId="20CAB6D6" w14:textId="5584CEA5" w:rsidR="00F74D53" w:rsidRDefault="002F65D1" w:rsidP="00161770">
      <w:r>
        <w:t xml:space="preserve">In this task we will be building our model with the </w:t>
      </w:r>
      <w:proofErr w:type="spellStart"/>
      <w:r w:rsidRPr="00E856A5">
        <w:rPr>
          <w:rFonts w:ascii="Courier New" w:hAnsi="Courier New" w:cs="Courier New"/>
        </w:rPr>
        <w:t>PyTorch</w:t>
      </w:r>
      <w:proofErr w:type="spellEnd"/>
      <w:r>
        <w:t xml:space="preserve"> library and specifically its </w:t>
      </w:r>
      <w:proofErr w:type="spellStart"/>
      <w:proofErr w:type="gramStart"/>
      <w:r w:rsidRPr="00E856A5">
        <w:rPr>
          <w:rFonts w:ascii="Courier New" w:hAnsi="Courier New" w:cs="Courier New"/>
        </w:rPr>
        <w:t>torch.nn</w:t>
      </w:r>
      <w:proofErr w:type="spellEnd"/>
      <w:proofErr w:type="gramEnd"/>
      <w:r>
        <w:t xml:space="preserve"> module</w:t>
      </w:r>
      <w:r w:rsidR="00EC72EC">
        <w:t xml:space="preserve">, </w:t>
      </w:r>
      <w:r>
        <w:t xml:space="preserve">which provides the building blocks to build neural networks in Python </w:t>
      </w:r>
      <w:r w:rsidR="00FA5E4F" w:rsidRPr="00FA5E4F">
        <w:t>(</w:t>
      </w:r>
      <w:proofErr w:type="spellStart"/>
      <w:r w:rsidR="00FA5E4F" w:rsidRPr="00FA5E4F">
        <w:t>Paszke</w:t>
      </w:r>
      <w:proofErr w:type="spellEnd"/>
      <w:r w:rsidR="00FA5E4F" w:rsidRPr="00FA5E4F">
        <w:t xml:space="preserve"> et al., 2019)</w:t>
      </w:r>
      <w:r w:rsidR="00FA5E4F">
        <w:t xml:space="preserve">. </w:t>
      </w:r>
      <w:r>
        <w:t xml:space="preserve">For displaying the summary, we will use a separate library called </w:t>
      </w:r>
      <w:proofErr w:type="spellStart"/>
      <w:r w:rsidRPr="00E856A5">
        <w:rPr>
          <w:rFonts w:ascii="Courier New" w:hAnsi="Courier New" w:cs="Courier New"/>
        </w:rPr>
        <w:t>torchinfo</w:t>
      </w:r>
      <w:proofErr w:type="spellEnd"/>
      <w:r>
        <w:t xml:space="preserve"> </w:t>
      </w:r>
      <w:r w:rsidR="00EC72EC">
        <w:t xml:space="preserve">(Req B). </w:t>
      </w:r>
      <w:proofErr w:type="spellStart"/>
      <w:r w:rsidRPr="00E856A5">
        <w:rPr>
          <w:rFonts w:ascii="Courier New" w:hAnsi="Courier New" w:cs="Courier New"/>
        </w:rPr>
        <w:t>Torchinfo</w:t>
      </w:r>
      <w:proofErr w:type="spellEnd"/>
      <w:r>
        <w:t xml:space="preserve"> is built on top of </w:t>
      </w:r>
      <w:proofErr w:type="spellStart"/>
      <w:r w:rsidRPr="00E856A5">
        <w:rPr>
          <w:rFonts w:ascii="Courier New" w:hAnsi="Courier New" w:cs="Courier New"/>
        </w:rPr>
        <w:t>Py</w:t>
      </w:r>
      <w:r w:rsidR="00E856A5" w:rsidRPr="00E856A5">
        <w:rPr>
          <w:rFonts w:ascii="Courier New" w:hAnsi="Courier New" w:cs="Courier New"/>
        </w:rPr>
        <w:t>T</w:t>
      </w:r>
      <w:r w:rsidRPr="00E856A5">
        <w:rPr>
          <w:rFonts w:ascii="Courier New" w:hAnsi="Courier New" w:cs="Courier New"/>
        </w:rPr>
        <w:t>orch</w:t>
      </w:r>
      <w:proofErr w:type="spellEnd"/>
      <w:r>
        <w:t xml:space="preserve"> and is mean to be used alongside it. </w:t>
      </w:r>
      <w:proofErr w:type="spellStart"/>
      <w:r w:rsidRPr="00E856A5">
        <w:rPr>
          <w:rFonts w:ascii="Courier New" w:hAnsi="Courier New" w:cs="Courier New"/>
        </w:rPr>
        <w:t>Torchinfo</w:t>
      </w:r>
      <w:proofErr w:type="spellEnd"/>
      <w:r>
        <w:t xml:space="preserve"> outputs information </w:t>
      </w:r>
      <w:r w:rsidR="00E856A5">
        <w:t>about parameter</w:t>
      </w:r>
      <w:r>
        <w:t xml:space="preserve"> counts, </w:t>
      </w:r>
      <w:r w:rsidR="00F74D53">
        <w:t>tensor shapes, and memory usage at each layer.</w:t>
      </w:r>
    </w:p>
    <w:p w14:paraId="63015424" w14:textId="68794209" w:rsidR="00161770" w:rsidRDefault="00F74D53" w:rsidP="00161770">
      <w:r>
        <w:t>The summary displays a tabular structure showing each step in the network that the input tensor traverses. The output shape column shows the dimensions of the tensor after each layer in the network. This allows you to trace each 32x32 image as it is transformed through each layer in the network.</w:t>
      </w:r>
      <w:r w:rsidR="002F65D1">
        <w:t xml:space="preserve"> </w:t>
      </w:r>
    </w:p>
    <w:p w14:paraId="5874DD6B" w14:textId="5B731E6B" w:rsidR="00F74D53" w:rsidRDefault="00F74D53" w:rsidP="00161770">
      <w:r>
        <w:rPr>
          <w:noProof/>
        </w:rPr>
        <w:drawing>
          <wp:inline distT="0" distB="0" distL="0" distR="0" wp14:anchorId="6A62D539" wp14:editId="3E882727">
            <wp:extent cx="3373625" cy="2726293"/>
            <wp:effectExtent l="0" t="0" r="5080" b="4445"/>
            <wp:docPr id="7212669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66963" name="Picture 1" descr="A screenshot of a computer progra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416262" cy="2760749"/>
                    </a:xfrm>
                    <a:prstGeom prst="rect">
                      <a:avLst/>
                    </a:prstGeom>
                  </pic:spPr>
                </pic:pic>
              </a:graphicData>
            </a:graphic>
          </wp:inline>
        </w:drawing>
      </w:r>
    </w:p>
    <w:p w14:paraId="45A60008" w14:textId="141FCCFE" w:rsidR="00F72270" w:rsidRDefault="00F72270" w:rsidP="00161770">
      <w:r>
        <w:t xml:space="preserve">In the model show, we’ve decided to use </w:t>
      </w:r>
      <w:proofErr w:type="gramStart"/>
      <w:r>
        <w:t>6 layer</w:t>
      </w:r>
      <w:proofErr w:type="gramEnd"/>
      <w:r>
        <w:t xml:space="preserve"> types: </w:t>
      </w:r>
      <w:r w:rsidRPr="00E856A5">
        <w:rPr>
          <w:rFonts w:ascii="Courier New" w:hAnsi="Courier New" w:cs="Courier New"/>
        </w:rPr>
        <w:t>Conv2d</w:t>
      </w:r>
      <w:r>
        <w:t xml:space="preserve">, which is a convolutional layer that scans the image to detect patterns like edges and shapes. </w:t>
      </w:r>
      <w:proofErr w:type="spellStart"/>
      <w:r w:rsidRPr="00E856A5">
        <w:rPr>
          <w:rFonts w:ascii="Courier New" w:hAnsi="Courier New" w:cs="Courier New"/>
        </w:rPr>
        <w:t>ReLU</w:t>
      </w:r>
      <w:proofErr w:type="spellEnd"/>
      <w:r>
        <w:t xml:space="preserve">, which zeroes out any negative values in the input tensor to introduce nonlinearity. </w:t>
      </w:r>
      <w:r w:rsidRPr="00E856A5">
        <w:rPr>
          <w:rFonts w:ascii="Courier New" w:hAnsi="Courier New" w:cs="Courier New"/>
        </w:rPr>
        <w:t>MaxPool2d</w:t>
      </w:r>
      <w:r>
        <w:t xml:space="preserve"> shrinks the spatial dimensions by keeping only the highest values in each region scanned by the convolutional layer. </w:t>
      </w:r>
      <w:r w:rsidRPr="00E856A5">
        <w:rPr>
          <w:rFonts w:ascii="Courier New" w:hAnsi="Courier New" w:cs="Courier New"/>
        </w:rPr>
        <w:t>Flatten</w:t>
      </w:r>
      <w:r>
        <w:t xml:space="preserve">, collapses the 3D tensor into a single dimension so it can be fed into the fully connected dense layers. </w:t>
      </w:r>
      <w:r w:rsidRPr="00E856A5">
        <w:rPr>
          <w:rFonts w:ascii="Courier New" w:hAnsi="Courier New" w:cs="Courier New"/>
        </w:rPr>
        <w:t>Dropout</w:t>
      </w:r>
      <w:r>
        <w:t>, which randomly zeroes out some of the values to prevent the model from relying too heavily on any single neuron (Req B.1b).</w:t>
      </w:r>
    </w:p>
    <w:p w14:paraId="6CADB624" w14:textId="378D5FEE" w:rsidR="00F74D53" w:rsidRDefault="00EC72EC" w:rsidP="00161770">
      <w:r>
        <w:lastRenderedPageBreak/>
        <w:t xml:space="preserve">For each convolutional block that detects features of the input image, the shape is </w:t>
      </w:r>
      <w:r w:rsidRPr="00E856A5">
        <w:rPr>
          <w:rFonts w:ascii="Courier New" w:hAnsi="Courier New" w:cs="Courier New"/>
        </w:rPr>
        <w:t>[</w:t>
      </w:r>
      <w:proofErr w:type="spellStart"/>
      <w:r w:rsidRPr="00E856A5">
        <w:rPr>
          <w:rFonts w:ascii="Courier New" w:hAnsi="Courier New" w:cs="Courier New"/>
        </w:rPr>
        <w:t>batch_size</w:t>
      </w:r>
      <w:proofErr w:type="spellEnd"/>
      <w:r w:rsidRPr="00E856A5">
        <w:rPr>
          <w:rFonts w:ascii="Courier New" w:hAnsi="Courier New" w:cs="Courier New"/>
        </w:rPr>
        <w:t>, channels, height, width]</w:t>
      </w:r>
      <w:r>
        <w:t xml:space="preserve">, meaning that we fed it 1 image, with 32 channels, and the image is 32 pixels by 32 pixels. </w:t>
      </w:r>
      <w:r w:rsidR="00F74D53">
        <w:t xml:space="preserve">The summary shows that </w:t>
      </w:r>
      <w:r>
        <w:t>spatial</w:t>
      </w:r>
      <w:r w:rsidR="00F74D53">
        <w:t xml:space="preserve"> dimensions are cut in half after each </w:t>
      </w:r>
      <w:proofErr w:type="spellStart"/>
      <w:r w:rsidR="00F74D53" w:rsidRPr="00E856A5">
        <w:rPr>
          <w:rFonts w:ascii="Courier New" w:hAnsi="Courier New" w:cs="Courier New"/>
        </w:rPr>
        <w:t>MaxPool</w:t>
      </w:r>
      <w:proofErr w:type="spellEnd"/>
      <w:r w:rsidR="00F74D53">
        <w:t xml:space="preserve"> while channel depth doubles until it’s reduced to a 4x4 grid with 128 channels before flattening</w:t>
      </w:r>
      <w:r>
        <w:t xml:space="preserve"> (Req B.1c)</w:t>
      </w:r>
      <w:r w:rsidR="00F74D53">
        <w:t>.</w:t>
      </w:r>
    </w:p>
    <w:p w14:paraId="29A0BBE6" w14:textId="627B5068" w:rsidR="00F74D53" w:rsidRDefault="00F74D53" w:rsidP="00161770">
      <w:r>
        <w:t xml:space="preserve">The parameter number shows how many learnable weights each layer contains. Layers like </w:t>
      </w:r>
      <w:proofErr w:type="spellStart"/>
      <w:r w:rsidRPr="00E856A5">
        <w:rPr>
          <w:rFonts w:ascii="Courier New" w:hAnsi="Courier New" w:cs="Courier New"/>
        </w:rPr>
        <w:t>ReLU</w:t>
      </w:r>
      <w:proofErr w:type="spellEnd"/>
      <w:r>
        <w:t xml:space="preserve">, </w:t>
      </w:r>
      <w:proofErr w:type="spellStart"/>
      <w:r w:rsidRPr="00E856A5">
        <w:rPr>
          <w:rFonts w:ascii="Courier New" w:hAnsi="Courier New" w:cs="Courier New"/>
        </w:rPr>
        <w:t>MaxPool</w:t>
      </w:r>
      <w:proofErr w:type="spellEnd"/>
      <w:r>
        <w:t xml:space="preserve">, and </w:t>
      </w:r>
      <w:r w:rsidRPr="00E856A5">
        <w:rPr>
          <w:rFonts w:ascii="Courier New" w:hAnsi="Courier New" w:cs="Courier New"/>
        </w:rPr>
        <w:t>Dropout</w:t>
      </w:r>
      <w:r>
        <w:t xml:space="preserve"> don’t have learnable weights because they are fixed mathematical operations that simply restructure or modify data from the previous layer.</w:t>
      </w:r>
    </w:p>
    <w:p w14:paraId="3A8140AD" w14:textId="73D41602" w:rsidR="00F74D53" w:rsidRDefault="00F74D53" w:rsidP="00161770">
      <w:r>
        <w:t xml:space="preserve">The parameter </w:t>
      </w:r>
      <w:r w:rsidR="00E856A5">
        <w:t>counts in</w:t>
      </w:r>
      <w:r>
        <w:t xml:space="preserve"> the provided screenshot show us something important. The 3 convolutional layers account for about 93k parameters while the first</w:t>
      </w:r>
      <w:r w:rsidR="00EC72EC">
        <w:t xml:space="preserve"> </w:t>
      </w:r>
      <w:r w:rsidR="00EC72EC" w:rsidRPr="00E856A5">
        <w:rPr>
          <w:rFonts w:ascii="Courier New" w:hAnsi="Courier New" w:cs="Courier New"/>
        </w:rPr>
        <w:t>Linear</w:t>
      </w:r>
      <w:r w:rsidR="00EC72EC">
        <w:t xml:space="preserve"> layer alone contains over a million, which is about 90% of the entire model. This tells us that our model lacks efficiency, which is exactly what the model summary is designed to do, provide visibility and insight into improvements that can be made (Req B.1a).</w:t>
      </w:r>
    </w:p>
    <w:p w14:paraId="27EF6342" w14:textId="42C717BE" w:rsidR="00EC72EC" w:rsidRDefault="00EC72EC" w:rsidP="00161770">
      <w:r>
        <w:t>The 5MB size of the model tells us that it’s relatively small by modern standards, so we have some room to grow</w:t>
      </w:r>
      <w:r w:rsidR="00F72270">
        <w:t xml:space="preserve"> if we want to push for better accuracy</w:t>
      </w:r>
      <w:r>
        <w:t>.</w:t>
      </w:r>
    </w:p>
    <w:p w14:paraId="016FEB4B" w14:textId="0937F4C5" w:rsidR="00F72270" w:rsidRDefault="00F72270" w:rsidP="00161770">
      <w:r>
        <w:t xml:space="preserve">Students should discuss the number and type of each layer in the architecture. For example, there are three convolutional layers, each followed by </w:t>
      </w:r>
      <w:proofErr w:type="spellStart"/>
      <w:r w:rsidRPr="00E856A5">
        <w:rPr>
          <w:rFonts w:ascii="Courier New" w:hAnsi="Courier New" w:cs="Courier New"/>
        </w:rPr>
        <w:t>ReLU</w:t>
      </w:r>
      <w:proofErr w:type="spellEnd"/>
      <w:r>
        <w:t xml:space="preserve"> activation layer and a </w:t>
      </w:r>
      <w:proofErr w:type="spellStart"/>
      <w:r w:rsidRPr="00E856A5">
        <w:rPr>
          <w:rFonts w:ascii="Courier New" w:hAnsi="Courier New" w:cs="Courier New"/>
        </w:rPr>
        <w:t>MaxPool</w:t>
      </w:r>
      <w:proofErr w:type="spellEnd"/>
      <w:r>
        <w:t xml:space="preserve"> layer. These are referred to as “Convolutional Blocks.”</w:t>
      </w:r>
      <w:r w:rsidR="00FF730B">
        <w:t xml:space="preserve"> After the stack of convolutional blocks, a single </w:t>
      </w:r>
      <w:r w:rsidR="00FF730B" w:rsidRPr="00E856A5">
        <w:rPr>
          <w:rFonts w:ascii="Courier New" w:hAnsi="Courier New" w:cs="Courier New"/>
        </w:rPr>
        <w:t>Flatten</w:t>
      </w:r>
      <w:r w:rsidR="00FF730B">
        <w:t xml:space="preserve"> layer collapses that tensor into a single vector of values which the Fully Connected Dense layer then uses to produce the final predictions (Req C).</w:t>
      </w:r>
    </w:p>
    <w:p w14:paraId="550AAAE2" w14:textId="6F02F75F" w:rsidR="00FF730B" w:rsidRDefault="00FF730B" w:rsidP="00161770">
      <w:r>
        <w:t xml:space="preserve">The total parameter count is the most direct measure of a model’s complexity. It tells you how much the model </w:t>
      </w:r>
      <w:proofErr w:type="gramStart"/>
      <w:r>
        <w:t>is able to</w:t>
      </w:r>
      <w:proofErr w:type="gramEnd"/>
      <w:r>
        <w:t xml:space="preserve"> remember. The summary above indicates that the model shown has 1,147,466 parameters, which means that there are over a million parameters being adjusted during the training process. A larger parameter count isn’t indicative of a more accurate model necessarily though. There are diminishing returns with a greater parameter count, and a larger parameter count could put the model at risk of overfitting (Req. D).</w:t>
      </w:r>
    </w:p>
    <w:p w14:paraId="51387041" w14:textId="5D1F97C0" w:rsidR="00B719C9" w:rsidRDefault="00C44DFB" w:rsidP="00161770">
      <w:r>
        <w:t>Hyperparameter tuning should be approached as a progressively narrowing search starting with a broad random search across a broad range of values to determine which parameters have the greatest impact.</w:t>
      </w:r>
      <w:r w:rsidR="00440A1A">
        <w:t xml:space="preserve"> This approach is far more </w:t>
      </w:r>
      <w:r w:rsidR="00FA5E4F">
        <w:t>efficient</w:t>
      </w:r>
      <w:r w:rsidR="00440A1A">
        <w:t xml:space="preserve"> than sequentially trying every possible combination (called Grid Search). Once you’ve got a rough sense of which parameters are going to have the greatest impact you can continue with a Bayesian search, which builds a statistical model of the search space after each trial and uses it to make </w:t>
      </w:r>
      <w:r w:rsidR="00440A1A">
        <w:lastRenderedPageBreak/>
        <w:t xml:space="preserve">informed decisions about the next parameter to try. </w:t>
      </w:r>
      <w:r w:rsidR="00FA5E4F">
        <w:t>Libraries</w:t>
      </w:r>
      <w:r w:rsidR="00440A1A">
        <w:t xml:space="preserve"> like </w:t>
      </w:r>
      <w:proofErr w:type="spellStart"/>
      <w:r w:rsidR="00440A1A" w:rsidRPr="00FA5E4F">
        <w:rPr>
          <w:rFonts w:ascii="Courier New" w:hAnsi="Courier New" w:cs="Courier New"/>
        </w:rPr>
        <w:t>Optuna</w:t>
      </w:r>
      <w:proofErr w:type="spellEnd"/>
      <w:r w:rsidR="00440A1A">
        <w:t xml:space="preserve"> make this process seamless and easy </w:t>
      </w:r>
      <w:r w:rsidR="00FA5E4F" w:rsidRPr="00FA5E4F">
        <w:t>(Akiba et al., 2019)</w:t>
      </w:r>
      <w:r w:rsidR="00FA5E4F" w:rsidRPr="00FA5E4F">
        <w:t xml:space="preserve"> </w:t>
      </w:r>
      <w:r w:rsidR="00440A1A">
        <w:t>(Req E).</w:t>
      </w:r>
      <w:r w:rsidR="00440A1A">
        <w:t xml:space="preserve"> </w:t>
      </w:r>
    </w:p>
    <w:p w14:paraId="5A099016" w14:textId="2E38F9C6" w:rsidR="00C44DFB" w:rsidRDefault="00440A1A" w:rsidP="00161770">
      <w:r>
        <w:t xml:space="preserve">The key to hyperparameter tuning is to keep each individual trial short enough for to run many of them, since this process basically just re-trains the model from scratch over and over to see what worked best, essentially throwing proverbial spaghetti at the wall util we determine which recipe sticks best, but we have to cook more spaghetti every time we try a new recipe, which is expensive. </w:t>
      </w:r>
      <w:r w:rsidR="00FA5E4F">
        <w:t>Therefore,</w:t>
      </w:r>
      <w:r>
        <w:t xml:space="preserve"> it is important to be selective about which parameters you choose to tune and not do a full training session for each option (Req. E.1).</w:t>
      </w:r>
    </w:p>
    <w:p w14:paraId="1CDB7053" w14:textId="1F9956ED" w:rsidR="00FF730B" w:rsidRDefault="00914A78" w:rsidP="00161770">
      <w:r>
        <w:t xml:space="preserve">The hyperparameters we chose in our example study were determined by using the </w:t>
      </w:r>
      <w:r w:rsidR="00FA5E4F">
        <w:t>above-described</w:t>
      </w:r>
      <w:r>
        <w:t xml:space="preserve"> random search followed by Bayesian optimization orchestrated with </w:t>
      </w:r>
      <w:proofErr w:type="spellStart"/>
      <w:r w:rsidRPr="00FA5E4F">
        <w:rPr>
          <w:rFonts w:ascii="Courier New" w:hAnsi="Courier New" w:cs="Courier New"/>
        </w:rPr>
        <w:t>Optuna</w:t>
      </w:r>
      <w:proofErr w:type="spellEnd"/>
      <w:r>
        <w:t xml:space="preserve">. Rather than guessing, we let </w:t>
      </w:r>
      <w:proofErr w:type="spellStart"/>
      <w:r w:rsidRPr="00FA5E4F">
        <w:rPr>
          <w:rFonts w:ascii="Courier New" w:hAnsi="Courier New" w:cs="Courier New"/>
        </w:rPr>
        <w:t>Optuna</w:t>
      </w:r>
      <w:proofErr w:type="spellEnd"/>
      <w:r>
        <w:t xml:space="preserve"> run 20 trials to determine an optimal configuration. Initially I believed </w:t>
      </w:r>
      <w:proofErr w:type="spellStart"/>
      <w:r w:rsidRPr="00FA5E4F">
        <w:rPr>
          <w:rFonts w:ascii="Courier New" w:hAnsi="Courier New" w:cs="Courier New"/>
        </w:rPr>
        <w:t>AdamW</w:t>
      </w:r>
      <w:proofErr w:type="spellEnd"/>
      <w:r>
        <w:t xml:space="preserve"> would be the best optimizer along with </w:t>
      </w:r>
      <w:proofErr w:type="spellStart"/>
      <w:r w:rsidRPr="00FA5E4F">
        <w:rPr>
          <w:rFonts w:ascii="Courier New" w:hAnsi="Courier New" w:cs="Courier New"/>
        </w:rPr>
        <w:t>StepLR</w:t>
      </w:r>
      <w:proofErr w:type="spellEnd"/>
      <w:r>
        <w:t xml:space="preserve"> as the best scheduler. With these settings I was able to achieve 85% accuracy in my initial training run. </w:t>
      </w:r>
      <w:r w:rsidR="00386826">
        <w:t xml:space="preserve">We used these settings as a baseline to get started with automated tuning with </w:t>
      </w:r>
      <w:proofErr w:type="spellStart"/>
      <w:r w:rsidR="00386826" w:rsidRPr="00FA5E4F">
        <w:rPr>
          <w:rFonts w:ascii="Courier New" w:hAnsi="Courier New" w:cs="Courier New"/>
        </w:rPr>
        <w:t>Optuna</w:t>
      </w:r>
      <w:proofErr w:type="spellEnd"/>
      <w:r w:rsidR="00386826">
        <w:t xml:space="preserve"> and discovered, after only a very short evaluation, that </w:t>
      </w:r>
      <w:r w:rsidR="00386826" w:rsidRPr="00FA5E4F">
        <w:rPr>
          <w:rFonts w:ascii="Courier New" w:hAnsi="Courier New" w:cs="Courier New"/>
        </w:rPr>
        <w:t>SGD</w:t>
      </w:r>
      <w:r w:rsidR="00386826">
        <w:t xml:space="preserve"> and </w:t>
      </w:r>
      <w:proofErr w:type="spellStart"/>
      <w:r w:rsidR="00386826" w:rsidRPr="00FA5E4F">
        <w:rPr>
          <w:rFonts w:ascii="Courier New" w:hAnsi="Courier New" w:cs="Courier New"/>
        </w:rPr>
        <w:t>CosineAnnealingLR</w:t>
      </w:r>
      <w:proofErr w:type="spellEnd"/>
      <w:r w:rsidR="00386826">
        <w:t xml:space="preserve"> were a more effective combination. We also determined that an initial learning rate of about 0.0066, a batch size of 32, and a dropout of around 0.17 were an effective combination, and with this we were able to increase our accuracy by about 1%. We likely could have increased it further by running a longer evaluation with </w:t>
      </w:r>
      <w:proofErr w:type="spellStart"/>
      <w:r w:rsidR="00386826" w:rsidRPr="00FA5E4F">
        <w:rPr>
          <w:rFonts w:ascii="Courier New" w:hAnsi="Courier New" w:cs="Courier New"/>
        </w:rPr>
        <w:t>Optuna</w:t>
      </w:r>
      <w:proofErr w:type="spellEnd"/>
      <w:r w:rsidR="00386826">
        <w:t xml:space="preserve"> and possibly making some architectural changes, such as </w:t>
      </w:r>
      <w:r w:rsidR="00E856A5">
        <w:t>adding an additional Convolutional layer. Each of these different values affects training dynamics in different way, for example, the scheduler changes the learning rate after each epoch which affects convergence by ensuring that the model continues to learn rather than plateauing. Generalization, on the other hand, isn’t achieved primarily though hyperparameter tuning, but by randomizing the training data to by randomly cropping, flipping, rotating, and adjusting the brightness and other factors, before feeding the tensor through the model during training (E.2).</w:t>
      </w:r>
    </w:p>
    <w:p w14:paraId="6FC6B06C" w14:textId="583AC7C6" w:rsidR="00FA5E4F" w:rsidRPr="00FA5E4F" w:rsidRDefault="00FA5E4F" w:rsidP="00161770">
      <w:pPr>
        <w:rPr>
          <w:sz w:val="20"/>
          <w:szCs w:val="20"/>
        </w:rPr>
      </w:pPr>
      <w:r w:rsidRPr="00FA5E4F">
        <w:rPr>
          <w:sz w:val="20"/>
          <w:szCs w:val="20"/>
        </w:rPr>
        <w:t>Sources</w:t>
      </w:r>
    </w:p>
    <w:p w14:paraId="6EDBD6AF" w14:textId="33FC6287" w:rsidR="00FA5E4F" w:rsidRPr="00FA5E4F" w:rsidRDefault="00FA5E4F" w:rsidP="00FA5E4F">
      <w:pPr>
        <w:pStyle w:val="ListParagraph"/>
        <w:numPr>
          <w:ilvl w:val="0"/>
          <w:numId w:val="1"/>
        </w:numPr>
        <w:rPr>
          <w:sz w:val="20"/>
          <w:szCs w:val="20"/>
        </w:rPr>
      </w:pPr>
      <w:proofErr w:type="spellStart"/>
      <w:r w:rsidRPr="00FA5E4F">
        <w:rPr>
          <w:sz w:val="20"/>
          <w:szCs w:val="20"/>
        </w:rPr>
        <w:t>Paszke</w:t>
      </w:r>
      <w:proofErr w:type="spellEnd"/>
      <w:r w:rsidRPr="00FA5E4F">
        <w:rPr>
          <w:sz w:val="20"/>
          <w:szCs w:val="20"/>
        </w:rPr>
        <w:t xml:space="preserve">, A., Gross, S., Massa, F., Lerer, A., Bradbury, J., Chanan, G., Killeen, T., Lin, Z., </w:t>
      </w:r>
      <w:proofErr w:type="spellStart"/>
      <w:r w:rsidRPr="00FA5E4F">
        <w:rPr>
          <w:sz w:val="20"/>
          <w:szCs w:val="20"/>
        </w:rPr>
        <w:t>Gimelshein</w:t>
      </w:r>
      <w:proofErr w:type="spellEnd"/>
      <w:r w:rsidRPr="00FA5E4F">
        <w:rPr>
          <w:sz w:val="20"/>
          <w:szCs w:val="20"/>
        </w:rPr>
        <w:t xml:space="preserve">, N., </w:t>
      </w:r>
      <w:proofErr w:type="spellStart"/>
      <w:r w:rsidRPr="00FA5E4F">
        <w:rPr>
          <w:sz w:val="20"/>
          <w:szCs w:val="20"/>
        </w:rPr>
        <w:t>Antiga</w:t>
      </w:r>
      <w:proofErr w:type="spellEnd"/>
      <w:r w:rsidRPr="00FA5E4F">
        <w:rPr>
          <w:sz w:val="20"/>
          <w:szCs w:val="20"/>
        </w:rPr>
        <w:t xml:space="preserve">, L., </w:t>
      </w:r>
      <w:proofErr w:type="spellStart"/>
      <w:r w:rsidRPr="00FA5E4F">
        <w:rPr>
          <w:sz w:val="20"/>
          <w:szCs w:val="20"/>
        </w:rPr>
        <w:t>Desmaison</w:t>
      </w:r>
      <w:proofErr w:type="spellEnd"/>
      <w:r w:rsidRPr="00FA5E4F">
        <w:rPr>
          <w:sz w:val="20"/>
          <w:szCs w:val="20"/>
        </w:rPr>
        <w:t xml:space="preserve">, A., </w:t>
      </w:r>
      <w:proofErr w:type="spellStart"/>
      <w:r w:rsidRPr="00FA5E4F">
        <w:rPr>
          <w:sz w:val="20"/>
          <w:szCs w:val="20"/>
        </w:rPr>
        <w:t>Köpf</w:t>
      </w:r>
      <w:proofErr w:type="spellEnd"/>
      <w:r w:rsidRPr="00FA5E4F">
        <w:rPr>
          <w:sz w:val="20"/>
          <w:szCs w:val="20"/>
        </w:rPr>
        <w:t xml:space="preserve">, A., Yang, E., DeVito, Z., Raison, M., Tejani, A., </w:t>
      </w:r>
      <w:proofErr w:type="spellStart"/>
      <w:r w:rsidRPr="00FA5E4F">
        <w:rPr>
          <w:sz w:val="20"/>
          <w:szCs w:val="20"/>
        </w:rPr>
        <w:t>Chilamkurthy</w:t>
      </w:r>
      <w:proofErr w:type="spellEnd"/>
      <w:r w:rsidRPr="00FA5E4F">
        <w:rPr>
          <w:sz w:val="20"/>
          <w:szCs w:val="20"/>
        </w:rPr>
        <w:t xml:space="preserve">, S., Steiner, B., Fang, L., Bai, J., &amp; Chintala, S. (2019). </w:t>
      </w:r>
      <w:proofErr w:type="spellStart"/>
      <w:r w:rsidRPr="00FA5E4F">
        <w:rPr>
          <w:sz w:val="20"/>
          <w:szCs w:val="20"/>
        </w:rPr>
        <w:t>PyTorch</w:t>
      </w:r>
      <w:proofErr w:type="spellEnd"/>
      <w:r w:rsidRPr="00FA5E4F">
        <w:rPr>
          <w:sz w:val="20"/>
          <w:szCs w:val="20"/>
        </w:rPr>
        <w:t xml:space="preserve">: An imperative style, high-performance deep learning library. </w:t>
      </w:r>
      <w:r w:rsidRPr="00FA5E4F">
        <w:rPr>
          <w:i/>
          <w:iCs/>
          <w:sz w:val="20"/>
          <w:szCs w:val="20"/>
        </w:rPr>
        <w:t>Advances in Neural Information Processing Systems</w:t>
      </w:r>
      <w:r w:rsidRPr="00FA5E4F">
        <w:rPr>
          <w:sz w:val="20"/>
          <w:szCs w:val="20"/>
        </w:rPr>
        <w:t>, 32, 8024–8035.</w:t>
      </w:r>
    </w:p>
    <w:p w14:paraId="4693C77F" w14:textId="3279F4E0" w:rsidR="00FA5E4F" w:rsidRPr="00FA5E4F" w:rsidRDefault="00FA5E4F" w:rsidP="00FA5E4F">
      <w:pPr>
        <w:pStyle w:val="ListParagraph"/>
        <w:numPr>
          <w:ilvl w:val="0"/>
          <w:numId w:val="1"/>
        </w:numPr>
        <w:rPr>
          <w:sz w:val="20"/>
          <w:szCs w:val="20"/>
        </w:rPr>
      </w:pPr>
      <w:r w:rsidRPr="00FA5E4F">
        <w:rPr>
          <w:sz w:val="20"/>
          <w:szCs w:val="20"/>
        </w:rPr>
        <w:t xml:space="preserve">Akiba, T., Sano, S., Yanase, T., Ohta, T., &amp; Koyama, M. (2019). </w:t>
      </w:r>
      <w:proofErr w:type="spellStart"/>
      <w:r w:rsidRPr="00FA5E4F">
        <w:rPr>
          <w:sz w:val="20"/>
          <w:szCs w:val="20"/>
        </w:rPr>
        <w:t>Optuna</w:t>
      </w:r>
      <w:proofErr w:type="spellEnd"/>
      <w:r w:rsidRPr="00FA5E4F">
        <w:rPr>
          <w:sz w:val="20"/>
          <w:szCs w:val="20"/>
        </w:rPr>
        <w:t xml:space="preserve">: A </w:t>
      </w:r>
      <w:proofErr w:type="gramStart"/>
      <w:r w:rsidRPr="00FA5E4F">
        <w:rPr>
          <w:sz w:val="20"/>
          <w:szCs w:val="20"/>
        </w:rPr>
        <w:t>next-generation</w:t>
      </w:r>
      <w:proofErr w:type="gramEnd"/>
      <w:r w:rsidRPr="00FA5E4F">
        <w:rPr>
          <w:sz w:val="20"/>
          <w:szCs w:val="20"/>
        </w:rPr>
        <w:t xml:space="preserve"> hyperparameter optimization framework. </w:t>
      </w:r>
      <w:r w:rsidRPr="00FA5E4F">
        <w:rPr>
          <w:i/>
          <w:iCs/>
          <w:sz w:val="20"/>
          <w:szCs w:val="20"/>
        </w:rPr>
        <w:t>Proceedings of the 25th ACM SIGKDD International Conference on Knowledge Discovery &amp; Data Mining</w:t>
      </w:r>
      <w:r w:rsidRPr="00FA5E4F">
        <w:rPr>
          <w:sz w:val="20"/>
          <w:szCs w:val="20"/>
        </w:rPr>
        <w:t xml:space="preserve">, 2623–2631. </w:t>
      </w:r>
      <w:hyperlink r:id="rId6" w:tgtFrame="_blank" w:history="1">
        <w:r w:rsidRPr="00FA5E4F">
          <w:rPr>
            <w:rStyle w:val="Hyperlink"/>
            <w:sz w:val="20"/>
            <w:szCs w:val="20"/>
          </w:rPr>
          <w:t>https://doi.org/10.1145/3292500.3330701</w:t>
        </w:r>
      </w:hyperlink>
    </w:p>
    <w:sectPr w:rsidR="00FA5E4F" w:rsidRPr="00FA5E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85203"/>
    <w:multiLevelType w:val="hybridMultilevel"/>
    <w:tmpl w:val="20DCE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7447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770"/>
    <w:rsid w:val="00161770"/>
    <w:rsid w:val="002F65D1"/>
    <w:rsid w:val="00386826"/>
    <w:rsid w:val="003B44A7"/>
    <w:rsid w:val="00440A1A"/>
    <w:rsid w:val="006D2855"/>
    <w:rsid w:val="00914A78"/>
    <w:rsid w:val="00A508DD"/>
    <w:rsid w:val="00B13FB5"/>
    <w:rsid w:val="00B719C9"/>
    <w:rsid w:val="00C44DFB"/>
    <w:rsid w:val="00D15496"/>
    <w:rsid w:val="00D54078"/>
    <w:rsid w:val="00E856A5"/>
    <w:rsid w:val="00EC72EC"/>
    <w:rsid w:val="00F72270"/>
    <w:rsid w:val="00F74D53"/>
    <w:rsid w:val="00F77AD4"/>
    <w:rsid w:val="00FA5E4F"/>
    <w:rsid w:val="00FF7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2FB50F"/>
  <w15:chartTrackingRefBased/>
  <w15:docId w15:val="{B95CF6A1-1112-4541-BDE7-FC709DECB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770"/>
  </w:style>
  <w:style w:type="paragraph" w:styleId="Heading1">
    <w:name w:val="heading 1"/>
    <w:basedOn w:val="Normal"/>
    <w:next w:val="Normal"/>
    <w:link w:val="Heading1Char"/>
    <w:uiPriority w:val="9"/>
    <w:qFormat/>
    <w:rsid w:val="001617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7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7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7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7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7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7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7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7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7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17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17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7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7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7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7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7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770"/>
    <w:rPr>
      <w:rFonts w:eastAsiaTheme="majorEastAsia" w:cstheme="majorBidi"/>
      <w:color w:val="272727" w:themeColor="text1" w:themeTint="D8"/>
    </w:rPr>
  </w:style>
  <w:style w:type="paragraph" w:styleId="Title">
    <w:name w:val="Title"/>
    <w:basedOn w:val="Normal"/>
    <w:next w:val="Normal"/>
    <w:link w:val="TitleChar"/>
    <w:uiPriority w:val="10"/>
    <w:qFormat/>
    <w:rsid w:val="001617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7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7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7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770"/>
    <w:pPr>
      <w:spacing w:before="160"/>
      <w:jc w:val="center"/>
    </w:pPr>
    <w:rPr>
      <w:i/>
      <w:iCs/>
      <w:color w:val="404040" w:themeColor="text1" w:themeTint="BF"/>
    </w:rPr>
  </w:style>
  <w:style w:type="character" w:customStyle="1" w:styleId="QuoteChar">
    <w:name w:val="Quote Char"/>
    <w:basedOn w:val="DefaultParagraphFont"/>
    <w:link w:val="Quote"/>
    <w:uiPriority w:val="29"/>
    <w:rsid w:val="00161770"/>
    <w:rPr>
      <w:i/>
      <w:iCs/>
      <w:color w:val="404040" w:themeColor="text1" w:themeTint="BF"/>
    </w:rPr>
  </w:style>
  <w:style w:type="paragraph" w:styleId="ListParagraph">
    <w:name w:val="List Paragraph"/>
    <w:basedOn w:val="Normal"/>
    <w:uiPriority w:val="34"/>
    <w:qFormat/>
    <w:rsid w:val="00161770"/>
    <w:pPr>
      <w:ind w:left="720"/>
      <w:contextualSpacing/>
    </w:pPr>
  </w:style>
  <w:style w:type="character" w:styleId="IntenseEmphasis">
    <w:name w:val="Intense Emphasis"/>
    <w:basedOn w:val="DefaultParagraphFont"/>
    <w:uiPriority w:val="21"/>
    <w:qFormat/>
    <w:rsid w:val="00161770"/>
    <w:rPr>
      <w:i/>
      <w:iCs/>
      <w:color w:val="0F4761" w:themeColor="accent1" w:themeShade="BF"/>
    </w:rPr>
  </w:style>
  <w:style w:type="paragraph" w:styleId="IntenseQuote">
    <w:name w:val="Intense Quote"/>
    <w:basedOn w:val="Normal"/>
    <w:next w:val="Normal"/>
    <w:link w:val="IntenseQuoteChar"/>
    <w:uiPriority w:val="30"/>
    <w:qFormat/>
    <w:rsid w:val="001617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770"/>
    <w:rPr>
      <w:i/>
      <w:iCs/>
      <w:color w:val="0F4761" w:themeColor="accent1" w:themeShade="BF"/>
    </w:rPr>
  </w:style>
  <w:style w:type="character" w:styleId="IntenseReference">
    <w:name w:val="Intense Reference"/>
    <w:basedOn w:val="DefaultParagraphFont"/>
    <w:uiPriority w:val="32"/>
    <w:qFormat/>
    <w:rsid w:val="00161770"/>
    <w:rPr>
      <w:b/>
      <w:bCs/>
      <w:smallCaps/>
      <w:color w:val="0F4761" w:themeColor="accent1" w:themeShade="BF"/>
      <w:spacing w:val="5"/>
    </w:rPr>
  </w:style>
  <w:style w:type="character" w:customStyle="1" w:styleId="margin--left--10">
    <w:name w:val="margin--left--10"/>
    <w:basedOn w:val="DefaultParagraphFont"/>
    <w:rsid w:val="00161770"/>
  </w:style>
  <w:style w:type="character" w:styleId="Hyperlink">
    <w:name w:val="Hyperlink"/>
    <w:basedOn w:val="DefaultParagraphFont"/>
    <w:uiPriority w:val="99"/>
    <w:semiHidden/>
    <w:unhideWhenUsed/>
    <w:rsid w:val="00FA5E4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4907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doi.org/10.1145/3292500.3330701"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1082</Words>
  <Characters>6170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Parham</dc:creator>
  <cp:keywords/>
  <dc:description/>
  <cp:lastModifiedBy>Robert Parham</cp:lastModifiedBy>
  <cp:revision>2</cp:revision>
  <dcterms:created xsi:type="dcterms:W3CDTF">2026-06-28T17:19:00Z</dcterms:created>
  <dcterms:modified xsi:type="dcterms:W3CDTF">2026-06-28T17:19:00Z</dcterms:modified>
</cp:coreProperties>
</file>