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color w:val="000000"/>
        </w:rPr>
      </w:pPr>
      <w:r w:rsidDel="00000000" w:rsidR="00000000" w:rsidRPr="00000000">
        <w:rPr>
          <w:rtl w:val="0"/>
        </w:rPr>
        <w:t xml:space="preserve">ESCUELA SUPERIOR POLITÉCNICA DEL LITORAL FACULTAD DE </w:t>
      </w:r>
      <w:r w:rsidDel="00000000" w:rsidR="00000000" w:rsidRPr="00000000">
        <w:rPr>
          <w:color w:val="000000"/>
          <w:rtl w:val="0"/>
        </w:rPr>
        <w:t xml:space="preserve">INGENIERÍA </w:t>
      </w:r>
      <w:r w:rsidDel="00000000" w:rsidR="00000000" w:rsidRPr="00000000">
        <w:rPr>
          <w:rtl w:val="0"/>
        </w:rPr>
        <w:t xml:space="preserve">ELÉCTRICA</w:t>
      </w:r>
      <w:r w:rsidDel="00000000" w:rsidR="00000000" w:rsidRPr="00000000">
        <w:rPr>
          <w:color w:val="000000"/>
          <w:rtl w:val="0"/>
        </w:rPr>
        <w:t xml:space="preserve"> Y COMPUTACIÓN</w:t>
      </w:r>
    </w:p>
    <w:p w:rsidR="00000000" w:rsidDel="00000000" w:rsidP="00000000" w:rsidRDefault="00000000" w:rsidRPr="00000000" w14:paraId="00000002">
      <w:pPr>
        <w:pStyle w:val="Heading1"/>
        <w:spacing w:line="360" w:lineRule="auto"/>
        <w:jc w:val="center"/>
        <w:rPr/>
      </w:pPr>
      <w:r w:rsidDel="00000000" w:rsidR="00000000" w:rsidRPr="00000000">
        <w:rPr>
          <w:color w:val="000000"/>
          <w:rtl w:val="0"/>
        </w:rPr>
        <w:t xml:space="preserve">MAESTRÍA EN CIENCIA DE DATOS E INTELIGENCIA ARTIFICIAL</w:t>
      </w:r>
      <w:r w:rsidDel="00000000" w:rsidR="00000000" w:rsidRPr="00000000">
        <w:rPr>
          <w:rtl w:val="0"/>
        </w:rPr>
      </w:r>
    </w:p>
    <w:p w:rsidR="00000000" w:rsidDel="00000000" w:rsidP="00000000" w:rsidRDefault="00000000" w:rsidRPr="00000000" w14:paraId="00000003">
      <w:pPr>
        <w:pStyle w:val="Heading1"/>
        <w:spacing w:line="360" w:lineRule="auto"/>
        <w:jc w:val="center"/>
        <w:rPr/>
      </w:pPr>
      <w:r w:rsidDel="00000000" w:rsidR="00000000" w:rsidRPr="00000000">
        <w:rPr>
          <w:rtl w:val="0"/>
        </w:rPr>
        <w:t xml:space="preserve">PROPUESTA DEL TRABAJO DE TITULACIÓN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88" w:lineRule="auto"/>
        <w:rPr>
          <w:b w:val="1"/>
          <w:bCs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88" w:lineRule="auto"/>
        <w:rPr>
          <w:b w:val="1"/>
          <w:bCs w:val="1"/>
          <w:color w:val="000000"/>
          <w:sz w:val="24"/>
          <w:szCs w:val="24"/>
        </w:rPr>
      </w:pPr>
      <w:r w:rsidDel="00000000" w:rsidR="00000000" w:rsidRPr="00000000">
        <w:rPr>
          <w:rtl w:val="0"/>
        </w:rPr>
      </w:r>
    </w:p>
    <w:p w:rsidR="00000000" w:rsidDel="00000000" w:rsidP="00000000" w:rsidRDefault="00000000" w:rsidRPr="00000000" w14:paraId="00000006">
      <w:pPr>
        <w:ind w:left="361" w:firstLine="0"/>
        <w:rPr>
          <w:b w:val="1"/>
          <w:bCs w:val="1"/>
          <w:sz w:val="24"/>
          <w:szCs w:val="24"/>
        </w:rPr>
      </w:pPr>
      <w:r w:rsidDel="00000000" w:rsidR="00000000" w:rsidRPr="00000000">
        <w:rPr>
          <w:b w:val="1"/>
          <w:bCs w:val="1"/>
          <w:sz w:val="24"/>
          <w:szCs w:val="24"/>
          <w:rtl w:val="0"/>
        </w:rPr>
        <w:t xml:space="preserve">Fecha de Presentación de la propuesta: </w:t>
      </w:r>
      <w:r w:rsidDel="00000000" w:rsidR="00000000" w:rsidRPr="00000000">
        <w:rPr>
          <w:b w:val="1"/>
          <w:bCs w:val="1"/>
          <w:color w:val="adaaaa"/>
          <w:sz w:val="24"/>
          <w:szCs w:val="24"/>
          <w:rtl w:val="0"/>
        </w:rPr>
        <w:t xml:space="preserve">17/08/2026</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tabs>
          <w:tab w:val="left" w:leader="none" w:pos="720"/>
        </w:tabs>
        <w:spacing w:before="183" w:lineRule="auto"/>
        <w:ind w:left="720" w:hanging="359"/>
        <w:rPr>
          <w:color w:val="000000"/>
        </w:rPr>
      </w:pPr>
      <w:r w:rsidDel="00000000" w:rsidR="00000000" w:rsidRPr="00000000">
        <w:rPr>
          <w:b w:val="1"/>
          <w:bCs w:val="1"/>
          <w:color w:val="000000"/>
          <w:sz w:val="24"/>
          <w:szCs w:val="24"/>
          <w:rtl w:val="0"/>
        </w:rPr>
        <w:t xml:space="preserve">Datos personales del/los estudiantes</w:t>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91" w:lineRule="auto"/>
        <w:rPr>
          <w:b w:val="1"/>
          <w:bCs w:val="1"/>
          <w:color w:val="000000"/>
          <w:sz w:val="20"/>
          <w:szCs w:val="20"/>
        </w:rPr>
      </w:pPr>
      <w:r w:rsidDel="00000000" w:rsidR="00000000" w:rsidRPr="00000000">
        <w:rPr>
          <w:rtl w:val="0"/>
        </w:rPr>
      </w:r>
    </w:p>
    <w:tbl>
      <w:tblPr>
        <w:tblStyle w:val="Table1"/>
        <w:tblW w:w="9453.0" w:type="dxa"/>
        <w:jc w:val="left"/>
        <w:tblInd w:w="7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3597"/>
        <w:gridCol w:w="3597"/>
        <w:tblGridChange w:id="0">
          <w:tblGrid>
            <w:gridCol w:w="2259"/>
            <w:gridCol w:w="3597"/>
            <w:gridCol w:w="3597"/>
          </w:tblGrid>
        </w:tblGridChange>
      </w:tblGrid>
      <w:tr>
        <w:trPr>
          <w:cantSplit w:val="0"/>
          <w:trHeight w:val="454" w:hRule="atLeast"/>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107" w:firstLine="0"/>
              <w:rPr>
                <w:b w:val="1"/>
                <w:bCs w:val="1"/>
                <w:color w:val="000000"/>
                <w:sz w:val="24"/>
                <w:szCs w:val="24"/>
              </w:rPr>
            </w:pPr>
            <w:r w:rsidDel="00000000" w:rsidR="00000000" w:rsidRPr="00000000">
              <w:rPr>
                <w:b w:val="1"/>
                <w:bCs w:val="1"/>
                <w:color w:val="000000"/>
                <w:sz w:val="24"/>
                <w:szCs w:val="24"/>
                <w:rtl w:val="0"/>
              </w:rPr>
              <w:t xml:space="preserve">Apellidos del estudiante:</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Rugel Diaz</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Sanchez Acosta</w:t>
            </w:r>
          </w:p>
        </w:tc>
      </w:tr>
      <w:tr>
        <w:trPr>
          <w:cantSplit w:val="0"/>
          <w:trHeight w:val="456"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107" w:firstLine="0"/>
              <w:rPr>
                <w:b w:val="1"/>
                <w:bCs w:val="1"/>
                <w:color w:val="000000"/>
                <w:sz w:val="24"/>
                <w:szCs w:val="24"/>
              </w:rPr>
            </w:pPr>
            <w:r w:rsidDel="00000000" w:rsidR="00000000" w:rsidRPr="00000000">
              <w:rPr>
                <w:b w:val="1"/>
                <w:bCs w:val="1"/>
                <w:color w:val="000000"/>
                <w:sz w:val="24"/>
                <w:szCs w:val="24"/>
                <w:rtl w:val="0"/>
              </w:rPr>
              <w:t xml:space="preserve">Nombres del estudiante: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Pamela Nayeli</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Carlos Luis</w:t>
            </w:r>
          </w:p>
        </w:tc>
      </w:tr>
      <w:tr>
        <w:trPr>
          <w:cantSplit w:val="0"/>
          <w:trHeight w:val="456" w:hRule="atLeast"/>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107" w:firstLine="0"/>
              <w:rPr>
                <w:b w:val="1"/>
                <w:bCs w:val="1"/>
                <w:color w:val="000000"/>
                <w:sz w:val="24"/>
                <w:szCs w:val="24"/>
              </w:rPr>
            </w:pPr>
            <w:r w:rsidDel="00000000" w:rsidR="00000000" w:rsidRPr="00000000">
              <w:rPr>
                <w:b w:val="1"/>
                <w:bCs w:val="1"/>
                <w:color w:val="000000"/>
                <w:sz w:val="24"/>
                <w:szCs w:val="24"/>
                <w:rtl w:val="0"/>
              </w:rPr>
              <w:t xml:space="preserve">Cédula de identidad:</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0950213389</w:t>
            </w:r>
            <w:r w:rsidDel="00000000" w:rsidR="00000000" w:rsidRPr="00000000">
              <w:rPr>
                <w:rtl w:val="0"/>
              </w:rPr>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0925353146</w:t>
            </w:r>
          </w:p>
        </w:tc>
      </w:tr>
      <w:tr>
        <w:trPr>
          <w:cantSplit w:val="0"/>
          <w:trHeight w:val="454" w:hRule="atLeast"/>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ind w:left="107" w:firstLine="0"/>
              <w:rPr>
                <w:b w:val="1"/>
                <w:bCs w:val="1"/>
                <w:color w:val="000000"/>
                <w:sz w:val="24"/>
                <w:szCs w:val="24"/>
              </w:rPr>
            </w:pPr>
            <w:r w:rsidDel="00000000" w:rsidR="00000000" w:rsidRPr="00000000">
              <w:rPr>
                <w:b w:val="1"/>
                <w:bCs w:val="1"/>
                <w:color w:val="000000"/>
                <w:sz w:val="24"/>
                <w:szCs w:val="24"/>
                <w:rtl w:val="0"/>
              </w:rPr>
              <w:t xml:space="preserve">Correo electrónico:</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parudiaz@espol.edu.ec</w:t>
              </w:r>
            </w:hyperlink>
            <w:r w:rsidDel="00000000" w:rsidR="00000000" w:rsidRPr="00000000">
              <w:rPr>
                <w:rtl w:val="0"/>
              </w:rPr>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carlsanc@espol.edu.ec</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41" w:lineRule="auto"/>
        <w:rPr>
          <w:b w:val="1"/>
          <w:bCs w:val="1"/>
          <w:color w:val="000000"/>
          <w:sz w:val="24"/>
          <w:szCs w:val="24"/>
        </w:rPr>
      </w:pPr>
      <w:r w:rsidDel="00000000" w:rsidR="00000000" w:rsidRPr="00000000">
        <w:rPr>
          <w:rtl w:val="0"/>
        </w:rPr>
      </w:r>
    </w:p>
    <w:p w:rsidR="00000000" w:rsidDel="00000000" w:rsidP="00000000" w:rsidRDefault="00000000" w:rsidRPr="00000000" w14:paraId="00000017">
      <w:pPr>
        <w:pStyle w:val="Heading1"/>
        <w:numPr>
          <w:ilvl w:val="0"/>
          <w:numId w:val="1"/>
        </w:numPr>
        <w:tabs>
          <w:tab w:val="left" w:leader="none" w:pos="720"/>
        </w:tabs>
        <w:ind w:left="720" w:hanging="359"/>
        <w:rPr/>
      </w:pPr>
      <w:r w:rsidDel="00000000" w:rsidR="00000000" w:rsidRPr="00000000">
        <w:rPr>
          <w:rtl w:val="0"/>
        </w:rPr>
        <w:t xml:space="preserve">Título del proyecto de titulación propuesto.</w:t>
      </w:r>
    </w:p>
    <w:p w:rsidR="00000000" w:rsidDel="00000000" w:rsidP="00000000" w:rsidRDefault="00000000" w:rsidRPr="00000000" w14:paraId="00000018">
      <w:pPr>
        <w:pStyle w:val="Heading1"/>
        <w:tabs>
          <w:tab w:val="left" w:leader="none" w:pos="789"/>
        </w:tabs>
        <w:spacing w:before="2" w:lineRule="auto"/>
        <w:ind w:left="789" w:firstLine="0"/>
        <w:rPr>
          <w:sz w:val="26"/>
          <w:szCs w:val="26"/>
        </w:rPr>
      </w:pPr>
      <w:r w:rsidDel="00000000" w:rsidR="00000000" w:rsidRPr="00000000">
        <w:rPr>
          <w:rtl w:val="0"/>
        </w:rPr>
      </w:r>
    </w:p>
    <w:p w:rsidR="00000000" w:rsidDel="00000000" w:rsidP="00000000" w:rsidRDefault="00000000" w:rsidRPr="00000000" w14:paraId="00000019">
      <w:pPr>
        <w:widowControl w:val="1"/>
        <w:spacing w:after="160" w:line="259" w:lineRule="auto"/>
        <w:ind w:firstLine="720"/>
        <w:rPr>
          <w:sz w:val="24"/>
          <w:szCs w:val="24"/>
        </w:rPr>
      </w:pPr>
      <w:r w:rsidDel="00000000" w:rsidR="00000000" w:rsidRPr="00000000">
        <w:rPr>
          <w:sz w:val="24"/>
          <w:szCs w:val="24"/>
          <w:rtl w:val="0"/>
        </w:rPr>
        <w:t xml:space="preserve">Sistema de Generación de Perfiles del Personal Docente y Administrativo en ESPOL para</w:t>
      </w:r>
    </w:p>
    <w:p w:rsidR="00000000" w:rsidDel="00000000" w:rsidP="00000000" w:rsidRDefault="00000000" w:rsidRPr="00000000" w14:paraId="0000001A">
      <w:pPr>
        <w:widowControl w:val="1"/>
        <w:spacing w:after="160" w:line="259" w:lineRule="auto"/>
        <w:ind w:firstLine="720"/>
        <w:rPr>
          <w:sz w:val="24"/>
          <w:szCs w:val="24"/>
        </w:rPr>
      </w:pPr>
      <w:r w:rsidDel="00000000" w:rsidR="00000000" w:rsidRPr="00000000">
        <w:rPr>
          <w:sz w:val="24"/>
          <w:szCs w:val="24"/>
          <w:rtl w:val="0"/>
        </w:rPr>
        <w:t xml:space="preserve">la asignación inteligente de tareas.</w:t>
      </w:r>
    </w:p>
    <w:p w:rsidR="00000000" w:rsidDel="00000000" w:rsidP="00000000" w:rsidRDefault="00000000" w:rsidRPr="00000000" w14:paraId="0000001B">
      <w:pPr>
        <w:pStyle w:val="Heading1"/>
        <w:tabs>
          <w:tab w:val="left" w:leader="none" w:pos="789"/>
        </w:tabs>
        <w:spacing w:before="2" w:lineRule="auto"/>
        <w:ind w:left="0" w:firstLine="0"/>
        <w:rPr/>
      </w:pPr>
      <w:r w:rsidDel="00000000" w:rsidR="00000000" w:rsidRPr="00000000">
        <w:rPr>
          <w:rtl w:val="0"/>
        </w:rPr>
      </w:r>
    </w:p>
    <w:p w:rsidR="00000000" w:rsidDel="00000000" w:rsidP="00000000" w:rsidRDefault="00000000" w:rsidRPr="00000000" w14:paraId="0000001C">
      <w:pPr>
        <w:pStyle w:val="Heading1"/>
        <w:numPr>
          <w:ilvl w:val="0"/>
          <w:numId w:val="1"/>
        </w:numPr>
        <w:tabs>
          <w:tab w:val="left" w:leader="none" w:pos="789"/>
        </w:tabs>
        <w:spacing w:before="2" w:lineRule="auto"/>
        <w:ind w:left="789" w:hanging="427"/>
        <w:rPr/>
      </w:pPr>
      <w:r w:rsidDel="00000000" w:rsidR="00000000" w:rsidRPr="00000000">
        <w:rPr>
          <w:rtl w:val="0"/>
        </w:rPr>
        <w:t xml:space="preserve">Objetivos de desarrollo sostenible relacionados en su propuesta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36" w:lineRule="auto"/>
        <w:ind w:left="722" w:firstLine="0"/>
        <w:jc w:val="both"/>
        <w:rPr>
          <w:color w:val="000000"/>
          <w:sz w:val="24"/>
          <w:szCs w:val="24"/>
        </w:rPr>
      </w:pPr>
      <w:r w:rsidDel="00000000" w:rsidR="00000000" w:rsidRPr="00000000">
        <w:rPr>
          <w:color w:val="000000"/>
          <w:sz w:val="24"/>
          <w:szCs w:val="24"/>
          <w:rtl w:val="0"/>
        </w:rPr>
        <w:t xml:space="preserve">Educación de Calidad</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36" w:lineRule="auto"/>
        <w:ind w:left="722" w:firstLine="0"/>
        <w:jc w:val="both"/>
        <w:rPr>
          <w:color w:val="000000"/>
          <w:sz w:val="24"/>
          <w:szCs w:val="24"/>
        </w:rPr>
      </w:pPr>
      <w:r w:rsidDel="00000000" w:rsidR="00000000" w:rsidRPr="00000000">
        <w:rPr>
          <w:color w:val="000000"/>
          <w:sz w:val="24"/>
          <w:szCs w:val="24"/>
          <w:rtl w:val="0"/>
        </w:rPr>
        <w:t xml:space="preserve">Trabajo Decente y Crecimiento Económico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36" w:lineRule="auto"/>
        <w:ind w:left="722" w:firstLine="0"/>
        <w:jc w:val="both"/>
        <w:rPr>
          <w:sz w:val="24"/>
          <w:szCs w:val="24"/>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721"/>
        </w:tabs>
        <w:spacing w:before="140" w:lineRule="auto"/>
        <w:ind w:left="721" w:hanging="359"/>
        <w:rPr/>
      </w:pPr>
      <w:r w:rsidDel="00000000" w:rsidR="00000000" w:rsidRPr="00000000">
        <w:rPr>
          <w:rtl w:val="0"/>
        </w:rPr>
        <w:t xml:space="preserve">Antecedentes</w:t>
      </w:r>
    </w:p>
    <w:p w:rsidR="00000000" w:rsidDel="00000000" w:rsidP="00000000" w:rsidRDefault="00000000" w:rsidRPr="00000000" w14:paraId="00000021">
      <w:pPr>
        <w:widowControl w:val="1"/>
        <w:spacing w:after="240" w:before="240" w:line="360" w:lineRule="auto"/>
        <w:ind w:left="708" w:firstLine="10.999999999999943"/>
        <w:jc w:val="both"/>
        <w:rPr>
          <w:sz w:val="24"/>
          <w:szCs w:val="24"/>
        </w:rPr>
      </w:pPr>
      <w:r w:rsidDel="00000000" w:rsidR="00000000" w:rsidRPr="00000000">
        <w:rPr>
          <w:color w:val="222222"/>
          <w:sz w:val="24"/>
          <w:szCs w:val="24"/>
          <w:highlight w:val="white"/>
          <w:rtl w:val="0"/>
        </w:rPr>
        <w:t xml:space="preserve">Las instituciones de educación superior enfrentan un entorno competitivo que dificulta mantener el desempeño docente. Aunque la calidad del profesorado es vital para el éxito académico y el prestigio institucional, la escasez de recursos y las exigencias de transparencia complican la gestión del talento, haciendo indispensable comprender a fondo los factores que impulsan su rendimiento (He et al., 2026).</w:t>
      </w:r>
      <w:r w:rsidDel="00000000" w:rsidR="00000000" w:rsidRPr="00000000">
        <w:rPr>
          <w:rtl w:val="0"/>
        </w:rPr>
      </w:r>
    </w:p>
    <w:p w:rsidR="00000000" w:rsidDel="00000000" w:rsidP="00000000" w:rsidRDefault="00000000" w:rsidRPr="00000000" w14:paraId="00000022">
      <w:pPr>
        <w:widowControl w:val="1"/>
        <w:spacing w:after="240" w:before="240" w:line="360" w:lineRule="auto"/>
        <w:ind w:left="708" w:firstLine="0"/>
        <w:jc w:val="both"/>
        <w:rPr>
          <w:sz w:val="24"/>
          <w:szCs w:val="24"/>
        </w:rPr>
      </w:pPr>
      <w:r w:rsidDel="00000000" w:rsidR="00000000" w:rsidRPr="00000000">
        <w:rPr>
          <w:color w:val="222222"/>
          <w:sz w:val="24"/>
          <w:szCs w:val="24"/>
          <w:highlight w:val="white"/>
          <w:rtl w:val="0"/>
        </w:rPr>
        <w:t xml:space="preserve">Desde esta perspectiva, diversos estudios señalan que la eficiencia organizacional debe analizarse como el resultado de múltiples dimensiones interrelacionadas, entre las que destacan el capital humano, la estructura interna y el liderazgo (Minbaeva, 2018) (Zhu et al., 2018). En este sentido, el desempeño institucional no depende únicamente de indicadores técnicos, sino también de la capacidad de la organización para potenciar y gestionar su talento. Así, variables objetivas como </w:t>
      </w:r>
      <w:r w:rsidDel="00000000" w:rsidR="00000000" w:rsidRPr="00000000">
        <w:rPr>
          <w:color w:val="222222"/>
          <w:sz w:val="24"/>
          <w:szCs w:val="24"/>
          <w:rtl w:val="0"/>
        </w:rPr>
        <w:t xml:space="preserve">la formación, la experiencia y la trayectoria profesional se complementan con información cualitativa proveniente de distintas fuentes institucionales, la cual puede aportar evidencia adicional para caracterizar el perfil del personal y apoyar los procesos de gestión del talento humano</w:t>
      </w:r>
      <w:r w:rsidDel="00000000" w:rsidR="00000000" w:rsidRPr="00000000">
        <w:rPr>
          <w:color w:val="222222"/>
          <w:sz w:val="24"/>
          <w:szCs w:val="24"/>
          <w:highlight w:val="white"/>
          <w:rtl w:val="0"/>
        </w:rPr>
        <w:t xml:space="preserve"> (Fegade &amp; Sharma, 2023).</w:t>
      </w:r>
      <w:r w:rsidDel="00000000" w:rsidR="00000000" w:rsidRPr="00000000">
        <w:rPr>
          <w:rtl w:val="0"/>
        </w:rPr>
      </w:r>
    </w:p>
    <w:p w:rsidR="00000000" w:rsidDel="00000000" w:rsidP="00000000" w:rsidRDefault="00000000" w:rsidRPr="00000000" w14:paraId="00000023">
      <w:pPr>
        <w:widowControl w:val="1"/>
        <w:spacing w:after="240" w:before="240" w:line="360" w:lineRule="auto"/>
        <w:ind w:left="708" w:firstLine="0"/>
        <w:jc w:val="both"/>
        <w:rPr>
          <w:sz w:val="24"/>
          <w:szCs w:val="24"/>
        </w:rPr>
      </w:pPr>
      <w:r w:rsidDel="00000000" w:rsidR="00000000" w:rsidRPr="00000000">
        <w:rPr>
          <w:sz w:val="24"/>
          <w:szCs w:val="24"/>
          <w:rtl w:val="0"/>
        </w:rPr>
        <w:t xml:space="preserve">(Stevens, 2023 ) utilizó un análisis de clúster jerárquico para clasificar a los docentes e identificar tipologías. Aunque su enfoque era dirigido a capacidades de adaptación frente a clases virtuales, se evidenció que este análisis basado en perfiles multidimensionales es una herramienta valiosa como apoyo en el proceso de gestión. Basándose en variables categóricas relacionadas al estrés, actitudes, creencias, etc., es posible descubrir perfiles docentes complejos que no son visibles de forma convencional.</w:t>
      </w:r>
    </w:p>
    <w:p w:rsidR="00000000" w:rsidDel="00000000" w:rsidP="00000000" w:rsidRDefault="00000000" w:rsidRPr="00000000" w14:paraId="00000024">
      <w:pPr>
        <w:widowControl w:val="1"/>
        <w:spacing w:after="240" w:before="240" w:line="360" w:lineRule="auto"/>
        <w:ind w:left="708" w:firstLine="0"/>
        <w:jc w:val="both"/>
        <w:rPr>
          <w:sz w:val="24"/>
          <w:szCs w:val="24"/>
        </w:rPr>
      </w:pPr>
      <w:r w:rsidDel="00000000" w:rsidR="00000000" w:rsidRPr="00000000">
        <w:rPr>
          <w:sz w:val="24"/>
          <w:szCs w:val="24"/>
          <w:rtl w:val="0"/>
        </w:rPr>
        <w:t xml:space="preserve">El Procesamiento de Lenguaje Natural (NLP) constituye una herramienta valiosa para extraer conocimiento de documentos textuales como currículos (Quito et al., 2025, #127-145) integran técnicas de NLP dentro de un sistema de recomendación para la asignación de profesores, evidenciando el potencial de estas técnicas como complemento para la toma de decisiones.</w:t>
      </w:r>
    </w:p>
    <w:p w:rsidR="00000000" w:rsidDel="00000000" w:rsidP="00000000" w:rsidRDefault="00000000" w:rsidRPr="00000000" w14:paraId="00000025">
      <w:pPr>
        <w:widowControl w:val="1"/>
        <w:spacing w:after="240" w:before="240" w:line="360" w:lineRule="auto"/>
        <w:ind w:left="708" w:firstLine="0"/>
        <w:jc w:val="both"/>
        <w:rPr>
          <w:sz w:val="24"/>
          <w:szCs w:val="24"/>
          <w:highlight w:val="red"/>
        </w:rPr>
      </w:pPr>
      <w:r w:rsidDel="00000000" w:rsidR="00000000" w:rsidRPr="00000000">
        <w:rPr>
          <w:sz w:val="24"/>
          <w:szCs w:val="24"/>
          <w:rtl w:val="0"/>
        </w:rPr>
        <w:t xml:space="preserve">Otras de las técnicas que se aplican son la Ingeniería de Características para unificar fuentes dispersas y la Inteligencia Artificial Explicable (XAI) para garantizar que los hallazgos sean interpretables y transparentes.  El uso de técnicas como SHAP o LIME permiten entender el porqué del comportamiento de los modelos y datos, ya sea para identificación de sesgos o darle más detalle a los posibles perfiles de personal de ESPOL (Magham, 2024, #461-469).</w:t>
      </w:r>
      <w:r w:rsidDel="00000000" w:rsidR="00000000" w:rsidRPr="00000000">
        <w:rPr>
          <w:rtl w:val="0"/>
        </w:rPr>
      </w:r>
    </w:p>
    <w:p w:rsidR="00000000" w:rsidDel="00000000" w:rsidP="00000000" w:rsidRDefault="00000000" w:rsidRPr="00000000" w14:paraId="00000026">
      <w:pPr>
        <w:widowControl w:val="1"/>
        <w:spacing w:after="240" w:before="240" w:line="360" w:lineRule="auto"/>
        <w:ind w:left="708" w:firstLine="0"/>
        <w:jc w:val="both"/>
        <w:rPr>
          <w:sz w:val="24"/>
          <w:szCs w:val="24"/>
        </w:rPr>
      </w:pPr>
      <w:r w:rsidDel="00000000" w:rsidR="00000000" w:rsidRPr="00000000">
        <w:rPr>
          <w:sz w:val="24"/>
          <w:szCs w:val="24"/>
          <w:rtl w:val="0"/>
        </w:rPr>
        <w:t xml:space="preserve">Asimismo, (Alvarez Garcia et al., 2024) respalda el uso de técnicas de clustering e inteligencia artificial explicable facilita la interpretación de patrones descubiertos en datos heterogéneos, incrementando su utilidad como herramienta de apoyo para la toma de decisiones. </w:t>
      </w:r>
    </w:p>
    <w:p w:rsidR="00000000" w:rsidDel="00000000" w:rsidP="00000000" w:rsidRDefault="00000000" w:rsidRPr="00000000" w14:paraId="00000027">
      <w:pPr>
        <w:widowControl w:val="1"/>
        <w:spacing w:after="240" w:before="240" w:line="360" w:lineRule="auto"/>
        <w:ind w:left="708" w:firstLine="0"/>
        <w:jc w:val="both"/>
        <w:rPr>
          <w:color w:val="000000"/>
          <w:sz w:val="24"/>
          <w:szCs w:val="24"/>
        </w:rPr>
      </w:pPr>
      <w:r w:rsidDel="00000000" w:rsidR="00000000" w:rsidRPr="00000000">
        <w:rPr>
          <w:sz w:val="24"/>
          <w:szCs w:val="24"/>
          <w:rtl w:val="0"/>
        </w:rPr>
        <w:t xml:space="preserve">En un contexto donde las instituciones de educación superior generan información de manera constante, la adopción de analítica avanzada se vuelve el factor clave para evolucionar hacia una gestión del talento humano de vanguardia y basada en datos.</w:t>
      </w:r>
      <w:r w:rsidDel="00000000" w:rsidR="00000000" w:rsidRPr="00000000">
        <w:rPr>
          <w:rtl w:val="0"/>
        </w:rPr>
      </w:r>
    </w:p>
    <w:p w:rsidR="00000000" w:rsidDel="00000000" w:rsidP="00000000" w:rsidRDefault="00000000" w:rsidRPr="00000000" w14:paraId="00000028">
      <w:pPr>
        <w:pStyle w:val="Heading1"/>
        <w:numPr>
          <w:ilvl w:val="0"/>
          <w:numId w:val="1"/>
        </w:numPr>
        <w:tabs>
          <w:tab w:val="left" w:leader="none" w:pos="721"/>
        </w:tabs>
        <w:spacing w:before="2" w:lineRule="auto"/>
        <w:ind w:left="721" w:hanging="359"/>
        <w:rPr/>
      </w:pPr>
      <w:r w:rsidDel="00000000" w:rsidR="00000000" w:rsidRPr="00000000">
        <w:rPr>
          <w:rtl w:val="0"/>
        </w:rPr>
        <w:t xml:space="preserve">Problema a resolver</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2" w:firstLine="0"/>
        <w:rPr>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36" w:line="360" w:lineRule="auto"/>
        <w:ind w:left="721" w:firstLine="0"/>
        <w:jc w:val="both"/>
        <w:rPr>
          <w:sz w:val="24"/>
          <w:szCs w:val="24"/>
        </w:rPr>
      </w:pPr>
      <w:r w:rsidDel="00000000" w:rsidR="00000000" w:rsidRPr="00000000">
        <w:rPr>
          <w:color w:val="000000"/>
          <w:sz w:val="24"/>
          <w:szCs w:val="24"/>
          <w:rtl w:val="0"/>
        </w:rPr>
        <w:t xml:space="preserve">En ESPOL, los procesos de selección y contratación de personal docente y administrativo requieren la revisión manual de información que proviene de múltiples fuentes. A pesar de contar con datos históricos de los postulantes, estos no son aprovechados para identificar perfiles y patrones que faciliten la toma de decisiones. Esto se evidencia en el tiempo invertido en la evaluación, revisión de documentos de candidatos y en la ausencia de herramientas analíticas que conviertan esta información </w:t>
      </w:r>
      <w:r w:rsidDel="00000000" w:rsidR="00000000" w:rsidRPr="00000000">
        <w:rPr>
          <w:sz w:val="24"/>
          <w:szCs w:val="24"/>
          <w:rtl w:val="0"/>
        </w:rPr>
        <w:t xml:space="preserve">en conocimiento útil para apoyar procesos estratégicos relacionados con la selección, asignación de responsabilidades, conformación de equipos y planificación institucional</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36" w:line="360" w:lineRule="auto"/>
        <w:ind w:left="721" w:firstLine="0"/>
        <w:rPr>
          <w:sz w:val="24"/>
          <w:szCs w:val="24"/>
        </w:rPr>
      </w:pPr>
      <w:r w:rsidDel="00000000" w:rsidR="00000000" w:rsidRPr="00000000">
        <w:rPr>
          <w:rtl w:val="0"/>
        </w:rPr>
      </w:r>
    </w:p>
    <w:p w:rsidR="00000000" w:rsidDel="00000000" w:rsidP="00000000" w:rsidRDefault="00000000" w:rsidRPr="00000000" w14:paraId="0000002C">
      <w:pPr>
        <w:widowControl w:val="1"/>
        <w:spacing w:line="360" w:lineRule="auto"/>
        <w:ind w:left="708" w:firstLine="0"/>
        <w:jc w:val="both"/>
        <w:rPr>
          <w:sz w:val="24"/>
          <w:szCs w:val="24"/>
        </w:rPr>
      </w:pPr>
      <w:r w:rsidDel="00000000" w:rsidR="00000000" w:rsidRPr="00000000">
        <w:rPr>
          <w:sz w:val="24"/>
          <w:szCs w:val="24"/>
          <w:rtl w:val="0"/>
        </w:rPr>
        <w:t xml:space="preserve">Actualmente, la administración del departamento de talento humano en la ESPOL se basa en un marco regulatorio institucional compuesto por reglamentos y normativas internas, los cuales definen de manera formal aspectos como:</w:t>
      </w:r>
    </w:p>
    <w:p w:rsidR="00000000" w:rsidDel="00000000" w:rsidP="00000000" w:rsidRDefault="00000000" w:rsidRPr="00000000" w14:paraId="0000002D">
      <w:pPr>
        <w:widowControl w:val="1"/>
        <w:spacing w:line="360" w:lineRule="auto"/>
        <w:ind w:left="708" w:firstLine="720.0000000000001"/>
        <w:jc w:val="both"/>
        <w:rPr>
          <w:sz w:val="24"/>
          <w:szCs w:val="24"/>
        </w:rPr>
      </w:pPr>
      <w:r w:rsidDel="00000000" w:rsidR="00000000" w:rsidRPr="00000000">
        <w:rPr>
          <w:rtl w:val="0"/>
        </w:rPr>
      </w:r>
    </w:p>
    <w:p w:rsidR="00000000" w:rsidDel="00000000" w:rsidP="00000000" w:rsidRDefault="00000000" w:rsidRPr="00000000" w14:paraId="0000002E">
      <w:pPr>
        <w:widowControl w:val="1"/>
        <w:numPr>
          <w:ilvl w:val="0"/>
          <w:numId w:val="7"/>
        </w:numPr>
        <w:spacing w:line="360" w:lineRule="auto"/>
        <w:ind w:left="708" w:firstLine="720.0000000000001"/>
        <w:jc w:val="both"/>
        <w:rPr>
          <w:sz w:val="24"/>
          <w:szCs w:val="24"/>
        </w:rPr>
      </w:pPr>
      <w:r w:rsidDel="00000000" w:rsidR="00000000" w:rsidRPr="00000000">
        <w:rPr>
          <w:sz w:val="24"/>
          <w:szCs w:val="24"/>
          <w:rtl w:val="0"/>
        </w:rPr>
        <w:t xml:space="preserve">Las categorías del personal (tipos de profesores o cargos administrativos)</w:t>
      </w:r>
    </w:p>
    <w:p w:rsidR="00000000" w:rsidDel="00000000" w:rsidP="00000000" w:rsidRDefault="00000000" w:rsidRPr="00000000" w14:paraId="0000002F">
      <w:pPr>
        <w:widowControl w:val="1"/>
        <w:numPr>
          <w:ilvl w:val="0"/>
          <w:numId w:val="7"/>
        </w:numPr>
        <w:spacing w:line="360" w:lineRule="auto"/>
        <w:ind w:left="708" w:firstLine="720.0000000000001"/>
        <w:jc w:val="both"/>
        <w:rPr>
          <w:sz w:val="24"/>
          <w:szCs w:val="24"/>
        </w:rPr>
      </w:pPr>
      <w:r w:rsidDel="00000000" w:rsidR="00000000" w:rsidRPr="00000000">
        <w:rPr>
          <w:sz w:val="24"/>
          <w:szCs w:val="24"/>
          <w:rtl w:val="0"/>
        </w:rPr>
        <w:t xml:space="preserve">Los criterios de evaluación (formación académica, experiencia, producción, desempeño)</w:t>
      </w:r>
    </w:p>
    <w:p w:rsidR="00000000" w:rsidDel="00000000" w:rsidP="00000000" w:rsidRDefault="00000000" w:rsidRPr="00000000" w14:paraId="00000030">
      <w:pPr>
        <w:widowControl w:val="1"/>
        <w:numPr>
          <w:ilvl w:val="0"/>
          <w:numId w:val="7"/>
        </w:numPr>
        <w:spacing w:line="360" w:lineRule="auto"/>
        <w:ind w:left="708" w:firstLine="720.0000000000001"/>
        <w:jc w:val="both"/>
        <w:rPr>
          <w:sz w:val="24"/>
          <w:szCs w:val="24"/>
        </w:rPr>
      </w:pPr>
      <w:r w:rsidDel="00000000" w:rsidR="00000000" w:rsidRPr="00000000">
        <w:rPr>
          <w:sz w:val="24"/>
          <w:szCs w:val="24"/>
          <w:rtl w:val="0"/>
        </w:rPr>
        <w:t xml:space="preserve">Los sistemas de puntuación y requisitos necesarios para procesos como ingreso, permanencia o promoción</w:t>
      </w:r>
    </w:p>
    <w:p w:rsidR="00000000" w:rsidDel="00000000" w:rsidP="00000000" w:rsidRDefault="00000000" w:rsidRPr="00000000" w14:paraId="00000031">
      <w:pPr>
        <w:widowControl w:val="1"/>
        <w:spacing w:line="360" w:lineRule="auto"/>
        <w:ind w:left="708" w:firstLine="720.0000000000001"/>
        <w:jc w:val="both"/>
        <w:rPr>
          <w:sz w:val="24"/>
          <w:szCs w:val="24"/>
        </w:rPr>
      </w:pPr>
      <w:r w:rsidDel="00000000" w:rsidR="00000000" w:rsidRPr="00000000">
        <w:rPr>
          <w:rtl w:val="0"/>
        </w:rPr>
      </w:r>
    </w:p>
    <w:p w:rsidR="00000000" w:rsidDel="00000000" w:rsidP="00000000" w:rsidRDefault="00000000" w:rsidRPr="00000000" w14:paraId="00000032">
      <w:pPr>
        <w:widowControl w:val="1"/>
        <w:spacing w:line="360" w:lineRule="auto"/>
        <w:ind w:left="708" w:firstLine="0"/>
        <w:jc w:val="both"/>
        <w:rPr>
          <w:sz w:val="24"/>
          <w:szCs w:val="24"/>
        </w:rPr>
      </w:pPr>
      <w:r w:rsidDel="00000000" w:rsidR="00000000" w:rsidRPr="00000000">
        <w:rPr>
          <w:sz w:val="24"/>
          <w:szCs w:val="24"/>
          <w:rtl w:val="0"/>
        </w:rPr>
        <w:t xml:space="preserve">El conjunto de reglas establece lineamientos claros y estandarizados para la gestión del personal. No obstante, estas normas no cubren en su totalidad todos los aspectos necesarios en los procesos estratégicos de gestión del talento humano. En consecuencia, en la práctica también se recurre al conocimiento, la experiencia y el criterio del personal responsable para complementar la toma de decisiones cuando deben analizarse características que no pueden ser determinadas únicamente mediante reglas o requisitos establecidos. </w:t>
      </w:r>
    </w:p>
    <w:p w:rsidR="00000000" w:rsidDel="00000000" w:rsidP="00000000" w:rsidRDefault="00000000" w:rsidRPr="00000000" w14:paraId="00000033">
      <w:pPr>
        <w:widowControl w:val="1"/>
        <w:spacing w:line="360" w:lineRule="auto"/>
        <w:ind w:left="708" w:firstLine="720.0000000000001"/>
        <w:jc w:val="both"/>
        <w:rPr>
          <w:sz w:val="24"/>
          <w:szCs w:val="24"/>
        </w:rPr>
      </w:pPr>
      <w:r w:rsidDel="00000000" w:rsidR="00000000" w:rsidRPr="00000000">
        <w:rPr>
          <w:rtl w:val="0"/>
        </w:rPr>
      </w:r>
    </w:p>
    <w:p w:rsidR="00000000" w:rsidDel="00000000" w:rsidP="00000000" w:rsidRDefault="00000000" w:rsidRPr="00000000" w14:paraId="00000034">
      <w:pPr>
        <w:widowControl w:val="1"/>
        <w:spacing w:after="160" w:line="360" w:lineRule="auto"/>
        <w:ind w:left="708" w:firstLine="0"/>
        <w:jc w:val="both"/>
        <w:rPr>
          <w:sz w:val="24"/>
          <w:szCs w:val="24"/>
        </w:rPr>
      </w:pPr>
      <w:r w:rsidDel="00000000" w:rsidR="00000000" w:rsidRPr="00000000">
        <w:rPr>
          <w:sz w:val="24"/>
          <w:szCs w:val="24"/>
          <w:rtl w:val="0"/>
        </w:rPr>
        <w:t xml:space="preserve">A pesar de que la base de datos de la ESPOL contiene registros sobre la trayectoria profesional y académica del personal la cual es tomada en cuenta para procesos de contratación, esta información presenta fragmentación y una estructuración insuficiente. Esta dispersión limita y dificulta el análisis integral y la identificación de patrones en los datos institucionales, impidiendo una analítica eficaz para la gestión del talento y la toma de decisiones (Karwehl &amp; Kauffeld, 2021, 7-24).</w:t>
      </w:r>
    </w:p>
    <w:p w:rsidR="00000000" w:rsidDel="00000000" w:rsidP="00000000" w:rsidRDefault="00000000" w:rsidRPr="00000000" w14:paraId="00000035">
      <w:pPr>
        <w:widowControl w:val="1"/>
        <w:spacing w:after="240" w:before="240" w:line="360" w:lineRule="auto"/>
        <w:ind w:left="708" w:firstLine="0"/>
        <w:jc w:val="both"/>
        <w:rPr>
          <w:sz w:val="24"/>
          <w:szCs w:val="24"/>
        </w:rPr>
      </w:pPr>
      <w:r w:rsidDel="00000000" w:rsidR="00000000" w:rsidRPr="00000000">
        <w:rPr>
          <w:sz w:val="24"/>
          <w:szCs w:val="24"/>
          <w:rtl w:val="0"/>
        </w:rPr>
        <w:t xml:space="preserve">Existe un volumen considerable de información no estructurada como currículos, y reportes académicos, que alberga conocimiento sobre las competencias y el desempeño docente. Al carecer de un análisis sistemático, la caracterización del personal se limita a categorías administrativas tradicionales, omitiendo patrones complejos de alto valor institucional. </w:t>
      </w:r>
    </w:p>
    <w:p w:rsidR="00000000" w:rsidDel="00000000" w:rsidP="00000000" w:rsidRDefault="00000000" w:rsidRPr="00000000" w14:paraId="00000036">
      <w:pPr>
        <w:widowControl w:val="1"/>
        <w:spacing w:after="240" w:before="240" w:line="360" w:lineRule="auto"/>
        <w:ind w:left="708" w:firstLine="0"/>
        <w:jc w:val="both"/>
        <w:rPr>
          <w:sz w:val="24"/>
          <w:szCs w:val="24"/>
        </w:rPr>
      </w:pPr>
      <w:r w:rsidDel="00000000" w:rsidR="00000000" w:rsidRPr="00000000">
        <w:rPr>
          <w:sz w:val="24"/>
          <w:szCs w:val="24"/>
          <w:rtl w:val="0"/>
        </w:rPr>
        <w:t xml:space="preserve">Omitir la información oculta de los datos no estructurados es un problema frecuente en muchos procesos de selección, la investigación de (Asfahani, 2024) resalta que existe información crítica sobre competencias y desempeño de personal, pero frecuentemente pasan inadvertidos porque no hay mecanismos adecuados para extraer la información</w:t>
      </w:r>
    </w:p>
    <w:p w:rsidR="00000000" w:rsidDel="00000000" w:rsidP="00000000" w:rsidRDefault="00000000" w:rsidRPr="00000000" w14:paraId="00000037">
      <w:pPr>
        <w:widowControl w:val="1"/>
        <w:spacing w:after="240" w:before="240" w:line="360" w:lineRule="auto"/>
        <w:ind w:left="708" w:firstLine="0"/>
        <w:jc w:val="both"/>
        <w:rPr>
          <w:sz w:val="24"/>
          <w:szCs w:val="24"/>
        </w:rPr>
      </w:pPr>
      <w:r w:rsidDel="00000000" w:rsidR="00000000" w:rsidRPr="00000000">
        <w:rPr>
          <w:sz w:val="24"/>
          <w:szCs w:val="24"/>
          <w:rtl w:val="0"/>
        </w:rPr>
        <w:t xml:space="preserve">Este volumen considerable de información también representa un problema, tal como señala la investigación de (Horodyski, 2023, 100298), en donde se destaca que procesos manuales relacionados a revisión documental y selección de personal, generan una carga operativa elevada.</w:t>
      </w:r>
    </w:p>
    <w:p w:rsidR="00000000" w:rsidDel="00000000" w:rsidP="00000000" w:rsidRDefault="00000000" w:rsidRPr="00000000" w14:paraId="00000038">
      <w:pPr>
        <w:widowControl w:val="1"/>
        <w:spacing w:after="240" w:before="240" w:line="360" w:lineRule="auto"/>
        <w:ind w:left="708" w:firstLine="0"/>
        <w:jc w:val="both"/>
        <w:rPr>
          <w:sz w:val="24"/>
          <w:szCs w:val="24"/>
        </w:rPr>
      </w:pPr>
      <w:r w:rsidDel="00000000" w:rsidR="00000000" w:rsidRPr="00000000">
        <w:rPr>
          <w:sz w:val="24"/>
          <w:szCs w:val="24"/>
          <w:rtl w:val="0"/>
        </w:rPr>
        <w:t xml:space="preserve">La falta de soporte analítico basado en datos históricos provoca que procesos estratégicos, tales como la conformación de comisiones, la planificación académica y la asignación de responsabilidades, se ejecuten de forma manual y subjetiva. En consecuencia, la institución desaprovecha su capital de datos, perdiendo la oportunidad de descubrir identificar patrones y perfiles potencialmente útiles como apoyo para la toma de decisiones.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36" w:line="360" w:lineRule="auto"/>
        <w:rPr>
          <w:sz w:val="24"/>
          <w:szCs w:val="24"/>
        </w:rPr>
      </w:pPr>
      <w:r w:rsidDel="00000000" w:rsidR="00000000" w:rsidRPr="00000000">
        <w:rPr>
          <w:rtl w:val="0"/>
        </w:rPr>
      </w:r>
    </w:p>
    <w:p w:rsidR="00000000" w:rsidDel="00000000" w:rsidP="00000000" w:rsidRDefault="00000000" w:rsidRPr="00000000" w14:paraId="0000003A">
      <w:pPr>
        <w:pStyle w:val="Heading1"/>
        <w:numPr>
          <w:ilvl w:val="0"/>
          <w:numId w:val="1"/>
        </w:numPr>
        <w:tabs>
          <w:tab w:val="left" w:leader="none" w:pos="721"/>
        </w:tabs>
        <w:spacing w:before="139" w:lineRule="auto"/>
        <w:ind w:left="721" w:hanging="359"/>
        <w:rPr/>
      </w:pPr>
      <w:r w:rsidDel="00000000" w:rsidR="00000000" w:rsidRPr="00000000">
        <w:rPr>
          <w:rtl w:val="0"/>
        </w:rPr>
        <w:t xml:space="preserve">Alcance del proyecto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right="109"/>
        <w:jc w:val="both"/>
        <w:rPr>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sz w:val="24"/>
          <w:szCs w:val="24"/>
          <w:rtl w:val="0"/>
        </w:rPr>
        <w:t xml:space="preserve">El actual proyecto se desarrollará en la Escuela Superior Politécnica del Litoral (ESPOL), está dirigido a la Dirección de Talento Humano y a las unidades tanto académicas como administrativas encargadas de la gestión del personal docente y administrativo.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sz w:val="24"/>
          <w:szCs w:val="24"/>
          <w:rtl w:val="0"/>
        </w:rPr>
        <w:t xml:space="preserve">El sistema integrará información estructurada y no estructurada para la generación de perfiles multidimensionales del personal mediante técnicas de analítica de datos e inteligencia artificial, incorporando mecanismos de interpretabilidad para explicar los distintos perfiles obtenidos.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sz w:val="24"/>
          <w:szCs w:val="24"/>
          <w:rtl w:val="0"/>
        </w:rPr>
        <w:t xml:space="preserve">Los perfiles servirán como apoyo para la asignación inteligente de tareas, la conformación de comisiones, la integración de equipos de trabajo y la planificación académica y administrativa. El sistema complementará la toma de decisiones, sin reemplazar los criterios institucionales.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710" w:right="109" w:firstLine="0"/>
        <w:jc w:val="both"/>
        <w:rPr>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710" w:right="109" w:firstLine="0"/>
        <w:jc w:val="both"/>
        <w:rPr>
          <w:color w:val="000000"/>
          <w:sz w:val="24"/>
          <w:szCs w:val="24"/>
        </w:rPr>
      </w:pPr>
      <w:r w:rsidDel="00000000" w:rsidR="00000000" w:rsidRPr="00000000">
        <w:rPr>
          <w:sz w:val="24"/>
          <w:szCs w:val="24"/>
          <w:rtl w:val="0"/>
        </w:rPr>
        <w:t xml:space="preserve">El alcance se limita a la información histórica disponible en la ESPOL. Como horizonte temporal, el sistema estará diseñado para un uso institucional continuo, con actualizaciones periódicas conforme se incorporen nuevos datos.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37" w:lineRule="auto"/>
        <w:rPr>
          <w:color w:val="000000"/>
          <w:sz w:val="24"/>
          <w:szCs w:val="24"/>
        </w:rPr>
      </w:pPr>
      <w:r w:rsidDel="00000000" w:rsidR="00000000" w:rsidRPr="00000000">
        <w:rPr>
          <w:rtl w:val="0"/>
        </w:rPr>
      </w:r>
    </w:p>
    <w:p w:rsidR="00000000" w:rsidDel="00000000" w:rsidP="00000000" w:rsidRDefault="00000000" w:rsidRPr="00000000" w14:paraId="00000044">
      <w:pPr>
        <w:pStyle w:val="Heading1"/>
        <w:numPr>
          <w:ilvl w:val="0"/>
          <w:numId w:val="1"/>
        </w:numPr>
        <w:tabs>
          <w:tab w:val="left" w:leader="none" w:pos="721"/>
        </w:tabs>
        <w:ind w:left="721" w:hanging="359"/>
        <w:rPr/>
      </w:pPr>
      <w:r w:rsidDel="00000000" w:rsidR="00000000" w:rsidRPr="00000000">
        <w:rPr>
          <w:rtl w:val="0"/>
        </w:rPr>
        <w:t xml:space="preserve">Objetivos General y Específicos.</w:t>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Objetivo General:</w:t>
      </w:r>
    </w:p>
    <w:p w:rsidR="00000000" w:rsidDel="00000000" w:rsidP="00000000" w:rsidRDefault="00000000" w:rsidRPr="00000000" w14:paraId="00000048">
      <w:pPr>
        <w:pStyle w:val="Heading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modelo de perfilamiento del personal docente y administrativo de ESPOL, basado en información estructurada y no estructurada proveniente de datos históricos institucionales, mediante técnicas de minería de datos, procesamiento de lenguaje natural y aprendizaje automático, con el propósito de apoyar la toma de decisiones en procesos estratégicos institucionales.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Objetivos específicos:</w:t>
      </w:r>
    </w:p>
    <w:p w:rsidR="00000000" w:rsidDel="00000000" w:rsidP="00000000" w:rsidRDefault="00000000" w:rsidRPr="00000000" w14:paraId="0000004C">
      <w:pPr>
        <w:pStyle w:val="Heading1"/>
        <w:rPr/>
      </w:pPr>
      <w:r w:rsidDel="00000000" w:rsidR="00000000" w:rsidRPr="00000000">
        <w:rPr>
          <w:rtl w:val="0"/>
        </w:rPr>
        <w:br w:type="textWrapping"/>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información estructurada y no estructurada del personal mediante procesos de limpieza, transformación, extracción de características y representación semántica, con el fin de construir una base de conocimiento unificada para el modelo analítico.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perfiles del personal docente y administrativo mediante técnicas de agrupamiento y procesamiento de texto, con la finalidad de descubrir patrones presentes en la información institucional, tales como trayectorias, experiencias o características comunes. </w:t>
      </w:r>
      <w:r w:rsidDel="00000000" w:rsidR="00000000" w:rsidRPr="00000000">
        <w:rPr>
          <w:rtl w:val="0"/>
        </w:rPr>
      </w:r>
    </w:p>
    <w:p w:rsidR="00000000" w:rsidDel="00000000" w:rsidP="00000000" w:rsidRDefault="00000000" w:rsidRPr="00000000" w14:paraId="0000005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los resultados del modelo mediante técnicas de inteligencia artificial explicable para garantizar la interpretabilidad de las recomendaciones generadas como apoyo a procesos estratégicos institucionales.</w:t>
      </w:r>
      <w:r w:rsidDel="00000000" w:rsidR="00000000" w:rsidRPr="00000000">
        <w:rPr>
          <w:rtl w:val="0"/>
        </w:rPr>
      </w:r>
    </w:p>
    <w:p w:rsidR="00000000" w:rsidDel="00000000" w:rsidP="00000000" w:rsidRDefault="00000000" w:rsidRPr="00000000" w14:paraId="0000005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sectPr>
          <w:pgSz w:h="16840" w:w="11910" w:orient="portrait"/>
          <w:pgMar w:bottom="1037" w:top="1224" w:left="850" w:right="706" w:header="72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prototipo que permita visualizar los perfiles generados por el modelo mediante herramientas visuales y utilizarlos como apoyo para la toma de decisiones institucionales. </w:t>
      </w:r>
      <w:r w:rsidDel="00000000" w:rsidR="00000000" w:rsidRPr="00000000">
        <w:rPr>
          <w:rtl w:val="0"/>
        </w:rPr>
      </w:r>
    </w:p>
    <w:p w:rsidR="00000000" w:rsidDel="00000000" w:rsidP="00000000" w:rsidRDefault="00000000" w:rsidRPr="00000000" w14:paraId="00000054">
      <w:pPr>
        <w:pStyle w:val="Heading1"/>
        <w:tabs>
          <w:tab w:val="left" w:leader="none" w:pos="720"/>
        </w:tabs>
        <w:ind w:left="722" w:firstLine="0"/>
        <w:rPr/>
      </w:pPr>
      <w:r w:rsidDel="00000000" w:rsidR="00000000" w:rsidRPr="00000000">
        <w:rPr>
          <w:rtl w:val="0"/>
        </w:rPr>
      </w:r>
    </w:p>
    <w:p w:rsidR="00000000" w:rsidDel="00000000" w:rsidP="00000000" w:rsidRDefault="00000000" w:rsidRPr="00000000" w14:paraId="00000055">
      <w:pPr>
        <w:tabs>
          <w:tab w:val="left" w:leader="none" w:pos="720"/>
        </w:tabs>
        <w:rPr>
          <w:sz w:val="24"/>
          <w:szCs w:val="24"/>
        </w:rPr>
      </w:pPr>
      <w:r w:rsidDel="00000000" w:rsidR="00000000" w:rsidRPr="00000000">
        <w:rPr>
          <w:rtl w:val="0"/>
        </w:rPr>
      </w:r>
    </w:p>
    <w:p w:rsidR="00000000" w:rsidDel="00000000" w:rsidP="00000000" w:rsidRDefault="00000000" w:rsidRPr="00000000" w14:paraId="00000056">
      <w:pPr>
        <w:pStyle w:val="Heading1"/>
        <w:numPr>
          <w:ilvl w:val="0"/>
          <w:numId w:val="1"/>
        </w:numPr>
        <w:tabs>
          <w:tab w:val="left" w:leader="none" w:pos="721"/>
        </w:tabs>
        <w:ind w:left="720" w:hanging="359"/>
        <w:rPr/>
      </w:pPr>
      <w:r w:rsidDel="00000000" w:rsidR="00000000" w:rsidRPr="00000000">
        <w:rPr>
          <w:rtl w:val="0"/>
        </w:rPr>
        <w:t xml:space="preserve">Metodología que aplicará para resolver el problema propuesto.</w:t>
      </w:r>
    </w:p>
    <w:p w:rsidR="00000000" w:rsidDel="00000000" w:rsidP="00000000" w:rsidRDefault="00000000" w:rsidRPr="00000000" w14:paraId="0000005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360" w:lineRule="auto"/>
        <w:ind w:left="720" w:firstLine="0"/>
        <w:jc w:val="both"/>
        <w:rPr>
          <w:sz w:val="24"/>
          <w:szCs w:val="24"/>
        </w:rPr>
      </w:pPr>
      <w:r w:rsidDel="00000000" w:rsidR="00000000" w:rsidRPr="00000000">
        <w:rPr>
          <w:sz w:val="24"/>
          <w:szCs w:val="24"/>
          <w:rtl w:val="0"/>
        </w:rPr>
        <w:t xml:space="preserve">Para el desarrollo de este proyecto, se realizará un análisis exhaustivo de los sistemas de información de la Escuela Superior Politécnica del Litoral (ESPOL), integrando datos de la Gerencia de Tecnologías, Talento Humano y sistemas académicos. El objetivo es identificar patrones de comportamiento y trayectoria del personal docente y administrativo mediante el siguiente esquema secuencial:</w:t>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pStyle w:val="Heading1"/>
        <w:numPr>
          <w:ilvl w:val="0"/>
          <w:numId w:val="3"/>
        </w:numPr>
        <w:tabs>
          <w:tab w:val="left" w:leader="none" w:pos="721"/>
        </w:tabs>
        <w:spacing w:before="1" w:lineRule="auto"/>
        <w:ind w:left="720" w:hanging="360"/>
        <w:rPr/>
      </w:pPr>
      <w:r w:rsidDel="00000000" w:rsidR="00000000" w:rsidRPr="00000000">
        <w:rPr>
          <w:rtl w:val="0"/>
        </w:rPr>
        <w:t xml:space="preserve">Fase 1: Extracción de datos de diferentes fuentes y servicios institucionales</w:t>
      </w:r>
    </w:p>
    <w:p w:rsidR="00000000" w:rsidDel="00000000" w:rsidP="00000000" w:rsidRDefault="00000000" w:rsidRPr="00000000" w14:paraId="0000005B">
      <w:pPr>
        <w:pStyle w:val="Heading1"/>
        <w:tabs>
          <w:tab w:val="left" w:leader="none" w:pos="721"/>
        </w:tabs>
        <w:spacing w:before="1" w:lineRule="auto"/>
        <w:ind w:left="72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definirá un catálogo de variables relevantes que abarque la historia laboral del personal, incluyendo contrataciones, experiencias, proyectos, capacitaciones y direcciones de tesis. La información será recopilada desde diferentes fuentes institucionales como: bases de datos de sistemas de gestión de personal (sistema de talento humano)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académicos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servicios de información y documentos con información no estructurada.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implementará un flujo de ETL utilizando el motor de IBM DB2 para la extracción directa desde las bases, y tecnologías como Pentaho o Postman para el consumo y consolidación de servicios institucionales. Entre los principales servicios se considerarán servicios de postgrado (con información sobre tesis, postulaciones, etc), comentarios de cenacad (sistema para evaluación y retroalimentación de estudiantes sobre los cursos tomados con docentes)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etapa se priorizará la consolidación de registros históricos y datos no estructurados (contenido de investigaciones y tesis) para facilitar su posterior tratamiento masivo.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numPr>
          <w:ilvl w:val="0"/>
          <w:numId w:val="4"/>
        </w:numPr>
        <w:tabs>
          <w:tab w:val="left" w:leader="none" w:pos="721"/>
        </w:tabs>
        <w:spacing w:before="1" w:lineRule="auto"/>
        <w:ind w:left="720" w:hanging="360"/>
        <w:rPr/>
      </w:pPr>
      <w:r w:rsidDel="00000000" w:rsidR="00000000" w:rsidRPr="00000000">
        <w:rPr>
          <w:rtl w:val="0"/>
        </w:rPr>
        <w:t xml:space="preserve">Fase 2: Procesamiento de datos para creación de variables</w:t>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spacing w:line="360" w:lineRule="auto"/>
        <w:ind w:left="630" w:firstLine="0"/>
        <w:jc w:val="both"/>
        <w:rPr>
          <w:sz w:val="24"/>
          <w:szCs w:val="24"/>
        </w:rPr>
      </w:pPr>
      <w:r w:rsidDel="00000000" w:rsidR="00000000" w:rsidRPr="00000000">
        <w:rPr>
          <w:sz w:val="24"/>
          <w:szCs w:val="24"/>
          <w:rtl w:val="0"/>
        </w:rPr>
        <w:t xml:space="preserve">Utilizando Python, se llevará a cabo una depuración profunda de la base de datos consolidada. Este proceso incluye la identificación y tratamiento de datos atípicos (outliers), la corrección de inconsistencias en la información histórica y la aplicación de técnicas de imputación para asegurar la integridad del dataset antes de la fase de modelado.</w:t>
      </w:r>
    </w:p>
    <w:p w:rsidR="00000000" w:rsidDel="00000000" w:rsidP="00000000" w:rsidRDefault="00000000" w:rsidRPr="00000000" w14:paraId="00000065">
      <w:pPr>
        <w:spacing w:line="360" w:lineRule="auto"/>
        <w:ind w:left="630" w:firstLine="0"/>
        <w:jc w:val="both"/>
        <w:rPr>
          <w:sz w:val="24"/>
          <w:szCs w:val="24"/>
        </w:rPr>
      </w:pPr>
      <w:r w:rsidDel="00000000" w:rsidR="00000000" w:rsidRPr="00000000">
        <w:rPr>
          <w:sz w:val="24"/>
          <w:szCs w:val="24"/>
          <w:rtl w:val="0"/>
        </w:rPr>
        <w:tab/>
      </w:r>
    </w:p>
    <w:p w:rsidR="00000000" w:rsidDel="00000000" w:rsidP="00000000" w:rsidRDefault="00000000" w:rsidRPr="00000000" w14:paraId="00000066">
      <w:pPr>
        <w:spacing w:line="360" w:lineRule="auto"/>
        <w:ind w:left="630" w:firstLine="0"/>
        <w:jc w:val="both"/>
        <w:rPr>
          <w:sz w:val="24"/>
          <w:szCs w:val="24"/>
        </w:rPr>
      </w:pPr>
      <w:r w:rsidDel="00000000" w:rsidR="00000000" w:rsidRPr="00000000">
        <w:rPr>
          <w:sz w:val="24"/>
          <w:szCs w:val="24"/>
          <w:rtl w:val="0"/>
        </w:rPr>
        <w:t xml:space="preserve">Se emplearán técnicas de Feature Engineering para construir variables de alto valor predictivo, tales como niveles de experiencia categorizados, métricas de percepción estudiantil y cualidades extracurriculares. Se aplicarán algoritmos de normalización y técnicas de llenado de datos para preparar un subset de datos optimizado para algoritmos de aprendizaje no supervisado.</w:t>
      </w:r>
    </w:p>
    <w:p w:rsidR="00000000" w:rsidDel="00000000" w:rsidP="00000000" w:rsidRDefault="00000000" w:rsidRPr="00000000" w14:paraId="00000067">
      <w:pPr>
        <w:tabs>
          <w:tab w:val="left" w:leader="none" w:pos="1920"/>
        </w:tabs>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68">
      <w:pPr>
        <w:pStyle w:val="Heading1"/>
        <w:numPr>
          <w:ilvl w:val="0"/>
          <w:numId w:val="5"/>
        </w:numPr>
        <w:tabs>
          <w:tab w:val="left" w:leader="none" w:pos="721"/>
        </w:tabs>
        <w:spacing w:before="1" w:lineRule="auto"/>
        <w:ind w:left="720" w:hanging="360"/>
        <w:rPr/>
      </w:pPr>
      <w:r w:rsidDel="00000000" w:rsidR="00000000" w:rsidRPr="00000000">
        <w:rPr>
          <w:rtl w:val="0"/>
        </w:rPr>
        <w:t xml:space="preserve">Fase 3: Análisis multivariable y clustering</w:t>
      </w:r>
    </w:p>
    <w:p w:rsidR="00000000" w:rsidDel="00000000" w:rsidP="00000000" w:rsidRDefault="00000000" w:rsidRPr="00000000" w14:paraId="00000069">
      <w:pPr>
        <w:spacing w:line="360" w:lineRule="auto"/>
        <w:ind w:left="630" w:firstLine="0"/>
        <w:jc w:val="both"/>
        <w:rPr>
          <w:sz w:val="24"/>
          <w:szCs w:val="24"/>
        </w:rPr>
      </w:pPr>
      <w:r w:rsidDel="00000000" w:rsidR="00000000" w:rsidRPr="00000000">
        <w:rPr>
          <w:rtl w:val="0"/>
        </w:rPr>
      </w:r>
    </w:p>
    <w:p w:rsidR="00000000" w:rsidDel="00000000" w:rsidP="00000000" w:rsidRDefault="00000000" w:rsidRPr="00000000" w14:paraId="0000006A">
      <w:pPr>
        <w:spacing w:line="360" w:lineRule="auto"/>
        <w:ind w:left="630" w:firstLine="0"/>
        <w:jc w:val="both"/>
        <w:rPr>
          <w:b w:val="1"/>
          <w:bCs w:val="1"/>
          <w:sz w:val="24"/>
          <w:szCs w:val="24"/>
        </w:rPr>
      </w:pPr>
      <w:r w:rsidDel="00000000" w:rsidR="00000000" w:rsidRPr="00000000">
        <w:rPr>
          <w:sz w:val="24"/>
          <w:szCs w:val="24"/>
          <w:rtl w:val="0"/>
        </w:rPr>
        <w:t xml:space="preserve">Con la base de datos refinada, se procederá a realizar análisis exploratorio y multivariable, orientado a identificar patrones para la construcción de perfiles.  La representación gráfica de la información será de acuerdo con los tipos de datos.</w:t>
      </w:r>
      <w:r w:rsidDel="00000000" w:rsidR="00000000" w:rsidRPr="00000000">
        <w:rPr>
          <w:rtl w:val="0"/>
        </w:rPr>
      </w:r>
    </w:p>
    <w:p w:rsidR="00000000" w:rsidDel="00000000" w:rsidP="00000000" w:rsidRDefault="00000000" w:rsidRPr="00000000" w14:paraId="0000006B">
      <w:pPr>
        <w:spacing w:line="360" w:lineRule="auto"/>
        <w:ind w:left="630" w:firstLine="0"/>
        <w:jc w:val="both"/>
        <w:rPr>
          <w:sz w:val="24"/>
          <w:szCs w:val="24"/>
        </w:rPr>
      </w:pPr>
      <w:r w:rsidDel="00000000" w:rsidR="00000000" w:rsidRPr="00000000">
        <w:rPr>
          <w:rtl w:val="0"/>
        </w:rPr>
      </w:r>
    </w:p>
    <w:p w:rsidR="00000000" w:rsidDel="00000000" w:rsidP="00000000" w:rsidRDefault="00000000" w:rsidRPr="00000000" w14:paraId="0000006C">
      <w:pPr>
        <w:spacing w:line="360" w:lineRule="auto"/>
        <w:ind w:left="630" w:firstLine="0"/>
        <w:jc w:val="both"/>
        <w:rPr>
          <w:sz w:val="24"/>
          <w:szCs w:val="24"/>
        </w:rPr>
      </w:pPr>
      <w:r w:rsidDel="00000000" w:rsidR="00000000" w:rsidRPr="00000000">
        <w:rPr>
          <w:sz w:val="24"/>
          <w:szCs w:val="24"/>
          <w:rtl w:val="0"/>
        </w:rPr>
        <w:t xml:space="preserve">Debido a la dimensionalidad de información y la existencia de data no estructurada, se podrá emplear representaciones vectoriales basadas en embeddings, para capturar relaciones semánticas que no pueden ser representadas correctamente con variables estructuradas tradicionales. La idea es obtener caracterizaciones multidimensionales de las personas</w:t>
      </w:r>
    </w:p>
    <w:p w:rsidR="00000000" w:rsidDel="00000000" w:rsidP="00000000" w:rsidRDefault="00000000" w:rsidRPr="00000000" w14:paraId="0000006D">
      <w:pPr>
        <w:spacing w:line="360" w:lineRule="auto"/>
        <w:ind w:left="630" w:firstLine="0"/>
        <w:jc w:val="both"/>
        <w:rPr>
          <w:sz w:val="24"/>
          <w:szCs w:val="24"/>
        </w:rPr>
      </w:pPr>
      <w:r w:rsidDel="00000000" w:rsidR="00000000" w:rsidRPr="00000000">
        <w:rPr>
          <w:rtl w:val="0"/>
        </w:rPr>
      </w:r>
    </w:p>
    <w:p w:rsidR="00000000" w:rsidDel="00000000" w:rsidP="00000000" w:rsidRDefault="00000000" w:rsidRPr="00000000" w14:paraId="0000006E">
      <w:pPr>
        <w:spacing w:line="360" w:lineRule="auto"/>
        <w:ind w:left="630" w:firstLine="0"/>
        <w:jc w:val="both"/>
        <w:rPr>
          <w:b w:val="1"/>
          <w:bCs w:val="1"/>
          <w:sz w:val="24"/>
          <w:szCs w:val="24"/>
        </w:rPr>
      </w:pPr>
      <w:r w:rsidDel="00000000" w:rsidR="00000000" w:rsidRPr="00000000">
        <w:rPr>
          <w:sz w:val="24"/>
          <w:szCs w:val="24"/>
          <w:rtl w:val="0"/>
        </w:rPr>
        <w:t xml:space="preserve">Posteriormente, se implementarán técnicas de aprendizaje no supervisado y de agrupamiento. La selección de las técnicas de agrupamiento y de representación se realizará</w:t>
      </w:r>
      <w:r w:rsidDel="00000000" w:rsidR="00000000" w:rsidRPr="00000000">
        <w:rPr>
          <w:b w:val="1"/>
          <w:bCs w:val="1"/>
          <w:sz w:val="24"/>
          <w:szCs w:val="24"/>
          <w:rtl w:val="0"/>
        </w:rPr>
        <w:t xml:space="preserve"> </w:t>
      </w:r>
      <w:r w:rsidDel="00000000" w:rsidR="00000000" w:rsidRPr="00000000">
        <w:rPr>
          <w:sz w:val="24"/>
          <w:szCs w:val="24"/>
          <w:rtl w:val="0"/>
        </w:rPr>
        <w:t xml:space="preserve">considerando las características de los datos y los resultados obtenidos durante el análisis, con el propósito de determinar las alternativas que permitan identificar agrupaciones relevantes e interpretables. </w:t>
      </w:r>
      <w:r w:rsidDel="00000000" w:rsidR="00000000" w:rsidRPr="00000000">
        <w:rPr>
          <w:rtl w:val="0"/>
        </w:rPr>
      </w:r>
    </w:p>
    <w:p w:rsidR="00000000" w:rsidDel="00000000" w:rsidP="00000000" w:rsidRDefault="00000000" w:rsidRPr="00000000" w14:paraId="0000006F">
      <w:pPr>
        <w:spacing w:line="360" w:lineRule="auto"/>
        <w:ind w:left="630" w:firstLine="0"/>
        <w:jc w:val="both"/>
        <w:rPr>
          <w:b w:val="1"/>
          <w:bCs w:val="1"/>
          <w:sz w:val="24"/>
          <w:szCs w:val="24"/>
        </w:rPr>
      </w:pPr>
      <w:r w:rsidDel="00000000" w:rsidR="00000000" w:rsidRPr="00000000">
        <w:rPr>
          <w:rtl w:val="0"/>
        </w:rPr>
      </w:r>
    </w:p>
    <w:p w:rsidR="00000000" w:rsidDel="00000000" w:rsidP="00000000" w:rsidRDefault="00000000" w:rsidRPr="00000000" w14:paraId="00000070">
      <w:pPr>
        <w:spacing w:line="360" w:lineRule="auto"/>
        <w:ind w:left="630" w:firstLine="0"/>
        <w:jc w:val="both"/>
        <w:rPr>
          <w:sz w:val="24"/>
          <w:szCs w:val="24"/>
        </w:rPr>
      </w:pPr>
      <w:r w:rsidDel="00000000" w:rsidR="00000000" w:rsidRPr="00000000">
        <w:rPr>
          <w:sz w:val="24"/>
          <w:szCs w:val="24"/>
          <w:rtl w:val="0"/>
        </w:rPr>
        <w:t xml:space="preserve">Estos perfiles serán analizados considerando trayectoria profesional, formación académica, desempeño y características extraídas de información no estructurada.</w:t>
      </w:r>
    </w:p>
    <w:p w:rsidR="00000000" w:rsidDel="00000000" w:rsidP="00000000" w:rsidRDefault="00000000" w:rsidRPr="00000000" w14:paraId="0000007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pStyle w:val="Heading1"/>
        <w:numPr>
          <w:ilvl w:val="0"/>
          <w:numId w:val="6"/>
        </w:numPr>
        <w:tabs>
          <w:tab w:val="left" w:leader="none" w:pos="721"/>
        </w:tabs>
        <w:spacing w:before="1" w:lineRule="auto"/>
        <w:ind w:left="720" w:hanging="360"/>
        <w:rPr/>
      </w:pPr>
      <w:r w:rsidDel="00000000" w:rsidR="00000000" w:rsidRPr="00000000">
        <w:rPr>
          <w:rtl w:val="0"/>
        </w:rPr>
        <w:t xml:space="preserve">Fase 4: Validación e implementación del modelo </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spacing w:line="360" w:lineRule="auto"/>
        <w:ind w:left="630" w:firstLine="0"/>
        <w:jc w:val="both"/>
        <w:rPr>
          <w:sz w:val="24"/>
          <w:szCs w:val="24"/>
        </w:rPr>
      </w:pPr>
      <w:r w:rsidDel="00000000" w:rsidR="00000000" w:rsidRPr="00000000">
        <w:rPr>
          <w:sz w:val="24"/>
          <w:szCs w:val="24"/>
          <w:rtl w:val="0"/>
        </w:rPr>
        <w:t xml:space="preserve">Para la validación de los perfiles obtenidos se utilizarán métricas apropiadas para aprendizaje no supervisado, de esta forma se puede validar la calidad de las representaciones y que las agrupaciones sean consistentes.</w:t>
      </w:r>
    </w:p>
    <w:p w:rsidR="00000000" w:rsidDel="00000000" w:rsidP="00000000" w:rsidRDefault="00000000" w:rsidRPr="00000000" w14:paraId="00000075">
      <w:pPr>
        <w:spacing w:line="360" w:lineRule="auto"/>
        <w:ind w:left="630" w:firstLine="0"/>
        <w:jc w:val="both"/>
        <w:rPr>
          <w:sz w:val="24"/>
          <w:szCs w:val="24"/>
        </w:rPr>
      </w:pPr>
      <w:r w:rsidDel="00000000" w:rsidR="00000000" w:rsidRPr="00000000">
        <w:rPr>
          <w:sz w:val="24"/>
          <w:szCs w:val="24"/>
          <w:rtl w:val="0"/>
        </w:rPr>
        <w:tab/>
      </w:r>
    </w:p>
    <w:p w:rsidR="00000000" w:rsidDel="00000000" w:rsidP="00000000" w:rsidRDefault="00000000" w:rsidRPr="00000000" w14:paraId="00000076">
      <w:pPr>
        <w:spacing w:line="360" w:lineRule="auto"/>
        <w:ind w:left="630" w:firstLine="0"/>
        <w:jc w:val="both"/>
        <w:rPr>
          <w:sz w:val="24"/>
          <w:szCs w:val="24"/>
        </w:rPr>
      </w:pPr>
      <w:r w:rsidDel="00000000" w:rsidR="00000000" w:rsidRPr="00000000">
        <w:rPr>
          <w:sz w:val="24"/>
          <w:szCs w:val="24"/>
          <w:rtl w:val="0"/>
        </w:rPr>
        <w:t xml:space="preserve">Posteriormente, se debe realizar una validación cualitativa con usuarios en procesos instituciones en la gestión del personal. Para ello se puede contrastar perfiles en casos reales de la institución, tal como la conformación de comisiones docentes, asignación </w:t>
        <w:tab/>
        <w:t xml:space="preserve">de cargos o responsabilidades.</w:t>
      </w:r>
    </w:p>
    <w:p w:rsidR="00000000" w:rsidDel="00000000" w:rsidP="00000000" w:rsidRDefault="00000000" w:rsidRPr="00000000" w14:paraId="00000077">
      <w:pPr>
        <w:spacing w:line="360" w:lineRule="auto"/>
        <w:ind w:left="630" w:firstLine="0"/>
        <w:jc w:val="both"/>
        <w:rPr>
          <w:sz w:val="24"/>
          <w:szCs w:val="24"/>
        </w:rPr>
      </w:pPr>
      <w:r w:rsidDel="00000000" w:rsidR="00000000" w:rsidRPr="00000000">
        <w:rPr>
          <w:sz w:val="24"/>
          <w:szCs w:val="24"/>
          <w:rtl w:val="0"/>
        </w:rPr>
        <w:tab/>
      </w:r>
    </w:p>
    <w:p w:rsidR="00000000" w:rsidDel="00000000" w:rsidP="00000000" w:rsidRDefault="00000000" w:rsidRPr="00000000" w14:paraId="00000078">
      <w:pPr>
        <w:spacing w:line="360" w:lineRule="auto"/>
        <w:ind w:left="630" w:firstLine="0"/>
        <w:jc w:val="both"/>
        <w:rPr>
          <w:sz w:val="24"/>
          <w:szCs w:val="24"/>
        </w:rPr>
      </w:pPr>
      <w:r w:rsidDel="00000000" w:rsidR="00000000" w:rsidRPr="00000000">
        <w:rPr>
          <w:sz w:val="24"/>
          <w:szCs w:val="24"/>
          <w:rtl w:val="0"/>
        </w:rPr>
        <w:t xml:space="preserve">Los resultados serán revisados juntamente con los responsables institucionales correspondientes, considerando su conocimiento del contexto y de los criterios utilizados actualmente en dichos procesos. Esta validación permitirá determinar si los perfiles descubiertos representan características relevantes del personal y si pueden utilizarse como apoyo en procesos institucionales, sin sustituir los criterios establecidos por la normativa y los responsables de la toma de decisiones.</w:t>
      </w:r>
    </w:p>
    <w:p w:rsidR="00000000" w:rsidDel="00000000" w:rsidP="00000000" w:rsidRDefault="00000000" w:rsidRPr="00000000" w14:paraId="00000079">
      <w:pPr>
        <w:spacing w:line="360" w:lineRule="auto"/>
        <w:ind w:left="630" w:firstLine="0"/>
        <w:jc w:val="both"/>
        <w:rPr>
          <w:sz w:val="24"/>
          <w:szCs w:val="24"/>
        </w:rPr>
      </w:pPr>
      <w:r w:rsidDel="00000000" w:rsidR="00000000" w:rsidRPr="00000000">
        <w:rPr>
          <w:rtl w:val="0"/>
        </w:rPr>
      </w:r>
    </w:p>
    <w:p w:rsidR="00000000" w:rsidDel="00000000" w:rsidP="00000000" w:rsidRDefault="00000000" w:rsidRPr="00000000" w14:paraId="0000007A">
      <w:pPr>
        <w:spacing w:line="360" w:lineRule="auto"/>
        <w:ind w:left="630" w:firstLine="0"/>
        <w:jc w:val="both"/>
        <w:rPr>
          <w:sz w:val="24"/>
          <w:szCs w:val="24"/>
        </w:rPr>
      </w:pPr>
      <w:r w:rsidDel="00000000" w:rsidR="00000000" w:rsidRPr="00000000">
        <w:rPr>
          <w:sz w:val="24"/>
          <w:szCs w:val="24"/>
          <w:rtl w:val="0"/>
        </w:rPr>
        <w:t xml:space="preserve">Finalmente, los perfiles validados serán incorporados en un tablero interactivo que permita su exploración y consulta, facilitando su utilización como apoyo para los procesos de gestión del talento humano.</w:t>
      </w:r>
    </w:p>
    <w:p w:rsidR="00000000" w:rsidDel="00000000" w:rsidP="00000000" w:rsidRDefault="00000000" w:rsidRPr="00000000" w14:paraId="0000007B">
      <w:pPr>
        <w:spacing w:line="360" w:lineRule="auto"/>
        <w:ind w:left="450" w:firstLine="0"/>
        <w:jc w:val="both"/>
        <w:rPr>
          <w:sz w:val="24"/>
          <w:szCs w:val="24"/>
        </w:rPr>
      </w:pPr>
      <w:r w:rsidDel="00000000" w:rsidR="00000000" w:rsidRPr="00000000">
        <w:rPr>
          <w:rtl w:val="0"/>
        </w:rPr>
      </w:r>
    </w:p>
    <w:p w:rsidR="00000000" w:rsidDel="00000000" w:rsidP="00000000" w:rsidRDefault="00000000" w:rsidRPr="00000000" w14:paraId="0000007C">
      <w:pPr>
        <w:pStyle w:val="Heading1"/>
        <w:tabs>
          <w:tab w:val="left" w:leader="none" w:pos="721"/>
        </w:tabs>
        <w:spacing w:before="1" w:lineRule="auto"/>
        <w:rPr>
          <w:b w:val="0"/>
          <w:bCs w:val="0"/>
        </w:rPr>
      </w:pPr>
      <w:r w:rsidDel="00000000" w:rsidR="00000000" w:rsidRPr="00000000">
        <w:rPr>
          <w:b w:val="0"/>
          <w:bCs w:val="0"/>
        </w:rPr>
        <w:drawing>
          <wp:inline distB="114300" distT="114300" distL="114300" distR="114300">
            <wp:extent cx="6316667" cy="3413934"/>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16667" cy="341393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numPr>
          <w:ilvl w:val="0"/>
          <w:numId w:val="1"/>
        </w:numPr>
        <w:tabs>
          <w:tab w:val="left" w:leader="none" w:pos="721"/>
        </w:tabs>
        <w:spacing w:before="1" w:lineRule="auto"/>
        <w:ind w:left="721" w:hanging="359"/>
        <w:rPr/>
      </w:pPr>
      <w:r w:rsidDel="00000000" w:rsidR="00000000" w:rsidRPr="00000000">
        <w:rPr>
          <w:rtl w:val="0"/>
        </w:rPr>
        <w:t xml:space="preserve">Resultados esperados</w:t>
      </w:r>
    </w:p>
    <w:p w:rsidR="00000000" w:rsidDel="00000000" w:rsidP="00000000" w:rsidRDefault="00000000" w:rsidRPr="00000000" w14:paraId="0000007F">
      <w:pPr>
        <w:tabs>
          <w:tab w:val="left" w:leader="none" w:pos="721"/>
        </w:tabs>
        <w:ind w:left="722" w:firstLine="0"/>
        <w:rPr>
          <w:sz w:val="24"/>
          <w:szCs w:val="24"/>
        </w:rPr>
      </w:pPr>
      <w:r w:rsidDel="00000000" w:rsidR="00000000" w:rsidRPr="00000000">
        <w:rPr>
          <w:rtl w:val="0"/>
        </w:rPr>
      </w:r>
    </w:p>
    <w:p w:rsidR="00000000" w:rsidDel="00000000" w:rsidP="00000000" w:rsidRDefault="00000000" w:rsidRPr="00000000" w14:paraId="00000080">
      <w:pPr>
        <w:tabs>
          <w:tab w:val="left" w:leader="none" w:pos="721"/>
        </w:tabs>
        <w:spacing w:line="360" w:lineRule="auto"/>
        <w:ind w:left="722" w:firstLine="0"/>
        <w:jc w:val="both"/>
        <w:rPr>
          <w:sz w:val="24"/>
          <w:szCs w:val="24"/>
        </w:rPr>
      </w:pPr>
      <w:r w:rsidDel="00000000" w:rsidR="00000000" w:rsidRPr="00000000">
        <w:rPr>
          <w:sz w:val="24"/>
          <w:szCs w:val="24"/>
          <w:rtl w:val="0"/>
        </w:rPr>
        <w:t xml:space="preserve">Perfiles multidimensionales del personal de ESPOL, construidos a partir del análisis de información histórica estructurada y no estructurada, que permitan crear agrupaciones basadas en experiencias, desempeño académico, formación y logros que no son evidentes en procesos de selección tradicionales.</w:t>
      </w:r>
    </w:p>
    <w:p w:rsidR="00000000" w:rsidDel="00000000" w:rsidP="00000000" w:rsidRDefault="00000000" w:rsidRPr="00000000" w14:paraId="00000081">
      <w:pPr>
        <w:tabs>
          <w:tab w:val="left" w:leader="none" w:pos="721"/>
        </w:tabs>
        <w:ind w:left="722" w:firstLine="0"/>
        <w:rPr>
          <w:sz w:val="24"/>
          <w:szCs w:val="24"/>
        </w:rPr>
      </w:pPr>
      <w:r w:rsidDel="00000000" w:rsidR="00000000" w:rsidRPr="00000000">
        <w:rPr>
          <w:rtl w:val="0"/>
        </w:rPr>
      </w:r>
    </w:p>
    <w:p w:rsidR="00000000" w:rsidDel="00000000" w:rsidP="00000000" w:rsidRDefault="00000000" w:rsidRPr="00000000" w14:paraId="00000082">
      <w:pPr>
        <w:tabs>
          <w:tab w:val="left" w:leader="none" w:pos="721"/>
        </w:tabs>
        <w:spacing w:line="360" w:lineRule="auto"/>
        <w:ind w:left="722" w:firstLine="0"/>
        <w:rPr>
          <w:sz w:val="24"/>
          <w:szCs w:val="24"/>
        </w:rPr>
      </w:pPr>
      <w:r w:rsidDel="00000000" w:rsidR="00000000" w:rsidRPr="00000000">
        <w:rPr>
          <w:sz w:val="24"/>
          <w:szCs w:val="24"/>
          <w:rtl w:val="0"/>
        </w:rPr>
        <w:t xml:space="preserve">Modelo de perfilamiento del personal, capaz de generar perfiles interpretables que apoyen la toma de decisiones relacionadas con la conformación de equipos, asignación de responsabilidades y planificación institucional.</w:t>
      </w:r>
    </w:p>
    <w:p w:rsidR="00000000" w:rsidDel="00000000" w:rsidP="00000000" w:rsidRDefault="00000000" w:rsidRPr="00000000" w14:paraId="00000083">
      <w:pPr>
        <w:tabs>
          <w:tab w:val="left" w:leader="none" w:pos="721"/>
        </w:tabs>
        <w:ind w:left="722" w:firstLine="0"/>
        <w:rPr>
          <w:b w:val="1"/>
          <w:bCs w:val="1"/>
          <w:sz w:val="24"/>
          <w:szCs w:val="24"/>
        </w:rPr>
      </w:pPr>
      <w:r w:rsidDel="00000000" w:rsidR="00000000" w:rsidRPr="00000000">
        <w:rPr>
          <w:rtl w:val="0"/>
        </w:rPr>
      </w:r>
    </w:p>
    <w:p w:rsidR="00000000" w:rsidDel="00000000" w:rsidP="00000000" w:rsidRDefault="00000000" w:rsidRPr="00000000" w14:paraId="00000084">
      <w:pPr>
        <w:tabs>
          <w:tab w:val="left" w:leader="none" w:pos="721"/>
        </w:tabs>
        <w:spacing w:line="360" w:lineRule="auto"/>
        <w:ind w:left="722" w:firstLine="0"/>
        <w:rPr>
          <w:sz w:val="24"/>
          <w:szCs w:val="24"/>
        </w:rPr>
      </w:pPr>
      <w:r w:rsidDel="00000000" w:rsidR="00000000" w:rsidRPr="00000000">
        <w:rPr>
          <w:sz w:val="24"/>
          <w:szCs w:val="24"/>
          <w:rtl w:val="0"/>
        </w:rPr>
        <w:t xml:space="preserve">Tablero interactivo para la exploración y consulta de los perfiles generados, que facilite la visualización de sus características y sirva como apoyo a la asignación de tareas y otros procesos de gestión del talento humano.</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tabs>
          <w:tab w:val="left" w:leader="none" w:pos="721"/>
        </w:tabs>
        <w:spacing w:before="137" w:lineRule="auto"/>
        <w:ind w:left="721" w:hanging="359"/>
        <w:rPr>
          <w:color w:val="000000"/>
        </w:rPr>
      </w:pPr>
      <w:r w:rsidDel="00000000" w:rsidR="00000000" w:rsidRPr="00000000">
        <w:rPr>
          <w:b w:val="1"/>
          <w:bCs w:val="1"/>
          <w:color w:val="000000"/>
          <w:sz w:val="24"/>
          <w:szCs w:val="24"/>
          <w:rtl w:val="0"/>
        </w:rPr>
        <w:t xml:space="preserve"> Bibliografía</w:t>
      </w:r>
    </w:p>
    <w:p w:rsidR="00000000" w:rsidDel="00000000" w:rsidP="00000000" w:rsidRDefault="00000000" w:rsidRPr="00000000" w14:paraId="00000086">
      <w:pPr>
        <w:spacing w:after="240" w:before="240" w:lineRule="auto"/>
        <w:ind w:left="720" w:firstLine="0"/>
        <w:jc w:val="both"/>
        <w:rPr>
          <w:color w:val="1155cc"/>
          <w:sz w:val="24"/>
          <w:szCs w:val="24"/>
          <w:u w:val="single"/>
        </w:rPr>
      </w:pPr>
      <w:r w:rsidDel="00000000" w:rsidR="00000000" w:rsidRPr="00000000">
        <w:rPr>
          <w:sz w:val="24"/>
          <w:szCs w:val="24"/>
          <w:rtl w:val="0"/>
        </w:rPr>
        <w:t xml:space="preserve">Alam, S., Dong, Z., Kularatne, I., &amp; Rashid, M. S. (2026). Exploring approaches to overcome challenges in adopting human resource analytics through stakeholder engagement. </w:t>
      </w:r>
      <w:r w:rsidDel="00000000" w:rsidR="00000000" w:rsidRPr="00000000">
        <w:rPr>
          <w:i w:val="1"/>
          <w:iCs w:val="1"/>
          <w:sz w:val="24"/>
          <w:szCs w:val="24"/>
          <w:rtl w:val="0"/>
        </w:rPr>
        <w:t xml:space="preserve">Management Review Quarterly, 76</w:t>
      </w:r>
      <w:r w:rsidDel="00000000" w:rsidR="00000000" w:rsidRPr="00000000">
        <w:rPr>
          <w:sz w:val="24"/>
          <w:szCs w:val="24"/>
          <w:rtl w:val="0"/>
        </w:rPr>
        <w:t xml:space="preserve">, 729-787.</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https://doi.org/10.1007/s11301-025-00491-y</w:t>
        </w:r>
      </w:hyperlink>
      <w:r w:rsidDel="00000000" w:rsidR="00000000" w:rsidRPr="00000000">
        <w:rPr>
          <w:rtl w:val="0"/>
        </w:rPr>
      </w:r>
    </w:p>
    <w:p w:rsidR="00000000" w:rsidDel="00000000" w:rsidP="00000000" w:rsidRDefault="00000000" w:rsidRPr="00000000" w14:paraId="00000087">
      <w:pPr>
        <w:spacing w:after="240" w:before="240" w:lineRule="auto"/>
        <w:ind w:left="720" w:firstLine="0"/>
        <w:jc w:val="both"/>
        <w:rPr>
          <w:color w:val="1155cc"/>
          <w:sz w:val="24"/>
          <w:szCs w:val="24"/>
          <w:u w:val="single"/>
        </w:rPr>
      </w:pPr>
      <w:r w:rsidDel="00000000" w:rsidR="00000000" w:rsidRPr="00000000">
        <w:rPr>
          <w:sz w:val="24"/>
          <w:szCs w:val="24"/>
          <w:rtl w:val="0"/>
        </w:rPr>
        <w:t xml:space="preserve">Alvarez Garcia, M., Arenas Parra, M., &amp; Ibar Alonso, R. (2024). Uncovering student profiles: An explainable cluster analysis approach to PISA 2022. </w:t>
      </w:r>
      <w:r w:rsidDel="00000000" w:rsidR="00000000" w:rsidRPr="00000000">
        <w:rPr>
          <w:i w:val="1"/>
          <w:iCs w:val="1"/>
          <w:sz w:val="24"/>
          <w:szCs w:val="24"/>
          <w:rtl w:val="0"/>
        </w:rPr>
        <w:t xml:space="preserve">Computers &amp; Education, 223</w:t>
      </w:r>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https://www.sciencedirect.com/science/article/pii/S0360131524001805</w:t>
        </w:r>
      </w:hyperlink>
      <w:r w:rsidDel="00000000" w:rsidR="00000000" w:rsidRPr="00000000">
        <w:rPr>
          <w:rtl w:val="0"/>
        </w:rPr>
      </w:r>
    </w:p>
    <w:p w:rsidR="00000000" w:rsidDel="00000000" w:rsidP="00000000" w:rsidRDefault="00000000" w:rsidRPr="00000000" w14:paraId="00000088">
      <w:pPr>
        <w:spacing w:after="240" w:before="240" w:lineRule="auto"/>
        <w:ind w:left="720" w:firstLine="0"/>
        <w:jc w:val="both"/>
        <w:rPr>
          <w:color w:val="1155cc"/>
          <w:sz w:val="24"/>
          <w:szCs w:val="24"/>
          <w:u w:val="single"/>
        </w:rPr>
      </w:pPr>
      <w:r w:rsidDel="00000000" w:rsidR="00000000" w:rsidRPr="00000000">
        <w:rPr>
          <w:sz w:val="24"/>
          <w:szCs w:val="24"/>
          <w:rtl w:val="0"/>
        </w:rPr>
        <w:t xml:space="preserve">Asfahani, A. (2024). Fusing talent horizons: The transformative role of data integration in modern talent management. </w:t>
      </w:r>
      <w:r w:rsidDel="00000000" w:rsidR="00000000" w:rsidRPr="00000000">
        <w:rPr>
          <w:i w:val="1"/>
          <w:iCs w:val="1"/>
          <w:sz w:val="24"/>
          <w:szCs w:val="24"/>
          <w:rtl w:val="0"/>
        </w:rPr>
        <w:t xml:space="preserve">Discover Sustainability, 5</w:t>
      </w:r>
      <w:r w:rsidDel="00000000" w:rsidR="00000000" w:rsidRPr="00000000">
        <w:rPr>
          <w:sz w:val="24"/>
          <w:szCs w:val="24"/>
          <w:rtl w:val="0"/>
        </w:rPr>
        <w:t xml:space="preserve">(25).</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https://doi.org/10.1007/s43621-024-00212-7</w:t>
        </w:r>
      </w:hyperlink>
      <w:r w:rsidDel="00000000" w:rsidR="00000000" w:rsidRPr="00000000">
        <w:rPr>
          <w:rtl w:val="0"/>
        </w:rPr>
      </w:r>
    </w:p>
    <w:p w:rsidR="00000000" w:rsidDel="00000000" w:rsidP="00000000" w:rsidRDefault="00000000" w:rsidRPr="00000000" w14:paraId="00000089">
      <w:pPr>
        <w:spacing w:after="240" w:before="240" w:lineRule="auto"/>
        <w:ind w:left="720" w:firstLine="0"/>
        <w:jc w:val="both"/>
        <w:rPr>
          <w:color w:val="1155cc"/>
          <w:sz w:val="24"/>
          <w:szCs w:val="24"/>
          <w:u w:val="single"/>
        </w:rPr>
      </w:pPr>
      <w:r w:rsidDel="00000000" w:rsidR="00000000" w:rsidRPr="00000000">
        <w:rPr>
          <w:sz w:val="24"/>
          <w:szCs w:val="24"/>
          <w:rtl w:val="0"/>
        </w:rPr>
        <w:t xml:space="preserve">Fegade, T. K., &amp; Sharma, P. (2023). Exploring the impact of employee training and development on organizational efficiency: A systematic literature review. </w:t>
      </w:r>
      <w:r w:rsidDel="00000000" w:rsidR="00000000" w:rsidRPr="00000000">
        <w:rPr>
          <w:i w:val="1"/>
          <w:iCs w:val="1"/>
          <w:sz w:val="24"/>
          <w:szCs w:val="24"/>
          <w:rtl w:val="0"/>
        </w:rPr>
        <w:t xml:space="preserve">IOSR Journal of Business and Management, 25</w:t>
      </w:r>
      <w:r w:rsidDel="00000000" w:rsidR="00000000" w:rsidRPr="00000000">
        <w:rPr>
          <w:sz w:val="24"/>
          <w:szCs w:val="24"/>
          <w:rtl w:val="0"/>
        </w:rPr>
        <w:t xml:space="preserve">(1), 56-63.</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https://doi.org/10.9790/487X-2501025663</w:t>
        </w:r>
      </w:hyperlink>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color w:val="1155cc"/>
          <w:sz w:val="24"/>
          <w:szCs w:val="24"/>
          <w:u w:val="single"/>
        </w:rPr>
      </w:pPr>
      <w:r w:rsidDel="00000000" w:rsidR="00000000" w:rsidRPr="00000000">
        <w:rPr>
          <w:sz w:val="24"/>
          <w:szCs w:val="24"/>
          <w:rtl w:val="0"/>
        </w:rPr>
        <w:t xml:space="preserve">He, P., Aluvalu, R., &amp; Tejani, G. G. (2026). Job satisfaction as a catalyst mechanism transforming knowledge competence and intrinsic motivation into sustained lecturer performance in higher education. </w:t>
      </w:r>
      <w:r w:rsidDel="00000000" w:rsidR="00000000" w:rsidRPr="00000000">
        <w:rPr>
          <w:i w:val="1"/>
          <w:iCs w:val="1"/>
          <w:sz w:val="24"/>
          <w:szCs w:val="24"/>
          <w:rtl w:val="0"/>
        </w:rPr>
        <w:t xml:space="preserve">Scientific Reports, 16</w:t>
      </w:r>
      <w:r w:rsidDel="00000000" w:rsidR="00000000" w:rsidRPr="00000000">
        <w:rPr>
          <w:sz w:val="24"/>
          <w:szCs w:val="24"/>
          <w:rtl w:val="0"/>
        </w:rPr>
        <w:t xml:space="preserve">(1).</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https://doi.org/10.1038/s41598-026-38488-6</w:t>
        </w:r>
      </w:hyperlink>
      <w:r w:rsidDel="00000000" w:rsidR="00000000" w:rsidRPr="00000000">
        <w:rPr>
          <w:rtl w:val="0"/>
        </w:rPr>
      </w:r>
    </w:p>
    <w:p w:rsidR="00000000" w:rsidDel="00000000" w:rsidP="00000000" w:rsidRDefault="00000000" w:rsidRPr="00000000" w14:paraId="0000008B">
      <w:pPr>
        <w:spacing w:after="240" w:before="240" w:lineRule="auto"/>
        <w:ind w:left="720" w:firstLine="0"/>
        <w:jc w:val="both"/>
        <w:rPr>
          <w:sz w:val="24"/>
          <w:szCs w:val="24"/>
        </w:rPr>
      </w:pPr>
      <w:r w:rsidDel="00000000" w:rsidR="00000000" w:rsidRPr="00000000">
        <w:rPr>
          <w:sz w:val="24"/>
          <w:szCs w:val="24"/>
          <w:rtl w:val="0"/>
        </w:rPr>
        <w:t xml:space="preserve">Horodyski, P. (2023). Recruiter’s perception of artificial intelligence (AI)-based tools in recruitment. </w:t>
      </w:r>
      <w:r w:rsidDel="00000000" w:rsidR="00000000" w:rsidRPr="00000000">
        <w:rPr>
          <w:i w:val="1"/>
          <w:iCs w:val="1"/>
          <w:sz w:val="24"/>
          <w:szCs w:val="24"/>
          <w:rtl w:val="0"/>
        </w:rPr>
        <w:t xml:space="preserve">Computers in Human Behavior Reports, 10</w:t>
      </w:r>
      <w:r w:rsidDel="00000000" w:rsidR="00000000" w:rsidRPr="00000000">
        <w:rPr>
          <w:sz w:val="24"/>
          <w:szCs w:val="24"/>
          <w:rtl w:val="0"/>
        </w:rPr>
        <w:t xml:space="preserve">, 100298.</w:t>
      </w:r>
    </w:p>
    <w:p w:rsidR="00000000" w:rsidDel="00000000" w:rsidP="00000000" w:rsidRDefault="00000000" w:rsidRPr="00000000" w14:paraId="0000008C">
      <w:pPr>
        <w:spacing w:after="240" w:before="240" w:lineRule="auto"/>
        <w:ind w:left="720" w:firstLine="0"/>
        <w:jc w:val="both"/>
        <w:rPr>
          <w:color w:val="1155cc"/>
          <w:sz w:val="24"/>
          <w:szCs w:val="24"/>
          <w:u w:val="single"/>
        </w:rPr>
      </w:pPr>
      <w:r w:rsidDel="00000000" w:rsidR="00000000" w:rsidRPr="00000000">
        <w:rPr>
          <w:sz w:val="24"/>
          <w:szCs w:val="24"/>
          <w:rtl w:val="0"/>
        </w:rPr>
        <w:t xml:space="preserve">Karwehl, L. J., &amp; Kauffeld, S. (2021). Traditional and new ways in competence management: Application of HR analytics in competence management. </w:t>
      </w:r>
      <w:r w:rsidDel="00000000" w:rsidR="00000000" w:rsidRPr="00000000">
        <w:rPr>
          <w:i w:val="1"/>
          <w:iCs w:val="1"/>
          <w:sz w:val="24"/>
          <w:szCs w:val="24"/>
          <w:rtl w:val="0"/>
        </w:rPr>
        <w:t xml:space="preserve">Gruppe. Interaktion. Organisation. Zeitschrift für Angewandte Organisationspsychologie (GIO), 52</w:t>
      </w:r>
      <w:r w:rsidDel="00000000" w:rsidR="00000000" w:rsidRPr="00000000">
        <w:rPr>
          <w:sz w:val="24"/>
          <w:szCs w:val="24"/>
          <w:rtl w:val="0"/>
        </w:rPr>
        <w:t xml:space="preserve">, 7-24.</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https://doi.org/10.1007/s11612-021-00548-y</w:t>
        </w:r>
      </w:hyperlink>
      <w:r w:rsidDel="00000000" w:rsidR="00000000" w:rsidRPr="00000000">
        <w:rPr>
          <w:rtl w:val="0"/>
        </w:rPr>
      </w:r>
    </w:p>
    <w:p w:rsidR="00000000" w:rsidDel="00000000" w:rsidP="00000000" w:rsidRDefault="00000000" w:rsidRPr="00000000" w14:paraId="0000008D">
      <w:pPr>
        <w:spacing w:after="240" w:before="240" w:lineRule="auto"/>
        <w:ind w:left="720" w:firstLine="0"/>
        <w:jc w:val="both"/>
        <w:rPr>
          <w:color w:val="1155cc"/>
          <w:sz w:val="24"/>
          <w:szCs w:val="24"/>
          <w:u w:val="single"/>
        </w:rPr>
      </w:pPr>
      <w:r w:rsidDel="00000000" w:rsidR="00000000" w:rsidRPr="00000000">
        <w:rPr>
          <w:sz w:val="24"/>
          <w:szCs w:val="24"/>
          <w:rtl w:val="0"/>
        </w:rPr>
        <w:t xml:space="preserve">Magham, R. K. (2024). Mitigating bias in AI-driven recruitment: The role of explainable machine learning (XAI). </w:t>
      </w:r>
      <w:r w:rsidDel="00000000" w:rsidR="00000000" w:rsidRPr="00000000">
        <w:rPr>
          <w:i w:val="1"/>
          <w:iCs w:val="1"/>
          <w:sz w:val="24"/>
          <w:szCs w:val="24"/>
          <w:rtl w:val="0"/>
        </w:rPr>
        <w:t xml:space="preserve">International Journal of Scientific Research in Computer Science, Engineering and Information Technology, 10</w:t>
      </w:r>
      <w:r w:rsidDel="00000000" w:rsidR="00000000" w:rsidRPr="00000000">
        <w:rPr>
          <w:sz w:val="24"/>
          <w:szCs w:val="24"/>
          <w:rtl w:val="0"/>
        </w:rPr>
        <w:t xml:space="preserve">(5), 461-469.</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https://www.researchgate.net/publication/384802794_Mitigating_Bias_in_AI-Driven_Recruitment_The_Role_of_Explainable_Machine_Learning_XAI</w:t>
        </w:r>
      </w:hyperlink>
      <w:r w:rsidDel="00000000" w:rsidR="00000000" w:rsidRPr="00000000">
        <w:rPr>
          <w:rtl w:val="0"/>
        </w:rPr>
      </w:r>
    </w:p>
    <w:p w:rsidR="00000000" w:rsidDel="00000000" w:rsidP="00000000" w:rsidRDefault="00000000" w:rsidRPr="00000000" w14:paraId="0000008E">
      <w:pPr>
        <w:spacing w:after="240" w:before="240" w:lineRule="auto"/>
        <w:ind w:left="720" w:firstLine="0"/>
        <w:jc w:val="both"/>
        <w:rPr>
          <w:color w:val="1155cc"/>
          <w:sz w:val="24"/>
          <w:szCs w:val="24"/>
          <w:u w:val="single"/>
        </w:rPr>
      </w:pPr>
      <w:r w:rsidDel="00000000" w:rsidR="00000000" w:rsidRPr="00000000">
        <w:rPr>
          <w:sz w:val="24"/>
          <w:szCs w:val="24"/>
          <w:rtl w:val="0"/>
        </w:rPr>
        <w:t xml:space="preserve">Minbaeva, D. B. (2018). Creating credible human capital analytics for organizational competitive advantage. </w:t>
      </w:r>
      <w:r w:rsidDel="00000000" w:rsidR="00000000" w:rsidRPr="00000000">
        <w:rPr>
          <w:i w:val="1"/>
          <w:iCs w:val="1"/>
          <w:sz w:val="24"/>
          <w:szCs w:val="24"/>
          <w:rtl w:val="0"/>
        </w:rPr>
        <w:t xml:space="preserve">Human Resource Management, 57</w:t>
      </w:r>
      <w:r w:rsidDel="00000000" w:rsidR="00000000" w:rsidRPr="00000000">
        <w:rPr>
          <w:sz w:val="24"/>
          <w:szCs w:val="24"/>
          <w:rtl w:val="0"/>
        </w:rPr>
        <w:t xml:space="preserve">(3), 701-713.</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https://doi.org/10.1002/hrm.21843</w:t>
        </w:r>
      </w:hyperlink>
      <w:r w:rsidDel="00000000" w:rsidR="00000000" w:rsidRPr="00000000">
        <w:rPr>
          <w:rtl w:val="0"/>
        </w:rPr>
      </w:r>
    </w:p>
    <w:p w:rsidR="00000000" w:rsidDel="00000000" w:rsidP="00000000" w:rsidRDefault="00000000" w:rsidRPr="00000000" w14:paraId="0000008F">
      <w:pPr>
        <w:spacing w:after="240" w:before="240" w:lineRule="auto"/>
        <w:ind w:left="720" w:firstLine="0"/>
        <w:jc w:val="both"/>
        <w:rPr>
          <w:color w:val="1155cc"/>
          <w:sz w:val="24"/>
          <w:szCs w:val="24"/>
          <w:u w:val="single"/>
        </w:rPr>
      </w:pPr>
      <w:r w:rsidDel="00000000" w:rsidR="00000000" w:rsidRPr="00000000">
        <w:rPr>
          <w:sz w:val="24"/>
          <w:szCs w:val="24"/>
          <w:rtl w:val="0"/>
        </w:rPr>
        <w:t xml:space="preserve">Nawaz, N., Arunachalam, H., Pathi, B. K., &amp; Gajenderan, V. (2024). The adoption of artificial intelligence in human resources management practices. </w:t>
      </w:r>
      <w:r w:rsidDel="00000000" w:rsidR="00000000" w:rsidRPr="00000000">
        <w:rPr>
          <w:i w:val="1"/>
          <w:iCs w:val="1"/>
          <w:sz w:val="24"/>
          <w:szCs w:val="24"/>
          <w:rtl w:val="0"/>
        </w:rPr>
        <w:t xml:space="preserve">International Journal of Information Management Data Insights, 4</w:t>
      </w:r>
      <w:r w:rsidDel="00000000" w:rsidR="00000000" w:rsidRPr="00000000">
        <w:rPr>
          <w:sz w:val="24"/>
          <w:szCs w:val="24"/>
          <w:rtl w:val="0"/>
        </w:rPr>
        <w:t xml:space="preserve">(1).</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https://doi.org/10.1016/j.jjimei.2023.100208</w:t>
        </w:r>
      </w:hyperlink>
      <w:r w:rsidDel="00000000" w:rsidR="00000000" w:rsidRPr="00000000">
        <w:rPr>
          <w:rtl w:val="0"/>
        </w:rPr>
      </w:r>
    </w:p>
    <w:p w:rsidR="00000000" w:rsidDel="00000000" w:rsidP="00000000" w:rsidRDefault="00000000" w:rsidRPr="00000000" w14:paraId="00000090">
      <w:pPr>
        <w:spacing w:after="240" w:before="240" w:lineRule="auto"/>
        <w:ind w:left="720" w:firstLine="0"/>
        <w:jc w:val="both"/>
        <w:rPr>
          <w:color w:val="1155cc"/>
          <w:sz w:val="24"/>
          <w:szCs w:val="24"/>
          <w:u w:val="single"/>
        </w:rPr>
      </w:pPr>
      <w:r w:rsidDel="00000000" w:rsidR="00000000" w:rsidRPr="00000000">
        <w:rPr>
          <w:sz w:val="24"/>
          <w:szCs w:val="24"/>
          <w:rtl w:val="0"/>
        </w:rPr>
        <w:t xml:space="preserve">Quito, P., Valdiviezo, J., &amp; Maldonado, J. (2025). Sistema recomendador para la asignación de profesores en la Universidad de Cuenca. </w:t>
      </w:r>
      <w:r w:rsidDel="00000000" w:rsidR="00000000" w:rsidRPr="00000000">
        <w:rPr>
          <w:i w:val="1"/>
          <w:iCs w:val="1"/>
          <w:sz w:val="24"/>
          <w:szCs w:val="24"/>
          <w:rtl w:val="0"/>
        </w:rPr>
        <w:t xml:space="preserve">Revista Tecnológica ESPOL, 37</w:t>
      </w:r>
      <w:r w:rsidDel="00000000" w:rsidR="00000000" w:rsidRPr="00000000">
        <w:rPr>
          <w:sz w:val="24"/>
          <w:szCs w:val="24"/>
          <w:rtl w:val="0"/>
        </w:rPr>
        <w:t xml:space="preserve">(e1), 127-145.</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https://rte.espol.edu.ec/index.php/tecnologica/es/article/view/1354</w:t>
        </w:r>
      </w:hyperlink>
      <w:r w:rsidDel="00000000" w:rsidR="00000000" w:rsidRPr="00000000">
        <w:rPr>
          <w:rtl w:val="0"/>
        </w:rPr>
      </w:r>
    </w:p>
    <w:p w:rsidR="00000000" w:rsidDel="00000000" w:rsidP="00000000" w:rsidRDefault="00000000" w:rsidRPr="00000000" w14:paraId="00000091">
      <w:pPr>
        <w:spacing w:after="240" w:before="240" w:lineRule="auto"/>
        <w:ind w:left="720" w:firstLine="0"/>
        <w:jc w:val="both"/>
        <w:rPr>
          <w:color w:val="1155cc"/>
          <w:sz w:val="24"/>
          <w:szCs w:val="24"/>
          <w:u w:val="single"/>
        </w:rPr>
      </w:pPr>
      <w:r w:rsidDel="00000000" w:rsidR="00000000" w:rsidRPr="00000000">
        <w:rPr>
          <w:sz w:val="24"/>
          <w:szCs w:val="24"/>
          <w:rtl w:val="0"/>
        </w:rPr>
        <w:t xml:space="preserve">Stevens, T. M. (2023). Teacher profiles in higher education: The move to online education during the COVID-19 crisis. </w:t>
      </w:r>
      <w:r w:rsidDel="00000000" w:rsidR="00000000" w:rsidRPr="00000000">
        <w:rPr>
          <w:i w:val="1"/>
          <w:iCs w:val="1"/>
          <w:sz w:val="24"/>
          <w:szCs w:val="24"/>
          <w:rtl w:val="0"/>
        </w:rPr>
        <w:t xml:space="preserve">Learning Environments Research, 26</w:t>
      </w:r>
      <w:r w:rsidDel="00000000" w:rsidR="00000000" w:rsidRPr="00000000">
        <w:rPr>
          <w:sz w:val="24"/>
          <w:szCs w:val="24"/>
          <w:rtl w:val="0"/>
        </w:rPr>
        <w:t xml:space="preserve">, 873-898.</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https://doi.org/10.1007/s10984-023-09458-w</w:t>
        </w:r>
      </w:hyperlink>
      <w:r w:rsidDel="00000000" w:rsidR="00000000" w:rsidRPr="00000000">
        <w:rPr>
          <w:rtl w:val="0"/>
        </w:rPr>
      </w:r>
    </w:p>
    <w:p w:rsidR="00000000" w:rsidDel="00000000" w:rsidP="00000000" w:rsidRDefault="00000000" w:rsidRPr="00000000" w14:paraId="00000092">
      <w:pPr>
        <w:spacing w:after="240" w:before="240" w:lineRule="auto"/>
        <w:ind w:left="720" w:firstLine="0"/>
        <w:jc w:val="both"/>
        <w:rPr>
          <w:color w:val="1155cc"/>
          <w:sz w:val="24"/>
          <w:szCs w:val="24"/>
          <w:u w:val="single"/>
        </w:rPr>
      </w:pPr>
      <w:r w:rsidDel="00000000" w:rsidR="00000000" w:rsidRPr="00000000">
        <w:rPr>
          <w:sz w:val="24"/>
          <w:szCs w:val="24"/>
          <w:rtl w:val="0"/>
        </w:rPr>
        <w:t xml:space="preserve">Zhu, C., Liu, A., &amp; Chen, G. (2018). High-performance work systems and corporate performance: The influence of entrepreneurial orientation and organizational learning. </w:t>
      </w:r>
      <w:r w:rsidDel="00000000" w:rsidR="00000000" w:rsidRPr="00000000">
        <w:rPr>
          <w:i w:val="1"/>
          <w:iCs w:val="1"/>
          <w:sz w:val="24"/>
          <w:szCs w:val="24"/>
          <w:rtl w:val="0"/>
        </w:rPr>
        <w:t xml:space="preserve">Frontiers of Business Research in China, 12</w:t>
      </w:r>
      <w:r w:rsidDel="00000000" w:rsidR="00000000" w:rsidRPr="00000000">
        <w:rPr>
          <w:sz w:val="24"/>
          <w:szCs w:val="24"/>
          <w:rtl w:val="0"/>
        </w:rPr>
        <w:t xml:space="preserve">(4), 15.</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https://doi.org/10.1186/s11782-018-0035-0</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86" w:lineRule="auto"/>
        <w:rPr>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86" w:lineRule="auto"/>
        <w:rPr>
          <w:sz w:val="24"/>
          <w:szCs w:val="24"/>
        </w:rPr>
      </w:pPr>
      <w:r w:rsidDel="00000000" w:rsidR="00000000" w:rsidRPr="00000000">
        <w:rPr>
          <w:rtl w:val="0"/>
        </w:rPr>
      </w:r>
    </w:p>
    <w:p w:rsidR="00000000" w:rsidDel="00000000" w:rsidP="00000000" w:rsidRDefault="00000000" w:rsidRPr="00000000" w14:paraId="00000095">
      <w:pPr>
        <w:pStyle w:val="Heading1"/>
        <w:ind w:left="2" w:firstLine="0"/>
        <w:rPr/>
      </w:pPr>
      <w:r w:rsidDel="00000000" w:rsidR="00000000" w:rsidRPr="00000000">
        <w:rPr>
          <w:rtl w:val="0"/>
        </w:rPr>
        <w:t xml:space="preserve">Firmas de responsabilidad del/los estudiantes inscritos en el proceso.</w:t>
      </w:r>
    </w:p>
    <w:p w:rsidR="00000000" w:rsidDel="00000000" w:rsidP="00000000" w:rsidRDefault="00000000" w:rsidRPr="00000000" w14:paraId="0000009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79" w:lineRule="auto"/>
        <w:rPr>
          <w:b w:val="1"/>
          <w:bCs w:val="1"/>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79" w:lineRule="auto"/>
        <w:rPr>
          <w:b w:val="1"/>
          <w:bCs w:val="1"/>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79" w:lineRule="auto"/>
        <w:rPr>
          <w:b w:val="1"/>
          <w:bCs w:val="1"/>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79" w:lineRule="auto"/>
        <w:rPr>
          <w:b w:val="1"/>
          <w:bCs w:val="1"/>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79" w:lineRule="auto"/>
        <w:rPr>
          <w:b w:val="1"/>
          <w:bCs w:val="1"/>
          <w:sz w:val="20"/>
          <w:szCs w:val="20"/>
        </w:rPr>
      </w:pPr>
      <w:r w:rsidDel="00000000" w:rsidR="00000000" w:rsidRPr="00000000">
        <w:rPr>
          <w:rtl w:val="0"/>
        </w:rPr>
      </w:r>
    </w:p>
    <w:p w:rsidR="00000000" w:rsidDel="00000000" w:rsidP="00000000" w:rsidRDefault="00000000" w:rsidRPr="00000000" w14:paraId="0000009E">
      <w:pPr>
        <w:tabs>
          <w:tab w:val="left" w:leader="none" w:pos="7125"/>
        </w:tabs>
        <w:spacing w:line="20" w:lineRule="auto"/>
        <w:ind w:left="434" w:firstLine="0"/>
        <w:rPr>
          <w:sz w:val="2"/>
          <w:szCs w:val="2"/>
        </w:rPr>
        <w:sectPr>
          <w:type w:val="nextPage"/>
          <w:pgSz w:h="16840" w:w="11910" w:orient="portrait"/>
          <w:pgMar w:bottom="1037" w:top="1224" w:left="850" w:right="706" w:header="720" w:footer="720"/>
        </w:sectPr>
      </w:pPr>
      <w:r w:rsidDel="00000000" w:rsidR="00000000" w:rsidRPr="00000000">
        <w:rPr>
          <w:sz w:val="2"/>
          <w:szCs w:val="2"/>
        </w:rPr>
        <mc:AlternateContent>
          <mc:Choice Requires="wpg">
            <w:drawing>
              <wp:inline distB="0" distT="0" distL="0" distR="0">
                <wp:extent cx="1635760" cy="3175"/>
                <wp:effectExtent b="0" l="0" r="0" t="0"/>
                <wp:docPr id="7" name=""/>
                <a:graphic>
                  <a:graphicData uri="http://schemas.microsoft.com/office/word/2010/wordprocessingGroup">
                    <wpg:wgp>
                      <wpg:cNvGrpSpPr/>
                      <wpg:grpSpPr>
                        <a:xfrm>
                          <a:off x="4528100" y="3778400"/>
                          <a:ext cx="1635760" cy="3175"/>
                          <a:chOff x="4528100" y="3778400"/>
                          <a:chExt cx="1635800" cy="3200"/>
                        </a:xfrm>
                      </wpg:grpSpPr>
                      <wpg:grpSp>
                        <wpg:cNvGrpSpPr/>
                        <wpg:grpSpPr>
                          <a:xfrm>
                            <a:off x="4528120" y="3778413"/>
                            <a:ext cx="1635765" cy="3175"/>
                            <a:chOff x="4528100" y="3778400"/>
                            <a:chExt cx="1635780" cy="3200"/>
                          </a:xfrm>
                        </wpg:grpSpPr>
                        <wps:wsp>
                          <wps:cNvSpPr/>
                          <wps:cNvPr id="3" name="Shape 3"/>
                          <wps:spPr>
                            <a:xfrm>
                              <a:off x="4528100" y="3778400"/>
                              <a:ext cx="1635775" cy="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28120" y="3778413"/>
                              <a:ext cx="1635760" cy="3175"/>
                              <a:chOff x="0" y="0"/>
                              <a:chExt cx="1635760" cy="3175"/>
                            </a:xfrm>
                          </wpg:grpSpPr>
                          <wps:wsp>
                            <wps:cNvSpPr/>
                            <wps:cNvPr id="14" name="Shape 14"/>
                            <wps:spPr>
                              <a:xfrm>
                                <a:off x="0" y="0"/>
                                <a:ext cx="1635750"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1635760" cy="3175"/>
                              </a:xfrm>
                              <a:custGeom>
                                <a:rect b="b" l="l" r="r" t="t"/>
                                <a:pathLst>
                                  <a:path extrusionOk="0" h="3175" w="1635760">
                                    <a:moveTo>
                                      <a:pt x="1635252" y="0"/>
                                    </a:moveTo>
                                    <a:lnTo>
                                      <a:pt x="0" y="0"/>
                                    </a:lnTo>
                                    <a:lnTo>
                                      <a:pt x="0" y="3035"/>
                                    </a:lnTo>
                                    <a:lnTo>
                                      <a:pt x="1635252" y="3035"/>
                                    </a:lnTo>
                                    <a:lnTo>
                                      <a:pt x="1635252" y="0"/>
                                    </a:lnTo>
                                    <a:close/>
                                  </a:path>
                                </a:pathLst>
                              </a:custGeom>
                              <a:solidFill>
                                <a:srgbClr val="000001"/>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635760" cy="3175"/>
                <wp:effectExtent b="0" l="0" r="0" t="0"/>
                <wp:docPr id="7" name="image4.png"/>
                <a:graphic>
                  <a:graphicData uri="http://schemas.openxmlformats.org/drawingml/2006/picture">
                    <pic:pic>
                      <pic:nvPicPr>
                        <pic:cNvPr id="0" name="image4.png"/>
                        <pic:cNvPicPr preferRelativeResize="0"/>
                      </pic:nvPicPr>
                      <pic:blipFill>
                        <a:blip r:embed="rId33"/>
                        <a:srcRect/>
                        <a:stretch>
                          <a:fillRect/>
                        </a:stretch>
                      </pic:blipFill>
                      <pic:spPr>
                        <a:xfrm>
                          <a:off x="0" y="0"/>
                          <a:ext cx="1635760" cy="3175"/>
                        </a:xfrm>
                        <a:prstGeom prst="rect"/>
                        <a:ln/>
                      </pic:spPr>
                    </pic:pic>
                  </a:graphicData>
                </a:graphic>
              </wp:inline>
            </w:drawing>
          </mc:Fallback>
        </mc:AlternateContent>
      </w:r>
      <w:r w:rsidDel="00000000" w:rsidR="00000000" w:rsidRPr="00000000">
        <w:rPr>
          <w:sz w:val="2"/>
          <w:szCs w:val="2"/>
          <w:rtl w:val="0"/>
        </w:rPr>
        <w:tab/>
      </w:r>
      <w:r w:rsidDel="00000000" w:rsidR="00000000" w:rsidRPr="00000000">
        <w:rPr>
          <w:sz w:val="2"/>
          <w:szCs w:val="2"/>
        </w:rPr>
        <mc:AlternateContent>
          <mc:Choice Requires="wpg">
            <w:drawing>
              <wp:inline distB="0" distT="0" distL="0" distR="0">
                <wp:extent cx="1689100" cy="3175"/>
                <wp:effectExtent b="0" l="0" r="0" t="0"/>
                <wp:docPr id="6" name=""/>
                <a:graphic>
                  <a:graphicData uri="http://schemas.microsoft.com/office/word/2010/wordprocessingGroup">
                    <wpg:wgp>
                      <wpg:cNvGrpSpPr/>
                      <wpg:grpSpPr>
                        <a:xfrm>
                          <a:off x="4501450" y="3778400"/>
                          <a:ext cx="1689100" cy="3175"/>
                          <a:chOff x="4501450" y="3778400"/>
                          <a:chExt cx="1689100" cy="3200"/>
                        </a:xfrm>
                      </wpg:grpSpPr>
                      <wpg:grpSp>
                        <wpg:cNvGrpSpPr/>
                        <wpg:grpSpPr>
                          <a:xfrm>
                            <a:off x="4501450" y="3778413"/>
                            <a:ext cx="1689100" cy="3175"/>
                            <a:chOff x="4501450" y="3778400"/>
                            <a:chExt cx="1689100" cy="3200"/>
                          </a:xfrm>
                        </wpg:grpSpPr>
                        <wps:wsp>
                          <wps:cNvSpPr/>
                          <wps:cNvPr id="3" name="Shape 3"/>
                          <wps:spPr>
                            <a:xfrm>
                              <a:off x="4501450" y="3778400"/>
                              <a:ext cx="1689100" cy="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1450" y="3778413"/>
                              <a:ext cx="1689100" cy="3175"/>
                              <a:chOff x="0" y="0"/>
                              <a:chExt cx="1689100" cy="3175"/>
                            </a:xfrm>
                          </wpg:grpSpPr>
                          <wps:wsp>
                            <wps:cNvSpPr/>
                            <wps:cNvPr id="10" name="Shape 10"/>
                            <wps:spPr>
                              <a:xfrm>
                                <a:off x="0" y="0"/>
                                <a:ext cx="1689100"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689100" cy="3175"/>
                              </a:xfrm>
                              <a:custGeom>
                                <a:rect b="b" l="l" r="r" t="t"/>
                                <a:pathLst>
                                  <a:path extrusionOk="0" h="3175" w="1689100">
                                    <a:moveTo>
                                      <a:pt x="1688592" y="0"/>
                                    </a:moveTo>
                                    <a:lnTo>
                                      <a:pt x="0" y="0"/>
                                    </a:lnTo>
                                    <a:lnTo>
                                      <a:pt x="0" y="3035"/>
                                    </a:lnTo>
                                    <a:lnTo>
                                      <a:pt x="1688592" y="3035"/>
                                    </a:lnTo>
                                    <a:lnTo>
                                      <a:pt x="1688592" y="0"/>
                                    </a:lnTo>
                                    <a:close/>
                                  </a:path>
                                </a:pathLst>
                              </a:custGeom>
                              <a:solidFill>
                                <a:srgbClr val="000001"/>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689100" cy="3175"/>
                <wp:effectExtent b="0" l="0" r="0" t="0"/>
                <wp:docPr id="6" name="image3.png"/>
                <a:graphic>
                  <a:graphicData uri="http://schemas.openxmlformats.org/drawingml/2006/picture">
                    <pic:pic>
                      <pic:nvPicPr>
                        <pic:cNvPr id="0" name="image3.png"/>
                        <pic:cNvPicPr preferRelativeResize="0"/>
                      </pic:nvPicPr>
                      <pic:blipFill>
                        <a:blip r:embed="rId33"/>
                        <a:srcRect/>
                        <a:stretch>
                          <a:fillRect/>
                        </a:stretch>
                      </pic:blipFill>
                      <pic:spPr>
                        <a:xfrm>
                          <a:off x="0" y="0"/>
                          <a:ext cx="168910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F">
      <w:pPr>
        <w:pStyle w:val="Heading1"/>
        <w:spacing w:before="40" w:lineRule="auto"/>
        <w:ind w:right="-309"/>
        <w:rPr/>
      </w:pPr>
      <w:r w:rsidDel="00000000" w:rsidR="00000000" w:rsidRPr="00000000">
        <w:rPr>
          <w:rtl w:val="0"/>
        </w:rPr>
        <w:t xml:space="preserve">Pamela Nayeli Rugel Díaz</w:t>
      </w:r>
    </w:p>
    <w:p w:rsidR="00000000" w:rsidDel="00000000" w:rsidP="00000000" w:rsidRDefault="00000000" w:rsidRPr="00000000" w14:paraId="000000A0">
      <w:pPr>
        <w:spacing w:before="180" w:lineRule="auto"/>
        <w:ind w:left="650" w:firstLine="0"/>
        <w:rPr>
          <w:sz w:val="24"/>
          <w:szCs w:val="24"/>
        </w:rPr>
      </w:pPr>
      <w:r w:rsidDel="00000000" w:rsidR="00000000" w:rsidRPr="00000000">
        <w:rPr>
          <w:sz w:val="24"/>
          <w:szCs w:val="24"/>
          <w:rtl w:val="0"/>
        </w:rPr>
        <w:t xml:space="preserve">   CI: 0950213389</w:t>
      </w:r>
    </w:p>
    <w:p w:rsidR="00000000" w:rsidDel="00000000" w:rsidP="00000000" w:rsidRDefault="00000000" w:rsidRPr="00000000" w14:paraId="000000A1">
      <w:pPr>
        <w:pStyle w:val="Heading1"/>
        <w:spacing w:before="40" w:lineRule="auto"/>
        <w:ind w:left="-360" w:right="53" w:firstLine="0"/>
        <w:rPr/>
      </w:pPr>
      <w:r w:rsidDel="00000000" w:rsidR="00000000" w:rsidRPr="00000000">
        <w:rPr>
          <w:rtl w:val="0"/>
        </w:rPr>
        <w:t xml:space="preserve">Carlos Luis Sánchez Acosta</w:t>
      </w:r>
    </w:p>
    <w:p w:rsidR="00000000" w:rsidDel="00000000" w:rsidP="00000000" w:rsidRDefault="00000000" w:rsidRPr="00000000" w14:paraId="000000A2">
      <w:pPr>
        <w:spacing w:before="180" w:lineRule="auto"/>
        <w:ind w:right="176"/>
        <w:rPr>
          <w:sz w:val="24"/>
          <w:szCs w:val="24"/>
        </w:rPr>
        <w:sectPr>
          <w:type w:val="continuous"/>
          <w:pgSz w:h="16840" w:w="11910" w:orient="portrait"/>
          <w:pgMar w:bottom="1037" w:top="1224" w:left="850" w:right="706" w:header="720" w:footer="720"/>
          <w:cols w:equalWidth="0" w:num="2">
            <w:col w:space="3949" w:w="3202.5000000000005"/>
            <w:col w:space="0" w:w="3202.5000000000005"/>
          </w:cols>
        </w:sectPr>
      </w:pPr>
      <w:r w:rsidDel="00000000" w:rsidR="00000000" w:rsidRPr="00000000">
        <w:rPr>
          <w:sz w:val="24"/>
          <w:szCs w:val="24"/>
          <w:rtl w:val="0"/>
        </w:rPr>
        <w:t xml:space="preserve">        CI: 0925353146</w:t>
      </w:r>
    </w:p>
    <w:p w:rsidR="00000000" w:rsidDel="00000000" w:rsidP="00000000" w:rsidRDefault="00000000" w:rsidRPr="00000000" w14:paraId="000000A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44" w:lineRule="auto"/>
        <w:rPr>
          <w:color w:val="000000"/>
          <w:sz w:val="24"/>
          <w:szCs w:val="24"/>
        </w:rPr>
      </w:pPr>
      <w:r w:rsidDel="00000000" w:rsidR="00000000" w:rsidRPr="00000000">
        <w:rPr>
          <w:rtl w:val="0"/>
        </w:rPr>
      </w:r>
    </w:p>
    <w:p w:rsidR="00000000" w:rsidDel="00000000" w:rsidP="00000000" w:rsidRDefault="00000000" w:rsidRPr="00000000" w14:paraId="000000A5">
      <w:pPr>
        <w:pStyle w:val="Heading1"/>
        <w:ind w:left="2" w:firstLine="0"/>
        <w:rPr/>
      </w:pPr>
      <w:r w:rsidDel="00000000" w:rsidR="00000000" w:rsidRPr="00000000">
        <w:rPr>
          <w:rtl w:val="0"/>
        </w:rPr>
        <w:t xml:space="preserve">Firma de responsabilidad del tutor propuesto</w:t>
      </w:r>
    </w:p>
    <w:p w:rsidR="00000000" w:rsidDel="00000000" w:rsidP="00000000" w:rsidRDefault="00000000" w:rsidRPr="00000000" w14:paraId="000000A6">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76" w:lineRule="auto"/>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2096770</wp:posOffset>
                </wp:positionH>
                <wp:positionV relativeFrom="paragraph">
                  <wp:posOffset>273377</wp:posOffset>
                </wp:positionV>
                <wp:extent cx="2291080" cy="13970"/>
                <wp:effectExtent b="0" l="0" r="0" t="0"/>
                <wp:wrapTopAndBottom distB="0" distT="0"/>
                <wp:docPr id="5" name=""/>
                <a:graphic>
                  <a:graphicData uri="http://schemas.microsoft.com/office/word/2010/wordprocessingGroup">
                    <wpg:wgp>
                      <wpg:cNvGrpSpPr/>
                      <wpg:grpSpPr>
                        <a:xfrm>
                          <a:off x="4200450" y="3773000"/>
                          <a:ext cx="2291080" cy="13970"/>
                          <a:chOff x="4200450" y="3773000"/>
                          <a:chExt cx="2291100" cy="14000"/>
                        </a:xfrm>
                      </wpg:grpSpPr>
                      <wpg:grpSp>
                        <wpg:cNvGrpSpPr/>
                        <wpg:grpSpPr>
                          <a:xfrm>
                            <a:off x="4200460" y="3773015"/>
                            <a:ext cx="2291080" cy="13970"/>
                            <a:chOff x="4200450" y="3773000"/>
                            <a:chExt cx="2291100" cy="13975"/>
                          </a:xfrm>
                        </wpg:grpSpPr>
                        <wps:wsp>
                          <wps:cNvSpPr/>
                          <wps:cNvPr id="3" name="Shape 3"/>
                          <wps:spPr>
                            <a:xfrm>
                              <a:off x="4200450" y="3773000"/>
                              <a:ext cx="2291100" cy="1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00460" y="3773015"/>
                              <a:ext cx="2291080" cy="13950"/>
                              <a:chOff x="0" y="0"/>
                              <a:chExt cx="2291080" cy="13950"/>
                            </a:xfrm>
                          </wpg:grpSpPr>
                          <wps:wsp>
                            <wps:cNvSpPr/>
                            <wps:cNvPr id="5" name="Shape 5"/>
                            <wps:spPr>
                              <a:xfrm>
                                <a:off x="0" y="0"/>
                                <a:ext cx="2291075" cy="1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660"/>
                                <a:ext cx="2291080" cy="1270"/>
                              </a:xfrm>
                              <a:custGeom>
                                <a:rect b="b" l="l" r="r" t="t"/>
                                <a:pathLst>
                                  <a:path extrusionOk="0" h="120000" w="2291080">
                                    <a:moveTo>
                                      <a:pt x="0" y="0"/>
                                    </a:moveTo>
                                    <a:lnTo>
                                      <a:pt x="2290587" y="0"/>
                                    </a:lnTo>
                                  </a:path>
                                </a:pathLst>
                              </a:custGeom>
                              <a:noFill/>
                              <a:ln cap="flat" cmpd="sng" w="96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2289175" cy="10795"/>
                              </a:xfrm>
                              <a:custGeom>
                                <a:rect b="b" l="l" r="r" t="t"/>
                                <a:pathLst>
                                  <a:path extrusionOk="0" h="10795" w="2289175">
                                    <a:moveTo>
                                      <a:pt x="2289035" y="0"/>
                                    </a:moveTo>
                                    <a:lnTo>
                                      <a:pt x="0" y="0"/>
                                    </a:lnTo>
                                    <a:lnTo>
                                      <a:pt x="0" y="10680"/>
                                    </a:lnTo>
                                    <a:lnTo>
                                      <a:pt x="2289035" y="10680"/>
                                    </a:lnTo>
                                    <a:lnTo>
                                      <a:pt x="2289035"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2096770</wp:posOffset>
                </wp:positionH>
                <wp:positionV relativeFrom="paragraph">
                  <wp:posOffset>273377</wp:posOffset>
                </wp:positionV>
                <wp:extent cx="2291080" cy="13970"/>
                <wp:effectExtent b="0" l="0" r="0" t="0"/>
                <wp:wrapTopAndBottom distB="0" distT="0"/>
                <wp:docPr id="5" name="image2.png"/>
                <a:graphic>
                  <a:graphicData uri="http://schemas.openxmlformats.org/drawingml/2006/picture">
                    <pic:pic>
                      <pic:nvPicPr>
                        <pic:cNvPr id="0" name="image2.png"/>
                        <pic:cNvPicPr preferRelativeResize="0"/>
                      </pic:nvPicPr>
                      <pic:blipFill>
                        <a:blip r:embed="rId33"/>
                        <a:srcRect/>
                        <a:stretch>
                          <a:fillRect/>
                        </a:stretch>
                      </pic:blipFill>
                      <pic:spPr>
                        <a:xfrm>
                          <a:off x="0" y="0"/>
                          <a:ext cx="2291080" cy="13970"/>
                        </a:xfrm>
                        <a:prstGeom prst="rect"/>
                        <a:ln/>
                      </pic:spPr>
                    </pic:pic>
                  </a:graphicData>
                </a:graphic>
              </wp:anchor>
            </w:drawing>
          </mc:Fallback>
        </mc:AlternateContent>
      </w:r>
    </w:p>
    <w:p w:rsidR="00000000" w:rsidDel="00000000" w:rsidP="00000000" w:rsidRDefault="00000000" w:rsidRPr="00000000" w14:paraId="000000AD">
      <w:pPr>
        <w:pStyle w:val="Heading1"/>
        <w:spacing w:before="185" w:lineRule="auto"/>
        <w:ind w:left="2173" w:right="2313" w:firstLine="0"/>
        <w:jc w:val="center"/>
        <w:rPr/>
      </w:pPr>
      <w:r w:rsidDel="00000000" w:rsidR="00000000" w:rsidRPr="00000000">
        <w:rPr>
          <w:rtl w:val="0"/>
        </w:rPr>
        <w:t xml:space="preserve">José Eduardo Córdova García</w:t>
      </w:r>
    </w:p>
    <w:p w:rsidR="00000000" w:rsidDel="00000000" w:rsidP="00000000" w:rsidRDefault="00000000" w:rsidRPr="00000000" w14:paraId="000000AE">
      <w:pPr>
        <w:spacing w:before="183" w:lineRule="auto"/>
        <w:ind w:left="2173" w:right="2313" w:firstLine="0"/>
        <w:jc w:val="center"/>
        <w:rPr>
          <w:sz w:val="24"/>
          <w:szCs w:val="24"/>
        </w:rPr>
      </w:pPr>
      <w:r w:rsidDel="00000000" w:rsidR="00000000" w:rsidRPr="00000000">
        <w:rPr>
          <w:sz w:val="24"/>
          <w:szCs w:val="24"/>
          <w:rtl w:val="0"/>
        </w:rPr>
        <w:t xml:space="preserve">CI: 0919121608</w:t>
      </w:r>
    </w:p>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FT-01-V01/PRO-POS-004</w:t>
      </w:r>
    </w:p>
    <w:sectPr>
      <w:type w:val="continuous"/>
      <w:pgSz w:h="16840" w:w="11910" w:orient="portrait"/>
      <w:pgMar w:bottom="1037" w:top="1224" w:left="850" w:right="70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2" w:hanging="360"/>
      </w:pPr>
      <w:rPr>
        <w:rFonts w:ascii="Arial" w:cs="Arial" w:eastAsia="Arial" w:hAnsi="Arial"/>
        <w:b w:val="1"/>
        <w:bCs w:val="1"/>
        <w:i w:val="0"/>
        <w:iCs w:val="0"/>
        <w:sz w:val="24"/>
        <w:szCs w:val="24"/>
      </w:rPr>
    </w:lvl>
    <w:lvl w:ilvl="1">
      <w:start w:val="0"/>
      <w:numFmt w:val="bullet"/>
      <w:lvlText w:val="•"/>
      <w:lvlJc w:val="left"/>
      <w:pPr>
        <w:ind w:left="1682" w:hanging="360"/>
      </w:pPr>
      <w:rPr/>
    </w:lvl>
    <w:lvl w:ilvl="2">
      <w:start w:val="0"/>
      <w:numFmt w:val="bullet"/>
      <w:lvlText w:val="•"/>
      <w:lvlJc w:val="left"/>
      <w:pPr>
        <w:ind w:left="2645" w:hanging="360"/>
      </w:pPr>
      <w:rPr/>
    </w:lvl>
    <w:lvl w:ilvl="3">
      <w:start w:val="0"/>
      <w:numFmt w:val="bullet"/>
      <w:lvlText w:val="•"/>
      <w:lvlJc w:val="left"/>
      <w:pPr>
        <w:ind w:left="3608" w:hanging="360"/>
      </w:pPr>
      <w:rPr/>
    </w:lvl>
    <w:lvl w:ilvl="4">
      <w:start w:val="0"/>
      <w:numFmt w:val="bullet"/>
      <w:lvlText w:val="•"/>
      <w:lvlJc w:val="left"/>
      <w:pPr>
        <w:ind w:left="4571" w:hanging="360"/>
      </w:pPr>
      <w:rPr/>
    </w:lvl>
    <w:lvl w:ilvl="5">
      <w:start w:val="0"/>
      <w:numFmt w:val="bullet"/>
      <w:lvlText w:val="•"/>
      <w:lvlJc w:val="left"/>
      <w:pPr>
        <w:ind w:left="5534" w:hanging="360"/>
      </w:pPr>
      <w:rPr/>
    </w:lvl>
    <w:lvl w:ilvl="6">
      <w:start w:val="0"/>
      <w:numFmt w:val="bullet"/>
      <w:lvlText w:val="•"/>
      <w:lvlJc w:val="left"/>
      <w:pPr>
        <w:ind w:left="6497" w:hanging="360"/>
      </w:pPr>
      <w:rPr/>
    </w:lvl>
    <w:lvl w:ilvl="7">
      <w:start w:val="0"/>
      <w:numFmt w:val="bullet"/>
      <w:lvlText w:val="•"/>
      <w:lvlJc w:val="left"/>
      <w:pPr>
        <w:ind w:left="7459" w:hanging="360"/>
      </w:pPr>
      <w:rPr/>
    </w:lvl>
    <w:lvl w:ilvl="8">
      <w:start w:val="0"/>
      <w:numFmt w:val="bullet"/>
      <w:lvlText w:val="•"/>
      <w:lvlJc w:val="left"/>
      <w:pPr>
        <w:ind w:left="8422"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1" w:hanging="359"/>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paragraph" w:styleId="NoSpacing">
    <w:name w:val="No Spacing"/>
    <w:uiPriority w:val="1"/>
    <w:qFormat w:val="1"/>
    <w:rsid w:val="00490DB4"/>
  </w:style>
  <w:style w:type="paragraph" w:styleId="ListParagraph">
    <w:name w:val="List Paragraph"/>
    <w:basedOn w:val="Normal"/>
    <w:uiPriority w:val="34"/>
    <w:qFormat w:val="1"/>
    <w:rsid w:val="00490DB4"/>
    <w:pPr>
      <w:ind w:left="720"/>
      <w:contextualSpacing w:val="1"/>
    </w:pPr>
  </w:style>
  <w:style w:type="paragraph" w:styleId="Header">
    <w:name w:val="header"/>
    <w:basedOn w:val="Normal"/>
    <w:link w:val="HeaderChar"/>
    <w:uiPriority w:val="99"/>
    <w:unhideWhenUsed w:val="1"/>
    <w:rsid w:val="00356B3D"/>
    <w:pPr>
      <w:tabs>
        <w:tab w:val="center" w:pos="4680"/>
        <w:tab w:val="right" w:pos="9360"/>
      </w:tabs>
    </w:pPr>
  </w:style>
  <w:style w:type="character" w:styleId="HeaderChar" w:customStyle="1">
    <w:name w:val="Header Char"/>
    <w:basedOn w:val="DefaultParagraphFont"/>
    <w:link w:val="Header"/>
    <w:uiPriority w:val="99"/>
    <w:rsid w:val="00356B3D"/>
  </w:style>
  <w:style w:type="paragraph" w:styleId="Footer">
    <w:name w:val="footer"/>
    <w:basedOn w:val="Normal"/>
    <w:link w:val="FooterChar"/>
    <w:uiPriority w:val="99"/>
    <w:unhideWhenUsed w:val="1"/>
    <w:rsid w:val="00356B3D"/>
    <w:pPr>
      <w:tabs>
        <w:tab w:val="center" w:pos="4680"/>
        <w:tab w:val="right" w:pos="9360"/>
      </w:tabs>
    </w:pPr>
  </w:style>
  <w:style w:type="character" w:styleId="FooterChar" w:customStyle="1">
    <w:name w:val="Footer Char"/>
    <w:basedOn w:val="DefaultParagraphFont"/>
    <w:link w:val="Footer"/>
    <w:uiPriority w:val="99"/>
    <w:rsid w:val="00356B3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1612-021-00548-y" TargetMode="External"/><Relationship Id="rId22" Type="http://schemas.openxmlformats.org/officeDocument/2006/relationships/hyperlink" Target="https://www.researchgate.net/publication/384802794_Mitigating_Bias_in_AI-Driven_Recruitment_The_Role_of_Explainable_Machine_Learning_XAI" TargetMode="External"/><Relationship Id="rId21" Type="http://schemas.openxmlformats.org/officeDocument/2006/relationships/hyperlink" Target="https://www.researchgate.net/publication/384802794_Mitigating_Bias_in_AI-Driven_Recruitment_The_Role_of_Explainable_Machine_Learning_XAI" TargetMode="External"/><Relationship Id="rId24" Type="http://schemas.openxmlformats.org/officeDocument/2006/relationships/hyperlink" Target="https://doi.org/10.1002/hrm.21843" TargetMode="External"/><Relationship Id="rId23" Type="http://schemas.openxmlformats.org/officeDocument/2006/relationships/hyperlink" Target="https://doi.org/10.1002/hrm.218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1301-025-00491-y" TargetMode="External"/><Relationship Id="rId26" Type="http://schemas.openxmlformats.org/officeDocument/2006/relationships/hyperlink" Target="https://doi.org/10.1016/j.jjimei.2023.100208" TargetMode="External"/><Relationship Id="rId25" Type="http://schemas.openxmlformats.org/officeDocument/2006/relationships/hyperlink" Target="https://doi.org/10.1016/j.jjimei.2023.100208" TargetMode="External"/><Relationship Id="rId28" Type="http://schemas.openxmlformats.org/officeDocument/2006/relationships/hyperlink" Target="https://rte.espol.edu.ec/index.php/tecnologica/es/article/view/1354" TargetMode="External"/><Relationship Id="rId27" Type="http://schemas.openxmlformats.org/officeDocument/2006/relationships/hyperlink" Target="https://rte.espol.edu.ec/index.php/tecnologica/es/article/view/135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07/s10984-023-09458-w" TargetMode="External"/><Relationship Id="rId7" Type="http://schemas.openxmlformats.org/officeDocument/2006/relationships/hyperlink" Target="mailto:parudiaz@espol.edu.ec" TargetMode="External"/><Relationship Id="rId8" Type="http://schemas.openxmlformats.org/officeDocument/2006/relationships/image" Target="media/image1.png"/><Relationship Id="rId31" Type="http://schemas.openxmlformats.org/officeDocument/2006/relationships/hyperlink" Target="https://doi.org/10.1186/s11782-018-0035-0" TargetMode="External"/><Relationship Id="rId30" Type="http://schemas.openxmlformats.org/officeDocument/2006/relationships/hyperlink" Target="https://doi.org/10.1007/s10984-023-09458-w" TargetMode="External"/><Relationship Id="rId11" Type="http://schemas.openxmlformats.org/officeDocument/2006/relationships/hyperlink" Target="https://www.sciencedirect.com/science/article/pii/S0360131524001805" TargetMode="External"/><Relationship Id="rId33" Type="http://schemas.openxmlformats.org/officeDocument/2006/relationships/image" Target="media/image4.png"/><Relationship Id="rId10" Type="http://schemas.openxmlformats.org/officeDocument/2006/relationships/hyperlink" Target="https://doi.org/10.1007/s11301-025-00491-y" TargetMode="External"/><Relationship Id="rId32" Type="http://schemas.openxmlformats.org/officeDocument/2006/relationships/hyperlink" Target="https://doi.org/10.1186/s11782-018-0035-0" TargetMode="External"/><Relationship Id="rId13" Type="http://schemas.openxmlformats.org/officeDocument/2006/relationships/hyperlink" Target="https://doi.org/10.1007/s43621-024-00212-7" TargetMode="External"/><Relationship Id="rId12" Type="http://schemas.openxmlformats.org/officeDocument/2006/relationships/hyperlink" Target="https://www.sciencedirect.com/science/article/pii/S0360131524001805" TargetMode="External"/><Relationship Id="rId15" Type="http://schemas.openxmlformats.org/officeDocument/2006/relationships/hyperlink" Target="https://doi.org/10.9790/487X-2501025663" TargetMode="External"/><Relationship Id="rId14" Type="http://schemas.openxmlformats.org/officeDocument/2006/relationships/hyperlink" Target="https://doi.org/10.1007/s43621-024-00212-7" TargetMode="External"/><Relationship Id="rId17" Type="http://schemas.openxmlformats.org/officeDocument/2006/relationships/hyperlink" Target="https://doi.org/10.1038/s41598-026-38488-6" TargetMode="External"/><Relationship Id="rId16" Type="http://schemas.openxmlformats.org/officeDocument/2006/relationships/hyperlink" Target="https://doi.org/10.9790/487X-2501025663" TargetMode="External"/><Relationship Id="rId19" Type="http://schemas.openxmlformats.org/officeDocument/2006/relationships/hyperlink" Target="https://doi.org/10.1007/s11612-021-00548-y" TargetMode="External"/><Relationship Id="rId18" Type="http://schemas.openxmlformats.org/officeDocument/2006/relationships/hyperlink" Target="https://doi.org/10.1038/s41598-026-3848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hj2BTyE93DbvCWkCmDGK83mi4g==">CgMxLjA4AHIhMWxmX3JsWGV1T2ZUZ0R1Qk1jQ2pMbzBOaGdWdmY0cHA5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2026-08-17T01:39:00Z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2026-06-10T00:00:00Z</vt:lpwstr>
  </property>
  <property fmtid="{D5CDD505-2E9C-101B-9397-08002B2CF9AE}" pid="4" name="Creator">
    <vt:lpwstr>PDFium</vt:lpwstr>
  </property>
  <property fmtid="{D5CDD505-2E9C-101B-9397-08002B2CF9AE}" pid="5" name="Producer">
    <vt:lpwstr>PDFium</vt:lpwstr>
  </property>
  <property fmtid="{D5CDD505-2E9C-101B-9397-08002B2CF9AE}" pid="6" name="LastSaved">
    <vt:lpwstr>2026-06-10T00:00:00Z</vt:lpwstr>
  </property>
</Properties>
</file>