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0"/>
        </w:rPr>
        <w:t>Problemas de datos y reglas de negocio encontradas</w:t>
      </w:r>
    </w:p>
    <w:p>
      <w:pPr>
        <w:jc w:val="center"/>
      </w:pPr>
      <w:r>
        <w:rPr>
          <w:color w:val="444444"/>
          <w:sz w:val="24"/>
        </w:rPr>
        <w:t>Sistema de Generación de Perfiles del Personal Docente y Administrativo en ESPOL</w:t>
        <w:br/>
        <w:t>para la asignación inteligente de tareas</w:t>
      </w:r>
    </w:p>
    <w:p/>
    <w:p>
      <w:pPr>
        <w:jc w:val="center"/>
      </w:pPr>
      <w:r>
        <w:rPr>
          <w:i/>
          <w:sz w:val="20"/>
        </w:rPr>
        <w:t>Documento generado: 2026-09-11</w:t>
      </w:r>
    </w:p>
    <w:p/>
    <w:p>
      <w:r>
        <w:rPr>
          <w:sz w:val="21"/>
        </w:rPr>
        <w:t>Este documento resume, para consulta rápida, qué problemas o ambigüedades de negocio se encontraron durante la construcción del dataset y qué decisión se tomó para tratarlos. Es una destilación de context/DECISION_LOG.md — cada fila enlaza al identificador DEC-XXX correspondiente, que contiene el detalle completo (evidencia, alternativas consideradas, impacto medido, archivos afectados).</w:t>
      </w:r>
    </w:p>
    <w:p>
      <w:r>
        <w:rPr>
          <w:i/>
          <w:color w:val="555555"/>
          <w:sz w:val="19"/>
        </w:rPr>
        <w:t>Cómo leer las tablas: “Problema/ambigüedad” describe qué se encontró en los datos que no tenía un tratamiento obvio; “Decisión” es la regla de negocio aplicada; “Quién la definió” distingue si fue una corrección técnica sin ambigüedad de negocio o si requirió confirmación explícita del usuario/institución; “Ref.” es el identificador de decisión en el registro completo.</w:t>
      </w:r>
    </w:p>
    <w:p>
      <w:r>
        <w:br w:type="page"/>
      </w:r>
    </w:p>
    <w:p>
      <w:pPr>
        <w:pStyle w:val="Heading1"/>
      </w:pPr>
      <w:r>
        <w:rPr>
          <w:color w:val="1F3B57"/>
        </w:rPr>
        <w:t>1. Vigencia de contratos (“¿esta persona sigue activa hoy?”)</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175"/>
            <w:shd w:val="clear" w:color="auto" w:fill="1F3B57"/>
          </w:tcPr>
          <w:p>
            <w:pPr>
              <w:jc w:val="left"/>
            </w:pPr>
            <w:r/>
            <w:r>
              <w:rPr>
                <w:b/>
                <w:color w:val="FFFFFF"/>
                <w:sz w:val="19"/>
              </w:rPr>
              <w:t>Problema/ambigüedad</w:t>
            </w:r>
          </w:p>
        </w:tc>
        <w:tc>
          <w:tcPr>
            <w:tcW w:type="dxa" w:w="3742"/>
            <w:shd w:val="clear" w:color="auto" w:fill="1F3B57"/>
          </w:tcPr>
          <w:p>
            <w:pPr>
              <w:jc w:val="left"/>
            </w:pPr>
            <w:r/>
            <w:r>
              <w:rPr>
                <w:b/>
                <w:color w:val="FFFFFF"/>
                <w:sz w:val="19"/>
              </w:rPr>
              <w:t>Decisión</w:t>
            </w:r>
          </w:p>
        </w:tc>
        <w:tc>
          <w:tcPr>
            <w:tcW w:type="dxa" w:w="1871"/>
            <w:shd w:val="clear" w:color="auto" w:fill="1F3B57"/>
          </w:tcPr>
          <w:p>
            <w:pPr>
              <w:jc w:val="left"/>
            </w:pPr>
            <w:r/>
            <w:r>
              <w:rPr>
                <w:b/>
                <w:color w:val="FFFFFF"/>
                <w:sz w:val="19"/>
              </w:rPr>
              <w:t>Quién la definió</w:t>
            </w:r>
          </w:p>
        </w:tc>
        <w:tc>
          <w:tcPr>
            <w:tcW w:type="dxa" w:w="907"/>
            <w:shd w:val="clear" w:color="auto" w:fill="1F3B57"/>
          </w:tcPr>
          <w:p>
            <w:pPr>
              <w:jc w:val="left"/>
            </w:pPr>
            <w:r/>
            <w:r>
              <w:rPr>
                <w:b/>
                <w:color w:val="FFFFFF"/>
                <w:sz w:val="19"/>
              </w:rPr>
              <w:t>Ref.</w:t>
            </w:r>
          </w:p>
        </w:tc>
      </w:tr>
      <w:tr>
        <w:tc>
          <w:tcPr>
            <w:tcW w:type="dxa" w:w="3175"/>
          </w:tcPr>
          <w:p>
            <w:r/>
            <w:r>
              <w:rPr>
                <w:sz w:val="18"/>
              </w:rPr>
              <w:t>Un contrato con FECHAFINCONTRATO vacía se interpretaba como vigente — pero RRHH casi siempre graba una fecha fin planificada incluso en contratos activos (54% de los ESTADOCONTRATO='AA' ya tenían fecha, a veces futura), y 124 contratos ACTIVOS tenían esa fecha ya en el pasado (retraso de captura de la renovación).</w:t>
            </w:r>
          </w:p>
        </w:tc>
        <w:tc>
          <w:tcPr>
            <w:tcW w:type="dxa" w:w="3742"/>
          </w:tcPr>
          <w:p>
            <w:r/>
            <w:r>
              <w:rPr>
                <w:sz w:val="18"/>
              </w:rPr>
              <w:t>La vigencia se decide por ESTADOCONTRATO (AA=activo, PE=por ejecutarse ⇒ vigente), no por presencia/ausencia de fecha ni por comparar la fecha contra “hoy”.</w:t>
            </w:r>
          </w:p>
        </w:tc>
        <w:tc>
          <w:tcPr>
            <w:tcW w:type="dxa" w:w="1871"/>
          </w:tcPr>
          <w:p>
            <w:r/>
            <w:r>
              <w:rPr>
                <w:sz w:val="18"/>
              </w:rPr>
              <w:t>Técnica (patrón de datos claro tras medir)</w:t>
            </w:r>
          </w:p>
        </w:tc>
        <w:tc>
          <w:tcPr>
            <w:tcW w:type="dxa" w:w="907"/>
          </w:tcPr>
          <w:p>
            <w:r/>
            <w:r>
              <w:rPr>
                <w:sz w:val="18"/>
              </w:rPr>
              <w:t>DEC-005</w:t>
            </w:r>
          </w:p>
        </w:tc>
      </w:tr>
      <w:tr>
        <w:tc>
          <w:tcPr>
            <w:tcW w:type="dxa" w:w="3175"/>
          </w:tcPr>
          <w:p>
            <w:r/>
            <w:r>
              <w:rPr>
                <w:sz w:val="18"/>
              </w:rPr>
              <w:t>ESTADOCONTRATO='FF' (finalizado) sin FECHAFINCONTRATO ni FECHADESVINCULACION capturadas (descuido de captura) se trataba como vigente por defecto — 58 contratos de 43 personas.</w:t>
            </w:r>
          </w:p>
        </w:tc>
        <w:tc>
          <w:tcPr>
            <w:tcW w:type="dxa" w:w="3742"/>
          </w:tcPr>
          <w:p>
            <w:r/>
            <w:r>
              <w:rPr>
                <w:sz w:val="18"/>
              </w:rPr>
              <w:t>Un FF sin fecha se cierra igual: se usa la fecha de inicio del contrato siguiente de la misma persona (o la propia fecha de inicio si es el último — duración 0). El estado explícito del sistema origen manda sobre la fecha faltante.</w:t>
            </w:r>
          </w:p>
        </w:tc>
        <w:tc>
          <w:tcPr>
            <w:tcW w:type="dxa" w:w="1871"/>
          </w:tcPr>
          <w:p>
            <w:r/>
            <w:r>
              <w:rPr>
                <w:sz w:val="18"/>
              </w:rPr>
              <w:t>Técnica</w:t>
            </w:r>
          </w:p>
        </w:tc>
        <w:tc>
          <w:tcPr>
            <w:tcW w:type="dxa" w:w="907"/>
          </w:tcPr>
          <w:p>
            <w:r/>
            <w:r>
              <w:rPr>
                <w:sz w:val="18"/>
              </w:rPr>
              <w:t>DEC-023</w:t>
            </w:r>
          </w:p>
        </w:tc>
      </w:tr>
      <w:tr>
        <w:tc>
          <w:tcPr>
            <w:tcW w:type="dxa" w:w="3175"/>
          </w:tcPr>
          <w:p>
            <w:r/>
            <w:r>
              <w:rPr>
                <w:sz w:val="18"/>
              </w:rPr>
              <w:t>Un contrato intermedio sin fecha de fin “infectaba” el tramo/período completo como vigente para siempre — ningún contrato posterior con cierre real podía sobreescribir un NaT heredado. Duplicado en dos funciones distintas (construir_tramos_rol y calcular_periodos_continuos) — hay que revisar ambas si se retoca este patrón.</w:t>
            </w:r>
          </w:p>
        </w:tc>
        <w:tc>
          <w:tcPr>
            <w:tcW w:type="dxa" w:w="3742"/>
          </w:tcPr>
          <w:p>
            <w:r/>
            <w:r>
              <w:rPr>
                <w:sz w:val="18"/>
              </w:rPr>
              <w:t>El fin de un tramo/período usa el contrato más reciente por fecha de inicio; si ya cerró, se toma el máximo entre el fin anterior y el nuevo (preserva contratos “paraguas” con contratos cortos anidados — 15,602 casos).</w:t>
            </w:r>
          </w:p>
        </w:tc>
        <w:tc>
          <w:tcPr>
            <w:tcW w:type="dxa" w:w="1871"/>
          </w:tcPr>
          <w:p>
            <w:r/>
            <w:r>
              <w:rPr>
                <w:sz w:val="18"/>
              </w:rPr>
              <w:t>Técnica, con alternativa de negocio descartada explícitamente (ver fila siguiente)</w:t>
            </w:r>
          </w:p>
        </w:tc>
        <w:tc>
          <w:tcPr>
            <w:tcW w:type="dxa" w:w="907"/>
          </w:tcPr>
          <w:p>
            <w:r/>
            <w:r>
              <w:rPr>
                <w:sz w:val="18"/>
              </w:rPr>
              <w:t>DEC-023</w:t>
            </w:r>
          </w:p>
        </w:tc>
      </w:tr>
      <w:tr>
        <w:tc>
          <w:tcPr>
            <w:tcW w:type="dxa" w:w="3175"/>
          </w:tcPr>
          <w:p>
            <w:r/>
            <w:r>
              <w:rPr>
                <w:sz w:val="18"/>
              </w:rPr>
              <w:t>Alternativa considerada: dar un margen de gracia (30-60 días) tras el cierre del último contrato conocido, para absorber el desfase de renovación administrativa.</w:t>
            </w:r>
          </w:p>
        </w:tc>
        <w:tc>
          <w:tcPr>
            <w:tcW w:type="dxa" w:w="3742"/>
          </w:tcPr>
          <w:p>
            <w:r/>
            <w:r>
              <w:rPr>
                <w:sz w:val="18"/>
              </w:rPr>
              <w:t>Descartada explícitamente por el usuario: VIGENTE_ACTUALMENTE debe reflejar fielmente el dato disponible hoy, sin asumir una renovación que el dato aún no confirma.</w:t>
            </w:r>
          </w:p>
        </w:tc>
        <w:tc>
          <w:tcPr>
            <w:tcW w:type="dxa" w:w="1871"/>
          </w:tcPr>
          <w:p>
            <w:r/>
            <w:r>
              <w:rPr>
                <w:sz w:val="18"/>
              </w:rPr>
              <w:t>Usuario</w:t>
            </w:r>
          </w:p>
        </w:tc>
        <w:tc>
          <w:tcPr>
            <w:tcW w:type="dxa" w:w="907"/>
          </w:tcPr>
          <w:p>
            <w:r/>
            <w:r>
              <w:rPr>
                <w:sz w:val="18"/>
              </w:rPr>
              <w:t>DEC-023</w:t>
            </w:r>
          </w:p>
        </w:tc>
      </w:tr>
      <w:tr>
        <w:tc>
          <w:tcPr>
            <w:tcW w:type="dxa" w:w="3175"/>
          </w:tcPr>
          <w:p>
            <w:r/>
            <w:r>
              <w:rPr>
                <w:sz w:val="18"/>
              </w:rPr>
              <w:t>Un nombramiento estructural abierto (AA, sin fecha de cierre) de una autoridad (Rectora, Vicerrectores) quedaba cerrado por actos administrativos FF posteriores del mismo cargo. Un primer intento de arreglo (aplicado también sin segmentar por cargo) sobrecorrigió: infló vigentes de 717 a 1434.</w:t>
            </w:r>
          </w:p>
        </w:tc>
        <w:tc>
          <w:tcPr>
            <w:tcW w:type="dxa" w:w="3742"/>
          </w:tcPr>
          <w:p>
            <w:r/>
            <w:r>
              <w:rPr>
                <w:sz w:val="18"/>
              </w:rPr>
              <w:t>La protección “un AA no se cierra por un FF posterior” se aplica solo dentro de construir_tramos_rol (ya segmentado por categoría de cargo). calcular_periodos_continuos se deja sin esta excepción.</w:t>
            </w:r>
          </w:p>
        </w:tc>
        <w:tc>
          <w:tcPr>
            <w:tcW w:type="dxa" w:w="1871"/>
          </w:tcPr>
          <w:p>
            <w:r/>
            <w:r>
              <w:rPr>
                <w:sz w:val="18"/>
              </w:rPr>
              <w:t>Técnica (con reversión documentada del intento fallido)</w:t>
            </w:r>
          </w:p>
        </w:tc>
        <w:tc>
          <w:tcPr>
            <w:tcW w:type="dxa" w:w="907"/>
          </w:tcPr>
          <w:p>
            <w:r/>
            <w:r>
              <w:rPr>
                <w:sz w:val="18"/>
              </w:rPr>
              <w:t>DEC-024</w:t>
            </w:r>
          </w:p>
        </w:tc>
      </w:tr>
      <w:tr>
        <w:tc>
          <w:tcPr>
            <w:tcW w:type="dxa" w:w="3175"/>
          </w:tcPr>
          <w:p>
            <w:r/>
            <w:r>
              <w:rPr>
                <w:sz w:val="18"/>
              </w:rPr>
              <w:t>Tras el fix anterior, la Rectora (1216) seguía mostrando “Vigente: No”, contradiciendo visualmente “Cargo actual: RECTOR(A)” — su último contrato en el extracto tiene ~3 semanas de antigüedad respecto al corte máximo del dataset (limitación real del extracto, no un bug de lógica).</w:t>
            </w:r>
          </w:p>
        </w:tc>
        <w:tc>
          <w:tcPr>
            <w:tcW w:type="dxa" w:w="3742"/>
          </w:tcPr>
          <w:p>
            <w:r/>
            <w:r>
              <w:rPr>
                <w:sz w:val="18"/>
              </w:rPr>
              <w:t>Columna de presentación VIGENTE_MOSTRAR = VIGENTE_ACTUALMENTE OR VIGENTE_TRAMO_ESTRUCTURAL, usada en toda la UI en vez de VIGENTE_ACTUALMENTE sola. Impacto: 1432/3195 con VIGENTE_MOSTRAR=True vs. 717 con VIGENTE_ACTUALMENTE sola.</w:t>
            </w:r>
          </w:p>
        </w:tc>
        <w:tc>
          <w:tcPr>
            <w:tcW w:type="dxa" w:w="1871"/>
          </w:tcPr>
          <w:p>
            <w:r/>
            <w:r>
              <w:rPr>
                <w:sz w:val="18"/>
              </w:rPr>
              <w:t>Técnica (para resolver la contradicción visual)</w:t>
            </w:r>
          </w:p>
        </w:tc>
        <w:tc>
          <w:tcPr>
            <w:tcW w:type="dxa" w:w="907"/>
          </w:tcPr>
          <w:p>
            <w:r/>
            <w:r>
              <w:rPr>
                <w:sz w:val="18"/>
              </w:rPr>
              <w:t>DEC-024</w:t>
            </w:r>
          </w:p>
        </w:tc>
      </w:tr>
      <w:tr>
        <w:tc>
          <w:tcPr>
            <w:tcW w:type="dxa" w:w="3175"/>
          </w:tcPr>
          <w:p>
            <w:r/>
            <w:r>
              <w:rPr>
                <w:sz w:val="18"/>
              </w:rPr>
              <w:t>TI (Temporalmente Inactivo) se trata igual que un contrato con fecha (no se fuerza a vigente). Razonable pero nunca confirmado explícitamente con el usuario.</w:t>
            </w:r>
          </w:p>
        </w:tc>
        <w:tc>
          <w:tcPr>
            <w:tcW w:type="dxa" w:w="3742"/>
          </w:tcPr>
          <w:p>
            <w:r/>
            <w:r>
              <w:rPr>
                <w:sz w:val="18"/>
              </w:rPr>
              <w:t>Queda como está; revisar si aparecen casos raros.</w:t>
            </w:r>
          </w:p>
        </w:tc>
        <w:tc>
          <w:tcPr>
            <w:tcW w:type="dxa" w:w="1871"/>
          </w:tcPr>
          <w:p>
            <w:r/>
            <w:r>
              <w:rPr>
                <w:sz w:val="18"/>
              </w:rPr>
              <w:t>Sin confirmar — limitación conocida abierta</w:t>
            </w:r>
          </w:p>
        </w:tc>
        <w:tc>
          <w:tcPr>
            <w:tcW w:type="dxa" w:w="907"/>
          </w:tcPr>
          <w:p>
            <w:r/>
            <w:r>
              <w:rPr>
                <w:sz w:val="18"/>
              </w:rPr>
              <w:t>DEC-005</w:t>
            </w:r>
          </w:p>
        </w:tc>
      </w:tr>
    </w:tbl>
    <w:p/>
    <w:p>
      <w:pPr>
        <w:pStyle w:val="Heading1"/>
      </w:pPr>
      <w:r>
        <w:rPr>
          <w:color w:val="1F3B57"/>
        </w:rPr>
        <w:t>2. CARGO_ACTUAL / UNIDAD_ACTUAL_NOMBRE (“¿qué está haciendo esta persona hoy?”)</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175"/>
            <w:shd w:val="clear" w:color="auto" w:fill="1F3B57"/>
          </w:tcPr>
          <w:p>
            <w:pPr>
              <w:jc w:val="left"/>
            </w:pPr>
            <w:r/>
            <w:r>
              <w:rPr>
                <w:b/>
                <w:color w:val="FFFFFF"/>
                <w:sz w:val="19"/>
              </w:rPr>
              <w:t>Problema/ambigüedad</w:t>
            </w:r>
          </w:p>
        </w:tc>
        <w:tc>
          <w:tcPr>
            <w:tcW w:type="dxa" w:w="3742"/>
            <w:shd w:val="clear" w:color="auto" w:fill="1F3B57"/>
          </w:tcPr>
          <w:p>
            <w:pPr>
              <w:jc w:val="left"/>
            </w:pPr>
            <w:r/>
            <w:r>
              <w:rPr>
                <w:b/>
                <w:color w:val="FFFFFF"/>
                <w:sz w:val="19"/>
              </w:rPr>
              <w:t>Decisión</w:t>
            </w:r>
          </w:p>
        </w:tc>
        <w:tc>
          <w:tcPr>
            <w:tcW w:type="dxa" w:w="1871"/>
            <w:shd w:val="clear" w:color="auto" w:fill="1F3B57"/>
          </w:tcPr>
          <w:p>
            <w:pPr>
              <w:jc w:val="left"/>
            </w:pPr>
            <w:r/>
            <w:r>
              <w:rPr>
                <w:b/>
                <w:color w:val="FFFFFF"/>
                <w:sz w:val="19"/>
              </w:rPr>
              <w:t>Quién la definió</w:t>
            </w:r>
          </w:p>
        </w:tc>
        <w:tc>
          <w:tcPr>
            <w:tcW w:type="dxa" w:w="907"/>
            <w:shd w:val="clear" w:color="auto" w:fill="1F3B57"/>
          </w:tcPr>
          <w:p>
            <w:pPr>
              <w:jc w:val="left"/>
            </w:pPr>
            <w:r/>
            <w:r>
              <w:rPr>
                <w:b/>
                <w:color w:val="FFFFFF"/>
                <w:sz w:val="19"/>
              </w:rPr>
              <w:t>Ref.</w:t>
            </w:r>
          </w:p>
        </w:tc>
      </w:tr>
      <w:tr>
        <w:tc>
          <w:tcPr>
            <w:tcW w:type="dxa" w:w="3175"/>
          </w:tcPr>
          <w:p>
            <w:r/>
            <w:r>
              <w:rPr>
                <w:sz w:val="18"/>
              </w:rPr>
              <w:t>CARGO_ACTUAL/UNIDAD_ACTUAL_NOMBRE se calculaban sobre el último contrato por fecha, sin excluir categorías puntuales/ruido — 17.9% de las personas clusterizadas (444/2476) mostraban un cargo inconsistente con su propio cluster.</w:t>
            </w:r>
          </w:p>
        </w:tc>
        <w:tc>
          <w:tcPr>
            <w:tcW w:type="dxa" w:w="3742"/>
          </w:tcPr>
          <w:p>
            <w:r/>
            <w:r>
              <w:rPr>
                <w:sz w:val="18"/>
              </w:rPr>
              <w:t>Se recalculan desde el mismo tramo estructural que determina CATEGORIA_CARGO_ACTUAL/CLUSTER — consistentes por construcción.</w:t>
            </w:r>
          </w:p>
        </w:tc>
        <w:tc>
          <w:tcPr>
            <w:tcW w:type="dxa" w:w="1871"/>
          </w:tcPr>
          <w:p>
            <w:r/>
            <w:r>
              <w:rPr>
                <w:sz w:val="18"/>
              </w:rPr>
              <w:t>Técnica</w:t>
            </w:r>
          </w:p>
        </w:tc>
        <w:tc>
          <w:tcPr>
            <w:tcW w:type="dxa" w:w="907"/>
          </w:tcPr>
          <w:p>
            <w:r/>
            <w:r>
              <w:rPr>
                <w:sz w:val="18"/>
              </w:rPr>
              <w:t>DEC-016</w:t>
            </w:r>
          </w:p>
        </w:tc>
      </w:tr>
      <w:tr>
        <w:tc>
          <w:tcPr>
            <w:tcW w:type="dxa" w:w="3175"/>
          </w:tcPr>
          <w:p>
            <w:r/>
            <w:r>
              <w:rPr>
                <w:sz w:val="18"/>
              </w:rPr>
              <w:t>Persona sin tramo estructural vigente hoy, pero con un contrato puntual sí vigente: mostrar el cargo estructural ya finalizado hacía ver “vigente=True” con un cargo que parecía terminado hace tiempo. 299 personas en esta situación.</w:t>
            </w:r>
          </w:p>
        </w:tc>
        <w:tc>
          <w:tcPr>
            <w:tcW w:type="dxa" w:w="3742"/>
          </w:tcPr>
          <w:p>
            <w:r/>
            <w:r>
              <w:rPr>
                <w:sz w:val="18"/>
              </w:rPr>
              <w:t>CARGO_ACTUAL/UNIDAD_ACTUAL_NOMBRE usan el contrato puntual vigente como fallback cuando no hay tramo estructural activo. No cambia CLUSTER/CATEGORIA_CARGO_ACTUAL. Flag CARGO_ES_CONTRATO_PUNTUAL_VIGENTE para que la UI lo explique.</w:t>
            </w:r>
          </w:p>
        </w:tc>
        <w:tc>
          <w:tcPr>
            <w:tcW w:type="dxa" w:w="1871"/>
          </w:tcPr>
          <w:p>
            <w:r/>
            <w:r>
              <w:rPr>
                <w:sz w:val="18"/>
              </w:rPr>
              <w:t>Usuario, confirmado explícitamente entre 3 alternativas presentadas</w:t>
            </w:r>
          </w:p>
        </w:tc>
        <w:tc>
          <w:tcPr>
            <w:tcW w:type="dxa" w:w="907"/>
          </w:tcPr>
          <w:p>
            <w:r/>
            <w:r>
              <w:rPr>
                <w:sz w:val="18"/>
              </w:rPr>
              <w:t>DEC-017</w:t>
            </w:r>
          </w:p>
        </w:tc>
      </w:tr>
      <w:tr>
        <w:tc>
          <w:tcPr>
            <w:tcW w:type="dxa" w:w="3175"/>
          </w:tcPr>
          <w:p>
            <w:r/>
            <w:r>
              <w:rPr>
                <w:sz w:val="18"/>
              </w:rPr>
              <w:t>Alternativas consideradas para el caso anterior: (a) mantener el cargo estructural con un aviso; (b) tratar a la persona como sin perfil (CLUSTER=-1).</w:t>
            </w:r>
          </w:p>
        </w:tc>
        <w:tc>
          <w:tcPr>
            <w:tcW w:type="dxa" w:w="3742"/>
          </w:tcPr>
          <w:p>
            <w:r/>
            <w:r>
              <w:rPr>
                <w:sz w:val="18"/>
              </w:rPr>
              <w:t>Ambas descartadas por el usuario; eligió mostrar el contrato puntual como cargo actual.</w:t>
            </w:r>
          </w:p>
        </w:tc>
        <w:tc>
          <w:tcPr>
            <w:tcW w:type="dxa" w:w="1871"/>
          </w:tcPr>
          <w:p>
            <w:r/>
            <w:r>
              <w:rPr>
                <w:sz w:val="18"/>
              </w:rPr>
              <w:t>Usuario</w:t>
            </w:r>
          </w:p>
        </w:tc>
        <w:tc>
          <w:tcPr>
            <w:tcW w:type="dxa" w:w="907"/>
          </w:tcPr>
          <w:p>
            <w:r/>
            <w:r>
              <w:rPr>
                <w:sz w:val="18"/>
              </w:rPr>
              <w:t>DEC-017</w:t>
            </w:r>
          </w:p>
        </w:tc>
      </w:tr>
      <w:tr>
        <w:tc>
          <w:tcPr>
            <w:tcW w:type="dxa" w:w="3175"/>
          </w:tcPr>
          <w:p>
            <w:r/>
            <w:r>
              <w:rPr>
                <w:sz w:val="18"/>
              </w:rPr>
              <w:t>Caso límite no cubierto por el fallback anterior (persona 865, reportado 2026-09-10): el fallback solo se activa si hay un contrato puntual vigente HOY. Si el último contrato puntual ya venció y no hay uno nuevo capturado aún, CARGO_ACTUAL cae al tramo estructural antiguo, que puede leerse como desactualizado aunque el timeline muestre actividad puntual reciente.</w:t>
            </w:r>
          </w:p>
        </w:tc>
        <w:tc>
          <w:tcPr>
            <w:tcW w:type="dxa" w:w="3742"/>
          </w:tcPr>
          <w:p>
            <w:r/>
            <w:r>
              <w:rPr>
                <w:sz w:val="18"/>
              </w:rPr>
              <w:t>Diagnosticado y explicado al usuario; no se ha tomado una decisión de tratamiento todavía — pendiente decidir si se muestra algo distinto para este caso intermedio (ej. “último cargo puntual conocido: ... (venció AAAA-MM-DD)”).</w:t>
            </w:r>
          </w:p>
        </w:tc>
        <w:tc>
          <w:tcPr>
            <w:tcW w:type="dxa" w:w="1871"/>
          </w:tcPr>
          <w:p>
            <w:r/>
            <w:r>
              <w:rPr>
                <w:sz w:val="18"/>
              </w:rPr>
              <w:t>Sin resolver — pendiente de decisión</w:t>
            </w:r>
          </w:p>
        </w:tc>
        <w:tc>
          <w:tcPr>
            <w:tcW w:type="dxa" w:w="907"/>
          </w:tcPr>
          <w:p>
            <w:r/>
            <w:r>
              <w:rPr>
                <w:sz w:val="18"/>
              </w:rPr>
              <w:t>(sin DEC; sesión 2026-09-10)</w:t>
            </w:r>
          </w:p>
        </w:tc>
      </w:tr>
      <w:tr>
        <w:tc>
          <w:tcPr>
            <w:tcW w:type="dxa" w:w="3175"/>
          </w:tcPr>
          <w:p>
            <w:r/>
            <w:r>
              <w:rPr>
                <w:sz w:val="18"/>
              </w:rPr>
              <w:t>Contratos de TIPOEMPLEADO=“NN” (CONTRATO CIVIL, sin relación de dependencia) no estaban mapeados y caían en la categoría genérica SIN_TIPOEMPLEADO, que sí pasaba el filtro de construir_tramos_rol.</w:t>
            </w:r>
          </w:p>
        </w:tc>
        <w:tc>
          <w:tcPr>
            <w:tcW w:type="dxa" w:w="3742"/>
          </w:tcPr>
          <w:p>
            <w:r/>
            <w:r>
              <w:rPr>
                <w:sz w:val="18"/>
              </w:rPr>
              <w:t>SIN_TIPOEMPLEADO se excluye de construir_tramos_rol y de la búsqueda de contrato solapado, igual que SIN_DATO/CATEGORIAS_PUNTUALES.</w:t>
            </w:r>
          </w:p>
        </w:tc>
        <w:tc>
          <w:tcPr>
            <w:tcW w:type="dxa" w:w="1871"/>
          </w:tcPr>
          <w:p>
            <w:r/>
            <w:r>
              <w:rPr>
                <w:sz w:val="18"/>
              </w:rPr>
              <w:t>Técnica</w:t>
            </w:r>
          </w:p>
        </w:tc>
        <w:tc>
          <w:tcPr>
            <w:tcW w:type="dxa" w:w="907"/>
          </w:tcPr>
          <w:p>
            <w:r/>
            <w:r>
              <w:rPr>
                <w:sz w:val="18"/>
              </w:rPr>
              <w:t>DEC-012</w:t>
            </w:r>
          </w:p>
        </w:tc>
      </w:tr>
    </w:tbl>
    <w:p/>
    <w:p>
      <w:pPr>
        <w:pStyle w:val="Heading1"/>
      </w:pPr>
      <w:r>
        <w:rPr>
          <w:color w:val="1F3B57"/>
        </w:rPr>
        <w:t>3. Taxonomía de cargos (CATEGORIA_CARGO) y ruido de captura</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175"/>
            <w:shd w:val="clear" w:color="auto" w:fill="1F3B57"/>
          </w:tcPr>
          <w:p>
            <w:pPr>
              <w:jc w:val="left"/>
            </w:pPr>
            <w:r/>
            <w:r>
              <w:rPr>
                <w:b/>
                <w:color w:val="FFFFFF"/>
                <w:sz w:val="19"/>
              </w:rPr>
              <w:t>Problema/ambigüedad</w:t>
            </w:r>
          </w:p>
        </w:tc>
        <w:tc>
          <w:tcPr>
            <w:tcW w:type="dxa" w:w="3742"/>
            <w:shd w:val="clear" w:color="auto" w:fill="1F3B57"/>
          </w:tcPr>
          <w:p>
            <w:pPr>
              <w:jc w:val="left"/>
            </w:pPr>
            <w:r/>
            <w:r>
              <w:rPr>
                <w:b/>
                <w:color w:val="FFFFFF"/>
                <w:sz w:val="19"/>
              </w:rPr>
              <w:t>Decisión</w:t>
            </w:r>
          </w:p>
        </w:tc>
        <w:tc>
          <w:tcPr>
            <w:tcW w:type="dxa" w:w="1871"/>
            <w:shd w:val="clear" w:color="auto" w:fill="1F3B57"/>
          </w:tcPr>
          <w:p>
            <w:pPr>
              <w:jc w:val="left"/>
            </w:pPr>
            <w:r/>
            <w:r>
              <w:rPr>
                <w:b/>
                <w:color w:val="FFFFFF"/>
                <w:sz w:val="19"/>
              </w:rPr>
              <w:t>Quién la definió</w:t>
            </w:r>
          </w:p>
        </w:tc>
        <w:tc>
          <w:tcPr>
            <w:tcW w:type="dxa" w:w="907"/>
            <w:shd w:val="clear" w:color="auto" w:fill="1F3B57"/>
          </w:tcPr>
          <w:p>
            <w:pPr>
              <w:jc w:val="left"/>
            </w:pPr>
            <w:r/>
            <w:r>
              <w:rPr>
                <w:b/>
                <w:color w:val="FFFFFF"/>
                <w:sz w:val="19"/>
              </w:rPr>
              <w:t>Ref.</w:t>
            </w:r>
          </w:p>
        </w:tc>
      </w:tr>
      <w:tr>
        <w:tc>
          <w:tcPr>
            <w:tcW w:type="dxa" w:w="3175"/>
          </w:tcPr>
          <w:p>
            <w:r/>
            <w:r>
              <w:rPr>
                <w:sz w:val="18"/>
              </w:rPr>
              <w:t>¿Cómo subdividir el rol dentro de Docente/Administrativo para un análisis longitudinal, sin inventar categorías no interpretables?</w:t>
            </w:r>
          </w:p>
        </w:tc>
        <w:tc>
          <w:tcPr>
            <w:tcW w:type="dxa" w:w="3742"/>
          </w:tcPr>
          <w:p>
            <w:r/>
            <w:r>
              <w:rPr>
                <w:sz w:val="18"/>
              </w:rPr>
              <w:t>Taxonomía CATEGORIA_CARGO por reglas de texto sobre CARGO (11 categorías en Docente, 13 en Administrativo), evaluadas por separado dentro de cada rama para evitar fugas por substring (ej. “DIRECTOR” contiene “RECTOR”).</w:t>
            </w:r>
          </w:p>
        </w:tc>
        <w:tc>
          <w:tcPr>
            <w:tcW w:type="dxa" w:w="1871"/>
          </w:tcPr>
          <w:p>
            <w:r/>
            <w:r>
              <w:rPr>
                <w:sz w:val="18"/>
              </w:rPr>
              <w:t>Técnica/metodológica</w:t>
            </w:r>
          </w:p>
        </w:tc>
        <w:tc>
          <w:tcPr>
            <w:tcW w:type="dxa" w:w="907"/>
          </w:tcPr>
          <w:p>
            <w:r/>
            <w:r>
              <w:rPr>
                <w:sz w:val="18"/>
              </w:rPr>
              <w:t>DEC-004</w:t>
            </w:r>
          </w:p>
        </w:tc>
      </w:tr>
      <w:tr>
        <w:tc>
          <w:tcPr>
            <w:tcW w:type="dxa" w:w="3175"/>
          </w:tcPr>
          <w:p>
            <w:r/>
            <w:r>
              <w:rPr>
                <w:sz w:val="18"/>
              </w:rPr>
              <w:t>Rótulos legado pre-reforma LOES sin la palabra “Titular” (≤2014: “Profesor Agregado/Auxiliar/Principal”).</w:t>
            </w:r>
          </w:p>
        </w:tc>
        <w:tc>
          <w:tcPr>
            <w:tcW w:type="dxa" w:w="3742"/>
          </w:tcPr>
          <w:p>
            <w:r/>
            <w:r>
              <w:rPr>
                <w:sz w:val="18"/>
              </w:rPr>
              <w:t>Se fusionan en DOCENTE_TITULAR_CARRERA — confirmado por continuidad de persona (95-100% de quienes tuvieron esos cargos después aparecen con el cargo “Titular” equivalente).</w:t>
            </w:r>
          </w:p>
        </w:tc>
        <w:tc>
          <w:tcPr>
            <w:tcW w:type="dxa" w:w="1871"/>
          </w:tcPr>
          <w:p>
            <w:r/>
            <w:r>
              <w:rPr>
                <w:sz w:val="18"/>
              </w:rPr>
              <w:t>Técnica (validado con datos reales)</w:t>
            </w:r>
          </w:p>
        </w:tc>
        <w:tc>
          <w:tcPr>
            <w:tcW w:type="dxa" w:w="907"/>
          </w:tcPr>
          <w:p>
            <w:r/>
            <w:r>
              <w:rPr>
                <w:sz w:val="18"/>
              </w:rPr>
              <w:t>DEC-004</w:t>
            </w:r>
          </w:p>
        </w:tc>
      </w:tr>
      <w:tr>
        <w:tc>
          <w:tcPr>
            <w:tcW w:type="dxa" w:w="3175"/>
          </w:tcPr>
          <w:p>
            <w:r/>
            <w:r>
              <w:rPr>
                <w:sz w:val="18"/>
              </w:rPr>
              <w:t>Rótulos legado genéricos y ambiguos (≤2014: “Profesor Pregrado”, “Profesor”, “Docente”, “Docente(Grado)”) — no dicen si era titular o no.</w:t>
            </w:r>
          </w:p>
        </w:tc>
        <w:tc>
          <w:tcPr>
            <w:tcW w:type="dxa" w:w="3742"/>
          </w:tcPr>
          <w:p>
            <w:r/>
            <w:r>
              <w:rPr>
                <w:sz w:val="18"/>
              </w:rPr>
              <w:t>Se resuelven por continuidad de persona: si en algún momento tuvo un cargo que resuelve a DOCENTE_TITULAR_CARRERA, sus registros ambiguos se asignan ahí; si no, a DOCENTE_NO_TITULAR_OCASIONAL.</w:t>
            </w:r>
          </w:p>
        </w:tc>
        <w:tc>
          <w:tcPr>
            <w:tcW w:type="dxa" w:w="1871"/>
          </w:tcPr>
          <w:p>
            <w:r/>
            <w:r>
              <w:rPr>
                <w:sz w:val="18"/>
              </w:rPr>
              <w:t>Usuario, confirmado explícitamente</w:t>
            </w:r>
          </w:p>
        </w:tc>
        <w:tc>
          <w:tcPr>
            <w:tcW w:type="dxa" w:w="907"/>
          </w:tcPr>
          <w:p>
            <w:r/>
            <w:r>
              <w:rPr>
                <w:sz w:val="18"/>
              </w:rPr>
              <w:t>DEC-004</w:t>
            </w:r>
          </w:p>
        </w:tc>
      </w:tr>
      <w:tr>
        <w:tc>
          <w:tcPr>
            <w:tcW w:type="dxa" w:w="3175"/>
          </w:tcPr>
          <w:p>
            <w:r/>
            <w:r>
              <w:rPr>
                <w:sz w:val="18"/>
              </w:rPr>
              <w:t>563 filas (1.5% de Administrativo) con CARGO tipo “Profesor.../Docente...” pero TIPOEMPLEADO_DESC=ADMINISTRATIVO.</w:t>
            </w:r>
          </w:p>
        </w:tc>
        <w:tc>
          <w:tcPr>
            <w:tcW w:type="dxa" w:w="3742"/>
          </w:tcPr>
          <w:p>
            <w:r/>
            <w:r>
              <w:rPr>
                <w:sz w:val="18"/>
              </w:rPr>
              <w:t>Marcadas ANOMALIA_CARGO_DOCENTE_EN_AA/ES_RUIDO_CALIDAD_DATOS=True: confirmado por el usuario que es inconsistencia de captura, no una figura contractual real. Se conservan para trazabilidad pero se excluyen de la detección de transiciones.</w:t>
            </w:r>
          </w:p>
        </w:tc>
        <w:tc>
          <w:tcPr>
            <w:tcW w:type="dxa" w:w="1871"/>
          </w:tcPr>
          <w:p>
            <w:r/>
            <w:r>
              <w:rPr>
                <w:sz w:val="18"/>
              </w:rPr>
              <w:t>Usuario</w:t>
            </w:r>
          </w:p>
        </w:tc>
        <w:tc>
          <w:tcPr>
            <w:tcW w:type="dxa" w:w="907"/>
          </w:tcPr>
          <w:p>
            <w:r/>
            <w:r>
              <w:rPr>
                <w:sz w:val="18"/>
              </w:rPr>
              <w:t>DEC-004</w:t>
            </w:r>
          </w:p>
        </w:tc>
      </w:tr>
      <w:tr>
        <w:tc>
          <w:tcPr>
            <w:tcW w:type="dxa" w:w="3175"/>
          </w:tcPr>
          <w:p>
            <w:r/>
            <w:r>
              <w:rPr>
                <w:sz w:val="18"/>
              </w:rPr>
              <w:t>Categorías de contrato puntual/por proyecto pueden coexistir con el cargo estructural continuo de una persona — incluirlas en la línea de ESTADO generaba “transiciones” espurias (una persona llegó a mostrar 103 transiciones con gaps negativos).</w:t>
            </w:r>
          </w:p>
        </w:tc>
        <w:tc>
          <w:tcPr>
            <w:tcW w:type="dxa" w:w="3742"/>
          </w:tcPr>
          <w:p>
            <w:r/>
            <w:r>
              <w:rPr>
                <w:sz w:val="18"/>
              </w:rPr>
              <w:t>Se excluyen de construir_tramos_rol (no generan tramo/transición); se extraen aparte como eventos puntuales. Sin el filtro: 11,854 transiciones (máx. 103/persona); con el filtro: 4,468 (máx. 49/persona).</w:t>
            </w:r>
          </w:p>
        </w:tc>
        <w:tc>
          <w:tcPr>
            <w:tcW w:type="dxa" w:w="1871"/>
          </w:tcPr>
          <w:p>
            <w:r/>
            <w:r>
              <w:rPr>
                <w:sz w:val="18"/>
              </w:rPr>
              <w:t>Técnica/metodológica</w:t>
            </w:r>
          </w:p>
        </w:tc>
        <w:tc>
          <w:tcPr>
            <w:tcW w:type="dxa" w:w="907"/>
          </w:tcPr>
          <w:p>
            <w:r/>
            <w:r>
              <w:rPr>
                <w:sz w:val="18"/>
              </w:rPr>
              <w:t>DEC-004</w:t>
            </w:r>
          </w:p>
        </w:tc>
      </w:tr>
      <w:tr>
        <w:tc>
          <w:tcPr>
            <w:tcW w:type="dxa" w:w="3175"/>
          </w:tcPr>
          <w:p>
            <w:r/>
            <w:r>
              <w:rPr>
                <w:sz w:val="18"/>
              </w:rPr>
              <w:t>Patrón de “encargos cortos”: nombramientos de autoridad de pocos días, repetidos, sobre una persona con cargo estructural continuo — generan transiciones de alta frecuencia (hasta 49 para una persona). Son interinatos reales, no ruido de contratos paralelos.</w:t>
            </w:r>
          </w:p>
        </w:tc>
        <w:tc>
          <w:tcPr>
            <w:tcW w:type="dxa" w:w="3742"/>
          </w:tcPr>
          <w:p>
            <w:r/>
            <w:r>
              <w:rPr>
                <w:sz w:val="18"/>
              </w:rPr>
              <w:t>Sin resolver — requiere una decisión de negocio (ej. umbral mínimo de duración de tramo para contar como transición real) antes de usar el conteo de transiciones como feature sin ajustar.</w:t>
            </w:r>
          </w:p>
        </w:tc>
        <w:tc>
          <w:tcPr>
            <w:tcW w:type="dxa" w:w="1871"/>
          </w:tcPr>
          <w:p>
            <w:r/>
            <w:r>
              <w:rPr>
                <w:sz w:val="18"/>
              </w:rPr>
              <w:t>Pendiente de decisión del usuario</w:t>
            </w:r>
          </w:p>
        </w:tc>
        <w:tc>
          <w:tcPr>
            <w:tcW w:type="dxa" w:w="907"/>
          </w:tcPr>
          <w:p>
            <w:r/>
            <w:r>
              <w:rPr>
                <w:sz w:val="18"/>
              </w:rPr>
              <w:t>DEC-004 (arrastrada en DEC-006/007/008/009)</w:t>
            </w:r>
          </w:p>
        </w:tc>
      </w:tr>
      <w:tr>
        <w:tc>
          <w:tcPr>
            <w:tcW w:type="dxa" w:w="3175"/>
          </w:tcPr>
          <w:p>
            <w:r/>
            <w:r>
              <w:rPr>
                <w:sz w:val="18"/>
              </w:rPr>
              <w:t>¿Qué pasa cuando dos tramos de distinta CATEGORIA_CARGO se solapan en fecha? (ej. un Profesor Titular que además fue Vicerrector/Decano). 510 personas afectadas (166 con solapes &gt;180 días); generaba transiciones de ida y vuelta que nunca ocurrieron (un caso: 41 tramos/22 transiciones falsas).</w:t>
            </w:r>
          </w:p>
        </w:tc>
        <w:tc>
          <w:tcPr>
            <w:tcW w:type="dxa" w:w="3742"/>
          </w:tcPr>
          <w:p>
            <w:r/>
            <w:r>
              <w:rPr>
                <w:sz w:val="18"/>
              </w:rPr>
              <w:t>Domina el tramo de mayor duración (el rol estructural) en la línea principal; el más corto se retira y se expone aparte como “rol adicional simultáneo” — sin generar transición ni cambiar CATEGORIA_CARGO_ACTUAL.</w:t>
            </w:r>
          </w:p>
        </w:tc>
        <w:tc>
          <w:tcPr>
            <w:tcW w:type="dxa" w:w="1871"/>
          </w:tcPr>
          <w:p>
            <w:r/>
            <w:r>
              <w:rPr>
                <w:sz w:val="18"/>
              </w:rPr>
              <w:t>Usuario, opción recomendada entre 4 presentadas</w:t>
            </w:r>
          </w:p>
        </w:tc>
        <w:tc>
          <w:tcPr>
            <w:tcW w:type="dxa" w:w="907"/>
          </w:tcPr>
          <w:p>
            <w:r/>
            <w:r>
              <w:rPr>
                <w:sz w:val="18"/>
              </w:rPr>
              <w:t>DEC-011</w:t>
            </w:r>
          </w:p>
        </w:tc>
      </w:tr>
      <w:tr>
        <w:tc>
          <w:tcPr>
            <w:tcW w:type="dxa" w:w="3175"/>
          </w:tcPr>
          <w:p>
            <w:r/>
            <w:r>
              <w:rPr>
                <w:sz w:val="18"/>
              </w:rPr>
              <w:t>Una subrogación, ¿debe tratarse como transición contractual? ¿Filtrar por duración mínima? Registros “Miembro del consejo — estudiantes” (98% sin contrato de personal solapado). Gap residual de 73 personas con designación reciente aún no en la población base actualizada.</w:t>
            </w:r>
          </w:p>
        </w:tc>
        <w:tc>
          <w:tcPr>
            <w:tcW w:type="dxa" w:w="3742"/>
          </w:tcPr>
          <w:p>
            <w:r/>
            <w:r>
              <w:rPr>
                <w:sz w:val="18"/>
              </w:rPr>
              <w:t>(1) Una subrogación nunca es transición contractual, sin importar duración. (2) Se conservan todas las subrogaciones, sin filtro de duración mínima. (3) Los representantes estudiantiles se conservan marcados, no se eliminan. (4) El gap de 73 personas queda documentado como limitación conocida.</w:t>
            </w:r>
          </w:p>
        </w:tc>
        <w:tc>
          <w:tcPr>
            <w:tcW w:type="dxa" w:w="1871"/>
          </w:tcPr>
          <w:p>
            <w:r/>
            <w:r>
              <w:rPr>
                <w:sz w:val="18"/>
              </w:rPr>
              <w:t>Usuario, las 4 respondidas explícitamente</w:t>
            </w:r>
          </w:p>
        </w:tc>
        <w:tc>
          <w:tcPr>
            <w:tcW w:type="dxa" w:w="907"/>
          </w:tcPr>
          <w:p>
            <w:r/>
            <w:r>
              <w:rPr>
                <w:sz w:val="18"/>
              </w:rPr>
              <w:t>DEC-012</w:t>
            </w:r>
          </w:p>
        </w:tc>
      </w:tr>
      <w:tr>
        <w:tc>
          <w:tcPr>
            <w:tcW w:type="dxa" w:w="3175"/>
          </w:tcPr>
          <w:p>
            <w:r/>
            <w:r>
              <w:rPr>
                <w:sz w:val="18"/>
              </w:rPr>
              <w:t>Toda designación con nivel académico conocido (grado/posgrado), ¿es un cargo o una “función adicional”? Primera versión trató coordinaciones académicas como FUNCION_ADICIONAL/SUBROGACION separadas de CARGO_ESPOL.</w:t>
            </w:r>
          </w:p>
        </w:tc>
        <w:tc>
          <w:tcPr>
            <w:tcW w:type="dxa" w:w="3742"/>
          </w:tcPr>
          <w:p>
            <w:r/>
            <w:r>
              <w:rPr>
                <w:sz w:val="18"/>
              </w:rPr>
              <w:t>Corregido por el usuario: toda designación con nivel conocido implica dedicación continua, no una tarea puntual — se generan como CARGO_ESPOL_GRADO/CARGO_ESPOL_POSGRADO directamente, sin importar cómo estén registradas en el dato origen.</w:t>
            </w:r>
          </w:p>
        </w:tc>
        <w:tc>
          <w:tcPr>
            <w:tcW w:type="dxa" w:w="1871"/>
          </w:tcPr>
          <w:p>
            <w:r/>
            <w:r>
              <w:rPr>
                <w:sz w:val="18"/>
              </w:rPr>
              <w:t>Usuario (corrección tras feedback)</w:t>
            </w:r>
          </w:p>
        </w:tc>
        <w:tc>
          <w:tcPr>
            <w:tcW w:type="dxa" w:w="907"/>
          </w:tcPr>
          <w:p>
            <w:r/>
            <w:r>
              <w:rPr>
                <w:sz w:val="18"/>
              </w:rPr>
              <w:t>DEC-025</w:t>
            </w:r>
          </w:p>
        </w:tc>
      </w:tr>
      <w:tr>
        <w:tc>
          <w:tcPr>
            <w:tcW w:type="dxa" w:w="3175"/>
          </w:tcPr>
          <w:p>
            <w:r/>
            <w:r>
              <w:rPr>
                <w:sz w:val="18"/>
              </w:rPr>
              <w:t>¿Cómo decidir si un cargo/función es de “grado” o “posgrado” cuando la columna dedicada no está poblada?</w:t>
            </w:r>
          </w:p>
        </w:tc>
        <w:tc>
          <w:tcPr>
            <w:tcW w:type="dxa" w:w="3742"/>
          </w:tcPr>
          <w:p>
            <w:r/>
            <w:r>
              <w:rPr>
                <w:sz w:val="18"/>
              </w:rPr>
              <w:t>Regla explícita en dos pasos, instrucción directa del usuario: (1) usar GRADO/POSGRADO del crudo si está poblado; (2) si no, revisar si el nombre del cargo menciona explícitamente “grado” o “posgrado/postgrado”. Si ninguna señal aplica, no se asume nivel — cualquier caso ambiguo se pregunta, nunca se infiere.</w:t>
            </w:r>
          </w:p>
        </w:tc>
        <w:tc>
          <w:tcPr>
            <w:tcW w:type="dxa" w:w="1871"/>
          </w:tcPr>
          <w:p>
            <w:r/>
            <w:r>
              <w:rPr>
                <w:sz w:val="18"/>
              </w:rPr>
              <w:t>Usuario, explícito (“no asumamos”)</w:t>
            </w:r>
          </w:p>
        </w:tc>
        <w:tc>
          <w:tcPr>
            <w:tcW w:type="dxa" w:w="907"/>
          </w:tcPr>
          <w:p>
            <w:r/>
            <w:r>
              <w:rPr>
                <w:sz w:val="18"/>
              </w:rPr>
              <w:t>DEC-025</w:t>
            </w:r>
          </w:p>
        </w:tc>
      </w:tr>
      <w:tr>
        <w:tc>
          <w:tcPr>
            <w:tcW w:type="dxa" w:w="3175"/>
          </w:tcPr>
          <w:p>
            <w:r/>
            <w:r>
              <w:rPr>
                <w:sz w:val="18"/>
              </w:rPr>
              <w:t>¿CONTRATO_PUNTUAL debe ser una categoría de línea de tiempo separada de CARGO_ESPOL?</w:t>
            </w:r>
          </w:p>
        </w:tc>
        <w:tc>
          <w:tcPr>
            <w:tcW w:type="dxa" w:w="3742"/>
          </w:tcPr>
          <w:p>
            <w:r/>
            <w:r>
              <w:rPr>
                <w:sz w:val="18"/>
              </w:rPr>
              <w:t>Corregido por el usuario: se fusiona en CARGO_ESPOL genérico — cualquier vínculo dentro de ESPOL sin nivel de docencia conocido se presenta igual.</w:t>
            </w:r>
          </w:p>
        </w:tc>
        <w:tc>
          <w:tcPr>
            <w:tcW w:type="dxa" w:w="1871"/>
          </w:tcPr>
          <w:p>
            <w:r/>
            <w:r>
              <w:rPr>
                <w:sz w:val="18"/>
              </w:rPr>
              <w:t>Usuario (corrección tras feedback)</w:t>
            </w:r>
          </w:p>
        </w:tc>
        <w:tc>
          <w:tcPr>
            <w:tcW w:type="dxa" w:w="907"/>
          </w:tcPr>
          <w:p>
            <w:r/>
            <w:r>
              <w:rPr>
                <w:sz w:val="18"/>
              </w:rPr>
              <w:t>DEC-025</w:t>
            </w:r>
          </w:p>
        </w:tc>
      </w:tr>
    </w:tbl>
    <w:p/>
    <w:p>
      <w:pPr>
        <w:pStyle w:val="Heading1"/>
      </w:pPr>
      <w:r>
        <w:rPr>
          <w:color w:val="1F3B57"/>
        </w:rPr>
        <w:t>4. Consistencia entre “rama” (Administrativo/Docente) y categoría de cargo</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175"/>
            <w:shd w:val="clear" w:color="auto" w:fill="1F3B57"/>
          </w:tcPr>
          <w:p>
            <w:pPr>
              <w:jc w:val="left"/>
            </w:pPr>
            <w:r/>
            <w:r>
              <w:rPr>
                <w:b/>
                <w:color w:val="FFFFFF"/>
                <w:sz w:val="19"/>
              </w:rPr>
              <w:t>Problema/ambigüedad</w:t>
            </w:r>
          </w:p>
        </w:tc>
        <w:tc>
          <w:tcPr>
            <w:tcW w:type="dxa" w:w="3742"/>
            <w:shd w:val="clear" w:color="auto" w:fill="1F3B57"/>
          </w:tcPr>
          <w:p>
            <w:pPr>
              <w:jc w:val="left"/>
            </w:pPr>
            <w:r/>
            <w:r>
              <w:rPr>
                <w:b/>
                <w:color w:val="FFFFFF"/>
                <w:sz w:val="19"/>
              </w:rPr>
              <w:t>Decisión</w:t>
            </w:r>
          </w:p>
        </w:tc>
        <w:tc>
          <w:tcPr>
            <w:tcW w:type="dxa" w:w="1871"/>
            <w:shd w:val="clear" w:color="auto" w:fill="1F3B57"/>
          </w:tcPr>
          <w:p>
            <w:pPr>
              <w:jc w:val="left"/>
            </w:pPr>
            <w:r/>
            <w:r>
              <w:rPr>
                <w:b/>
                <w:color w:val="FFFFFF"/>
                <w:sz w:val="19"/>
              </w:rPr>
              <w:t>Quién la definió</w:t>
            </w:r>
          </w:p>
        </w:tc>
        <w:tc>
          <w:tcPr>
            <w:tcW w:type="dxa" w:w="907"/>
            <w:shd w:val="clear" w:color="auto" w:fill="1F3B57"/>
          </w:tcPr>
          <w:p>
            <w:pPr>
              <w:jc w:val="left"/>
            </w:pPr>
            <w:r/>
            <w:r>
              <w:rPr>
                <w:b/>
                <w:color w:val="FFFFFF"/>
                <w:sz w:val="19"/>
              </w:rPr>
              <w:t>Ref.</w:t>
            </w:r>
          </w:p>
        </w:tc>
      </w:tr>
      <w:tr>
        <w:tc>
          <w:tcPr>
            <w:tcW w:type="dxa" w:w="3175"/>
          </w:tcPr>
          <w:p>
            <w:r/>
            <w:r>
              <w:rPr>
                <w:sz w:val="18"/>
              </w:rPr>
              <w:t>Categorías inherentemente de una sola rama (ej. “Autoridad administrativa”) mostraban un % de personas en la rama contraria (93.1%/6.9%) — dos fuentes de “actual” distintas podían apuntar a contratos diferentes de la misma persona.</w:t>
            </w:r>
          </w:p>
        </w:tc>
        <w:tc>
          <w:tcPr>
            <w:tcW w:type="dxa" w:w="3742"/>
          </w:tcPr>
          <w:p>
            <w:r/>
            <w:r>
              <w:rPr>
                <w:sz w:val="18"/>
              </w:rPr>
              <w:t>GRUPO_PRINCIPAL ahora usa el TIPOEMPLEADO_DESC del mismo tramo que produjo CATEGORIA_CARGO_ACTUAL — 0 categorías con mezcla de rama, garantizado por construcción.</w:t>
            </w:r>
          </w:p>
        </w:tc>
        <w:tc>
          <w:tcPr>
            <w:tcW w:type="dxa" w:w="1871"/>
          </w:tcPr>
          <w:p>
            <w:r/>
            <w:r>
              <w:rPr>
                <w:sz w:val="18"/>
              </w:rPr>
              <w:t>Técnica</w:t>
            </w:r>
          </w:p>
        </w:tc>
        <w:tc>
          <w:tcPr>
            <w:tcW w:type="dxa" w:w="907"/>
          </w:tcPr>
          <w:p>
            <w:r/>
            <w:r>
              <w:rPr>
                <w:sz w:val="18"/>
              </w:rPr>
              <w:t>DEC-010</w:t>
            </w:r>
          </w:p>
        </w:tc>
      </w:tr>
      <w:tr>
        <w:tc>
          <w:tcPr>
            <w:tcW w:type="dxa" w:w="3175"/>
          </w:tcPr>
          <w:p>
            <w:r/>
            <w:r>
              <w:rPr>
                <w:sz w:val="18"/>
              </w:rPr>
              <w:t>Rector/Vicerrector/Decano/Subdecano, ¿deben reclasificarse a Administrativo por ejercer un cargo directivo?</w:t>
            </w:r>
          </w:p>
        </w:tc>
        <w:tc>
          <w:tcPr>
            <w:tcW w:type="dxa" w:w="3742"/>
          </w:tcPr>
          <w:p>
            <w:r/>
            <w:r>
              <w:rPr>
                <w:sz w:val="18"/>
              </w:rPr>
              <w:t>Confirmado con el usuario: mantienen TIPOEMPLEADO=DOCENTE (se eligen desde el escalafón docente) — no se reclasifican pese al cargo directivo.</w:t>
            </w:r>
          </w:p>
        </w:tc>
        <w:tc>
          <w:tcPr>
            <w:tcW w:type="dxa" w:w="1871"/>
          </w:tcPr>
          <w:p>
            <w:r/>
            <w:r>
              <w:rPr>
                <w:sz w:val="18"/>
              </w:rPr>
              <w:t>Usuario</w:t>
            </w:r>
          </w:p>
        </w:tc>
        <w:tc>
          <w:tcPr>
            <w:tcW w:type="dxa" w:w="907"/>
          </w:tcPr>
          <w:p>
            <w:r/>
            <w:r>
              <w:rPr>
                <w:sz w:val="18"/>
              </w:rPr>
              <w:t>DEC-009</w:t>
            </w:r>
          </w:p>
        </w:tc>
      </w:tr>
      <w:tr>
        <w:tc>
          <w:tcPr>
            <w:tcW w:type="dxa" w:w="3175"/>
          </w:tcPr>
          <w:p>
            <w:r/>
            <w:r>
              <w:rPr>
                <w:sz w:val="18"/>
              </w:rPr>
              <w:t>¿Los sub-perfiles deben salir de un segundo K-Means dentro de cada rama?</w:t>
            </w:r>
          </w:p>
        </w:tc>
        <w:tc>
          <w:tcPr>
            <w:tcW w:type="dxa" w:w="3742"/>
          </w:tcPr>
          <w:p>
            <w:r/>
            <w:r>
              <w:rPr>
                <w:sz w:val="18"/>
              </w:rPr>
              <w:t>Corregido por el usuario: no — la movilidad de rol ya vive en las variables y debe explorarse como cercanía en el mapa de puntos, no convertirse en una categoría de grupo nueva. El nivel 2 pasa a ser la categoría de cargo real (regla, no clustering).</w:t>
            </w:r>
          </w:p>
        </w:tc>
        <w:tc>
          <w:tcPr>
            <w:tcW w:type="dxa" w:w="1871"/>
          </w:tcPr>
          <w:p>
            <w:r/>
            <w:r>
              <w:rPr>
                <w:sz w:val="18"/>
              </w:rPr>
              <w:t>Usuario (corrección de diseño)</w:t>
            </w:r>
          </w:p>
        </w:tc>
        <w:tc>
          <w:tcPr>
            <w:tcW w:type="dxa" w:w="907"/>
          </w:tcPr>
          <w:p>
            <w:r/>
            <w:r>
              <w:rPr>
                <w:sz w:val="18"/>
              </w:rPr>
              <w:t>DEC-009 (reemplaza DEC-008)</w:t>
            </w:r>
          </w:p>
        </w:tc>
      </w:tr>
    </w:tbl>
    <w:p/>
    <w:p>
      <w:pPr>
        <w:pStyle w:val="Heading1"/>
      </w:pPr>
      <w:r>
        <w:rPr>
          <w:color w:val="1F3B57"/>
        </w:rPr>
        <w:t>5. Definición de la población y cobertura de datos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175"/>
            <w:shd w:val="clear" w:color="auto" w:fill="1F3B57"/>
          </w:tcPr>
          <w:p>
            <w:pPr>
              <w:jc w:val="left"/>
            </w:pPr>
            <w:r/>
            <w:r>
              <w:rPr>
                <w:b/>
                <w:color w:val="FFFFFF"/>
                <w:sz w:val="19"/>
              </w:rPr>
              <w:t>Problema/ambigüedad</w:t>
            </w:r>
          </w:p>
        </w:tc>
        <w:tc>
          <w:tcPr>
            <w:tcW w:type="dxa" w:w="3742"/>
            <w:shd w:val="clear" w:color="auto" w:fill="1F3B57"/>
          </w:tcPr>
          <w:p>
            <w:pPr>
              <w:jc w:val="left"/>
            </w:pPr>
            <w:r/>
            <w:r>
              <w:rPr>
                <w:b/>
                <w:color w:val="FFFFFF"/>
                <w:sz w:val="19"/>
              </w:rPr>
              <w:t>Decisión</w:t>
            </w:r>
          </w:p>
        </w:tc>
        <w:tc>
          <w:tcPr>
            <w:tcW w:type="dxa" w:w="1871"/>
            <w:shd w:val="clear" w:color="auto" w:fill="1F3B57"/>
          </w:tcPr>
          <w:p>
            <w:pPr>
              <w:jc w:val="left"/>
            </w:pPr>
            <w:r/>
            <w:r>
              <w:rPr>
                <w:b/>
                <w:color w:val="FFFFFF"/>
                <w:sz w:val="19"/>
              </w:rPr>
              <w:t>Quién la definió</w:t>
            </w:r>
          </w:p>
        </w:tc>
        <w:tc>
          <w:tcPr>
            <w:tcW w:type="dxa" w:w="907"/>
            <w:shd w:val="clear" w:color="auto" w:fill="1F3B57"/>
          </w:tcPr>
          <w:p>
            <w:pPr>
              <w:jc w:val="left"/>
            </w:pPr>
            <w:r/>
            <w:r>
              <w:rPr>
                <w:b/>
                <w:color w:val="FFFFFF"/>
                <w:sz w:val="19"/>
              </w:rPr>
              <w:t>Ref.</w:t>
            </w:r>
          </w:p>
        </w:tc>
      </w:tr>
      <w:tr>
        <w:tc>
          <w:tcPr>
            <w:tcW w:type="dxa" w:w="3175"/>
          </w:tcPr>
          <w:p>
            <w:r/>
            <w:r>
              <w:rPr>
                <w:sz w:val="18"/>
              </w:rPr>
              <w:t>Población base original (2,213 personas) excluía personal claramente vigente — gap medido de ~554 personas (~25%) frente al personal actual real; extracto crudo desactualizado.</w:t>
            </w:r>
          </w:p>
        </w:tc>
        <w:tc>
          <w:tcPr>
            <w:tcW w:type="dxa" w:w="3742"/>
          </w:tcPr>
          <w:p>
            <w:r/>
            <w:r>
              <w:rPr>
                <w:sz w:val="18"/>
              </w:rPr>
              <w:t>El usuario entregó una versión actualizada de datos_personales_ultimos_5anios.csv (2,213 → 3,195 personas, +982) que cierra buena parte del gap.</w:t>
            </w:r>
          </w:p>
        </w:tc>
        <w:tc>
          <w:tcPr>
            <w:tcW w:type="dxa" w:w="1871"/>
          </w:tcPr>
          <w:p>
            <w:r/>
            <w:r>
              <w:rPr>
                <w:sz w:val="18"/>
              </w:rPr>
              <w:t>Usuario (dato nuevo entregado)</w:t>
            </w:r>
          </w:p>
        </w:tc>
        <w:tc>
          <w:tcPr>
            <w:tcW w:type="dxa" w:w="907"/>
          </w:tcPr>
          <w:p>
            <w:r/>
            <w:r>
              <w:rPr>
                <w:sz w:val="18"/>
              </w:rPr>
              <w:t>DEC-012</w:t>
            </w:r>
          </w:p>
        </w:tc>
      </w:tr>
      <w:tr>
        <w:tc>
          <w:tcPr>
            <w:tcW w:type="dxa" w:w="3175"/>
          </w:tcPr>
          <w:p>
            <w:r/>
            <w:r>
              <w:rPr>
                <w:sz w:val="18"/>
              </w:rPr>
              <w:t>Con la población ampliada, 719 personas (22.5%) quedan sin tramo de rol estructural (CLUSTER=-1) — salto grande frente al 0.23% anterior. La mayoría son personas cuyo único historial es de categorías puntuales/por proyecto/honorarias o contrato civil.</w:t>
            </w:r>
          </w:p>
        </w:tc>
        <w:tc>
          <w:tcPr>
            <w:tcW w:type="dxa" w:w="3742"/>
          </w:tcPr>
          <w:p>
            <w:r/>
            <w:r>
              <w:rPr>
                <w:sz w:val="18"/>
              </w:rPr>
              <w:t>Se dejan sin perfil, mismo tratamiento que antes. No se decidió unilateralmente si esto es aceptable tal cual o si conviene una vista distinta.</w:t>
            </w:r>
          </w:p>
        </w:tc>
        <w:tc>
          <w:tcPr>
            <w:tcW w:type="dxa" w:w="1871"/>
          </w:tcPr>
          <w:p>
            <w:r/>
            <w:r>
              <w:rPr>
                <w:sz w:val="18"/>
              </w:rPr>
              <w:t>Pendiente de revisión del usuario</w:t>
            </w:r>
          </w:p>
        </w:tc>
        <w:tc>
          <w:tcPr>
            <w:tcW w:type="dxa" w:w="907"/>
          </w:tcPr>
          <w:p>
            <w:r/>
            <w:r>
              <w:rPr>
                <w:sz w:val="18"/>
              </w:rPr>
              <w:t>DEC-012</w:t>
            </w:r>
          </w:p>
        </w:tc>
      </w:tr>
      <w:tr>
        <w:tc>
          <w:tcPr>
            <w:tcW w:type="dxa" w:w="3175"/>
          </w:tcPr>
          <w:p>
            <w:r/>
            <w:r>
              <w:rPr>
                <w:sz w:val="18"/>
              </w:rPr>
              <w:t>109 personas en registro_autoridades.csv no están en la población base (21 generan fila fantasma). Hallazgo más amplio: 761 personas del historial laboral crudo completo tampoco están en la población base (492 con tramo estructural).</w:t>
            </w:r>
          </w:p>
        </w:tc>
        <w:tc>
          <w:tcPr>
            <w:tcW w:type="dxa" w:w="3742"/>
          </w:tcPr>
          <w:p>
            <w:r/>
            <w:r>
              <w:rPr>
                <w:sz w:val="18"/>
              </w:rPr>
              <w:t>Tratar como ruido y documentar los IDs explícitamente. Implementación parcial: el flag ES_RUIDO_FUERA_DE_POBLACION existe pero no está conectado ni re-ejecutado. El hallazgo más amplio sigue sin resolver.</w:t>
            </w:r>
          </w:p>
        </w:tc>
        <w:tc>
          <w:tcPr>
            <w:tcW w:type="dxa" w:w="1871"/>
          </w:tcPr>
          <w:p>
            <w:r/>
            <w:r>
              <w:rPr>
                <w:sz w:val="18"/>
              </w:rPr>
              <w:t>En progreso / pendiente — usuario evaluando población corregida</w:t>
            </w:r>
          </w:p>
        </w:tc>
        <w:tc>
          <w:tcPr>
            <w:tcW w:type="dxa" w:w="907"/>
          </w:tcPr>
          <w:p>
            <w:r/>
            <w:r>
              <w:rPr>
                <w:sz w:val="18"/>
              </w:rPr>
              <w:t>DEC-021</w:t>
            </w:r>
          </w:p>
        </w:tc>
      </w:tr>
      <w:tr>
        <w:tc>
          <w:tcPr>
            <w:tcW w:type="dxa" w:w="3175"/>
          </w:tcPr>
          <w:p>
            <w:r/>
            <w:r>
              <w:rPr>
                <w:sz w:val="18"/>
              </w:rPr>
              <w:t>Fecha FECHADESVINCULACION=“216-03-10” (dígito de año perdido) producía una antigüedad de -998.96 años para una persona nueva en la población.</w:t>
            </w:r>
          </w:p>
        </w:tc>
        <w:tc>
          <w:tcPr>
            <w:tcW w:type="dxa" w:w="3742"/>
          </w:tcPr>
          <w:p>
            <w:r/>
            <w:r>
              <w:rPr>
                <w:sz w:val="18"/>
              </w:rPr>
              <w:t>parsear_fecha rechaza (NaT) cualquier año fuera de [1950, año_actual+2].</w:t>
            </w:r>
          </w:p>
        </w:tc>
        <w:tc>
          <w:tcPr>
            <w:tcW w:type="dxa" w:w="1871"/>
          </w:tcPr>
          <w:p>
            <w:r/>
            <w:r>
              <w:rPr>
                <w:sz w:val="18"/>
              </w:rPr>
              <w:t>Técnica</w:t>
            </w:r>
          </w:p>
        </w:tc>
        <w:tc>
          <w:tcPr>
            <w:tcW w:type="dxa" w:w="907"/>
          </w:tcPr>
          <w:p>
            <w:r/>
            <w:r>
              <w:rPr>
                <w:sz w:val="18"/>
              </w:rPr>
              <w:t>DEC-012</w:t>
            </w:r>
          </w:p>
        </w:tc>
      </w:tr>
      <w:tr>
        <w:tc>
          <w:tcPr>
            <w:tcW w:type="dxa" w:w="3175"/>
          </w:tcPr>
          <w:p>
            <w:r/>
            <w:r>
              <w:rPr>
                <w:sz w:val="18"/>
              </w:rPr>
              <w:t>datos_personales_ultimos_5anios.csv actualizado perdió la columna EDAD (antes venía cruda en el extracto).</w:t>
            </w:r>
          </w:p>
        </w:tc>
        <w:tc>
          <w:tcPr>
            <w:tcW w:type="dxa" w:w="3742"/>
          </w:tcPr>
          <w:p>
            <w:r/>
            <w:r>
              <w:rPr>
                <w:sz w:val="18"/>
              </w:rPr>
              <w:t>Se recalcula desde FECHANACIMIENTO, con fecha de referencia dinámica (pd.Timestamp.today(), antes fija en 2026-08-31).</w:t>
            </w:r>
          </w:p>
        </w:tc>
        <w:tc>
          <w:tcPr>
            <w:tcW w:type="dxa" w:w="1871"/>
          </w:tcPr>
          <w:p>
            <w:r/>
            <w:r>
              <w:rPr>
                <w:sz w:val="18"/>
              </w:rPr>
              <w:t>Técnica</w:t>
            </w:r>
          </w:p>
        </w:tc>
        <w:tc>
          <w:tcPr>
            <w:tcW w:type="dxa" w:w="907"/>
          </w:tcPr>
          <w:p>
            <w:r/>
            <w:r>
              <w:rPr>
                <w:sz w:val="18"/>
              </w:rPr>
              <w:t>DEC-012</w:t>
            </w:r>
          </w:p>
        </w:tc>
      </w:tr>
    </w:tbl>
    <w:p/>
    <w:p>
      <w:pPr>
        <w:pStyle w:val="Heading1"/>
      </w:pPr>
      <w:r>
        <w:rPr>
          <w:color w:val="1F3B57"/>
        </w:rPr>
        <w:t>6. Documento semántico / búsqueda semántica</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175"/>
            <w:shd w:val="clear" w:color="auto" w:fill="1F3B57"/>
          </w:tcPr>
          <w:p>
            <w:pPr>
              <w:jc w:val="left"/>
            </w:pPr>
            <w:r/>
            <w:r>
              <w:rPr>
                <w:b/>
                <w:color w:val="FFFFFF"/>
                <w:sz w:val="19"/>
              </w:rPr>
              <w:t>Problema/ambigüedad</w:t>
            </w:r>
          </w:p>
        </w:tc>
        <w:tc>
          <w:tcPr>
            <w:tcW w:type="dxa" w:w="3742"/>
            <w:shd w:val="clear" w:color="auto" w:fill="1F3B57"/>
          </w:tcPr>
          <w:p>
            <w:pPr>
              <w:jc w:val="left"/>
            </w:pPr>
            <w:r/>
            <w:r>
              <w:rPr>
                <w:b/>
                <w:color w:val="FFFFFF"/>
                <w:sz w:val="19"/>
              </w:rPr>
              <w:t>Decisión</w:t>
            </w:r>
          </w:p>
        </w:tc>
        <w:tc>
          <w:tcPr>
            <w:tcW w:type="dxa" w:w="1871"/>
            <w:shd w:val="clear" w:color="auto" w:fill="1F3B57"/>
          </w:tcPr>
          <w:p>
            <w:pPr>
              <w:jc w:val="left"/>
            </w:pPr>
            <w:r/>
            <w:r>
              <w:rPr>
                <w:b/>
                <w:color w:val="FFFFFF"/>
                <w:sz w:val="19"/>
              </w:rPr>
              <w:t>Quién la definió</w:t>
            </w:r>
          </w:p>
        </w:tc>
        <w:tc>
          <w:tcPr>
            <w:tcW w:type="dxa" w:w="907"/>
            <w:shd w:val="clear" w:color="auto" w:fill="1F3B57"/>
          </w:tcPr>
          <w:p>
            <w:pPr>
              <w:jc w:val="left"/>
            </w:pPr>
            <w:r/>
            <w:r>
              <w:rPr>
                <w:b/>
                <w:color w:val="FFFFFF"/>
                <w:sz w:val="19"/>
              </w:rPr>
              <w:t>Ref.</w:t>
            </w:r>
          </w:p>
        </w:tc>
      </w:tr>
      <w:tr>
        <w:tc>
          <w:tcPr>
            <w:tcW w:type="dxa" w:w="3175"/>
          </w:tcPr>
          <w:p>
            <w:r/>
            <w:r>
              <w:rPr>
                <w:sz w:val="18"/>
              </w:rPr>
              <w:t>Contratos puntuales dentro de ESPOL (2,272 personas, 12,628 contratos) nunca aparecían en la línea de tiempo unificada ni en el documento semántico.</w:t>
            </w:r>
          </w:p>
        </w:tc>
        <w:tc>
          <w:tcPr>
            <w:tcW w:type="dxa" w:w="3742"/>
          </w:tcPr>
          <w:p>
            <w:r/>
            <w:r>
              <w:rPr>
                <w:sz w:val="18"/>
              </w:rPr>
              <w:t>Se agregan como TIPO_EVENTO=“CONTRATO_PUNTUAL” (luego fusionado en CARGO_ESPOL) a la línea de tiempo, consolidando tramos consecutivos y calculando vigencia con la función corregida de fecha-fin-efectiva.</w:t>
            </w:r>
          </w:p>
        </w:tc>
        <w:tc>
          <w:tcPr>
            <w:tcW w:type="dxa" w:w="1871"/>
          </w:tcPr>
          <w:p>
            <w:r/>
            <w:r>
              <w:rPr>
                <w:sz w:val="18"/>
              </w:rPr>
              <w:t>Técnica (reporte puntual, generalizado a toda la población)</w:t>
            </w:r>
          </w:p>
        </w:tc>
        <w:tc>
          <w:tcPr>
            <w:tcW w:type="dxa" w:w="907"/>
          </w:tcPr>
          <w:p>
            <w:r/>
            <w:r>
              <w:rPr>
                <w:sz w:val="18"/>
              </w:rPr>
              <w:t>DEC-018</w:t>
            </w:r>
          </w:p>
        </w:tc>
      </w:tr>
      <w:tr>
        <w:tc>
          <w:tcPr>
            <w:tcW w:type="dxa" w:w="3175"/>
          </w:tcPr>
          <w:p>
            <w:r/>
            <w:r>
              <w:rPr>
                <w:sz w:val="18"/>
              </w:rPr>
              <w:t>Al consolidar eventos consecutivos del mismo tipo, un tramo vigente podía “heredar” la fecha fin de un tramo anterior ya finalizado (perdía la vigencia real) porque la fusión no exigía contigüidad real de fechas.</w:t>
            </w:r>
          </w:p>
        </w:tc>
        <w:tc>
          <w:tcPr>
            <w:tcW w:type="dxa" w:w="3742"/>
          </w:tcPr>
          <w:p>
            <w:r/>
            <w:r>
              <w:rPr>
                <w:sz w:val="18"/>
              </w:rPr>
              <w:t>La fusión ahora exige contigüidad real; el fin del rango usa NaT cuando algún evento del grupo sigue vigente, en vez de rellenar con la fecha máxima observada.</w:t>
            </w:r>
          </w:p>
        </w:tc>
        <w:tc>
          <w:tcPr>
            <w:tcW w:type="dxa" w:w="1871"/>
          </w:tcPr>
          <w:p>
            <w:r/>
            <w:r>
              <w:rPr>
                <w:sz w:val="18"/>
              </w:rPr>
              <w:t>Técnica</w:t>
            </w:r>
          </w:p>
        </w:tc>
        <w:tc>
          <w:tcPr>
            <w:tcW w:type="dxa" w:w="907"/>
          </w:tcPr>
          <w:p>
            <w:r/>
            <w:r>
              <w:rPr>
                <w:sz w:val="18"/>
              </w:rPr>
              <w:t>DEC-020</w:t>
            </w:r>
          </w:p>
        </w:tc>
      </w:tr>
      <w:tr>
        <w:tc>
          <w:tcPr>
            <w:tcW w:type="dxa" w:w="3175"/>
          </w:tcPr>
          <w:p>
            <w:r/>
            <w:r>
              <w:rPr>
                <w:sz w:val="18"/>
              </w:rPr>
              <w:t>El campo UNIDAD (GTSI, facultades, etc.) nunca llegaba al texto de trayectoria para ningún cargo — afectaba a toda la población (una consulta “persona que trabaje en GTSI” no encontraba a nadie de GTSI).</w:t>
            </w:r>
          </w:p>
        </w:tc>
        <w:tc>
          <w:tcPr>
            <w:tcW w:type="dxa" w:w="3742"/>
          </w:tcPr>
          <w:p>
            <w:r/>
            <w:r>
              <w:rPr>
                <w:sz w:val="18"/>
              </w:rPr>
              <w:t>Corregidos los tres puntos de la cadena donde se perdía el dato; la unidad real se propaga y se narra también para cargos en ESPOL.</w:t>
            </w:r>
          </w:p>
        </w:tc>
        <w:tc>
          <w:tcPr>
            <w:tcW w:type="dxa" w:w="1871"/>
          </w:tcPr>
          <w:p>
            <w:r/>
            <w:r>
              <w:rPr>
                <w:sz w:val="18"/>
              </w:rPr>
              <w:t>Técnica</w:t>
            </w:r>
          </w:p>
        </w:tc>
        <w:tc>
          <w:tcPr>
            <w:tcW w:type="dxa" w:w="907"/>
          </w:tcPr>
          <w:p>
            <w:r/>
            <w:r>
              <w:rPr>
                <w:sz w:val="18"/>
              </w:rPr>
              <w:t>DEC-022</w:t>
            </w:r>
          </w:p>
        </w:tc>
      </w:tr>
      <w:tr>
        <w:tc>
          <w:tcPr>
            <w:tcW w:type="dxa" w:w="3175"/>
          </w:tcPr>
          <w:p>
            <w:r/>
            <w:r>
              <w:rPr>
                <w:sz w:val="18"/>
              </w:rPr>
              <w:t>Aun con la unidad en el texto, la búsqueda de “GTSI” seguía sin encontrar a nadie de GTSI (persona real rankeaba en el puesto 1971 de 3195) — el modelo de embeddings nunca aprendió que “GTSI” es una sigla institucional (similitud 0.787, igual al piso de anisotropía).</w:t>
            </w:r>
          </w:p>
        </w:tc>
        <w:tc>
          <w:tcPr>
            <w:tcW w:type="dxa" w:w="3742"/>
          </w:tcPr>
          <w:p>
            <w:r/>
            <w:r>
              <w:rPr>
                <w:sz w:val="18"/>
              </w:rPr>
              <w:t>Se usa el mapeo real SIGLAS↔NOMBRE de registro_autoridades.csv para narrar ambas formas juntas en el texto, resolviendo por coincidencia literal. La persona real sube del puesto 1971 al 67.</w:t>
            </w:r>
          </w:p>
        </w:tc>
        <w:tc>
          <w:tcPr>
            <w:tcW w:type="dxa" w:w="1871"/>
          </w:tcPr>
          <w:p>
            <w:r/>
            <w:r>
              <w:rPr>
                <w:sz w:val="18"/>
              </w:rPr>
              <w:t>Técnica</w:t>
            </w:r>
          </w:p>
        </w:tc>
        <w:tc>
          <w:tcPr>
            <w:tcW w:type="dxa" w:w="907"/>
          </w:tcPr>
          <w:p>
            <w:r/>
            <w:r>
              <w:rPr>
                <w:sz w:val="18"/>
              </w:rPr>
              <w:t>DEC-022</w:t>
            </w:r>
          </w:p>
        </w:tc>
      </w:tr>
      <w:tr>
        <w:tc>
          <w:tcPr>
            <w:tcW w:type="dxa" w:w="3175"/>
          </w:tcPr>
          <w:p>
            <w:r/>
            <w:r>
              <w:rPr>
                <w:sz w:val="18"/>
              </w:rPr>
              <w:t>El coseno crudo de similitud semántica no es una medida de relevancia absoluta (anisotropía: consultas sin relación alguna obtienen 0.70-0.86, casi tan alto como una consulta relevante real 0.75-0.86) — mostrarlo como “% de similitud” daba una falsa sensación de precisión.</w:t>
            </w:r>
          </w:p>
        </w:tc>
        <w:tc>
          <w:tcPr>
            <w:tcW w:type="dxa" w:w="3742"/>
          </w:tcPr>
          <w:p>
            <w:r/>
            <w:r>
              <w:rPr>
                <w:sz w:val="18"/>
              </w:rPr>
              <w:t>Se retira el puntaje de similitud de la interfaz por completo; se muestra orden (#) + evidencia de texto (fragmento por solapamiento léxico, documentado como heurística transparente).</w:t>
            </w:r>
          </w:p>
        </w:tc>
        <w:tc>
          <w:tcPr>
            <w:tcW w:type="dxa" w:w="1871"/>
          </w:tcPr>
          <w:p>
            <w:r/>
            <w:r>
              <w:rPr>
                <w:sz w:val="18"/>
              </w:rPr>
              <w:t>Usuario, eligiendo entre alternativas investigadas</w:t>
            </w:r>
          </w:p>
        </w:tc>
        <w:tc>
          <w:tcPr>
            <w:tcW w:type="dxa" w:w="907"/>
          </w:tcPr>
          <w:p>
            <w:r/>
            <w:r>
              <w:rPr>
                <w:sz w:val="18"/>
              </w:rPr>
              <w:t>DEC-019</w:t>
            </w:r>
          </w:p>
        </w:tc>
      </w:tr>
      <w:tr>
        <w:tc>
          <w:tcPr>
            <w:tcW w:type="dxa" w:w="3175"/>
          </w:tcPr>
          <w:p>
            <w:r/>
            <w:r>
              <w:rPr>
                <w:sz w:val="18"/>
              </w:rPr>
              <w:t>Combinar dos condiciones en una sola consulta de búsqueda tiende a pesar más la señal más frecuente en el corpus sobre la más rara.</w:t>
            </w:r>
          </w:p>
        </w:tc>
        <w:tc>
          <w:tcPr>
            <w:tcW w:type="dxa" w:w="3742"/>
          </w:tcPr>
          <w:p>
            <w:r/>
            <w:r>
              <w:rPr>
                <w:sz w:val="18"/>
              </w:rPr>
              <w:t>Reconocida como limitación conocida del enfoque de un solo vector para consultas conjuntivas (AND) — no resoluble con más texto; la vía establecida sería re-ranking con cross-encoder, fuera de alcance.</w:t>
            </w:r>
          </w:p>
        </w:tc>
        <w:tc>
          <w:tcPr>
            <w:tcW w:type="dxa" w:w="1871"/>
          </w:tcPr>
          <w:p>
            <w:r/>
            <w:r>
              <w:rPr>
                <w:sz w:val="18"/>
              </w:rPr>
              <w:t>Técnica (documentada, no resuelta)</w:t>
            </w:r>
          </w:p>
        </w:tc>
        <w:tc>
          <w:tcPr>
            <w:tcW w:type="dxa" w:w="907"/>
          </w:tcPr>
          <w:p>
            <w:r/>
            <w:r>
              <w:rPr>
                <w:sz w:val="18"/>
              </w:rPr>
              <w:t>DEC-022</w:t>
            </w:r>
          </w:p>
        </w:tc>
      </w:tr>
      <w:tr>
        <w:tc>
          <w:tcPr>
            <w:tcW w:type="dxa" w:w="3175"/>
          </w:tcPr>
          <w:p>
            <w:r/>
            <w:r>
              <w:rPr>
                <w:sz w:val="18"/>
              </w:rPr>
              <w:t>¿Existe en los datos una señal de “interés/proyección hacia” algo (ej. hacia docencia) para alguien sin trayectoria aún en esa área?</w:t>
            </w:r>
          </w:p>
        </w:tc>
        <w:tc>
          <w:tcPr>
            <w:tcW w:type="dxa" w:w="3742"/>
          </w:tcPr>
          <w:p>
            <w:r/>
            <w:r>
              <w:rPr>
                <w:sz w:val="18"/>
              </w:rPr>
              <w:t>No existe ese campo en las fuentes institucionales. No se inventó una sección nueva — el proyecto excluye explícitamente inventar información que no está en los datos.</w:t>
            </w:r>
          </w:p>
        </w:tc>
        <w:tc>
          <w:tcPr>
            <w:tcW w:type="dxa" w:w="1871"/>
          </w:tcPr>
          <w:p>
            <w:r/>
            <w:r>
              <w:rPr>
                <w:sz w:val="18"/>
              </w:rPr>
              <w:t>Metodológica (principio del proyecto)</w:t>
            </w:r>
          </w:p>
        </w:tc>
        <w:tc>
          <w:tcPr>
            <w:tcW w:type="dxa" w:w="907"/>
          </w:tcPr>
          <w:p>
            <w:r/>
            <w:r>
              <w:rPr>
                <w:sz w:val="18"/>
              </w:rPr>
              <w:t>DEC-022</w:t>
            </w:r>
          </w:p>
        </w:tc>
      </w:tr>
      <w:tr>
        <w:tc>
          <w:tcPr>
            <w:tcW w:type="dxa" w:w="3175"/>
          </w:tcPr>
          <w:p>
            <w:r/>
            <w:r>
              <w:rPr>
                <w:sz w:val="18"/>
              </w:rPr>
              <w:t>DESCRIPCION de eventos de cargo en ESPOL mostraba el nombre genérico de la categoría de agrupamiento en vez del cargo real — confuso para quien lee su propia trayectoria.</w:t>
            </w:r>
          </w:p>
        </w:tc>
        <w:tc>
          <w:tcPr>
            <w:tcW w:type="dxa" w:w="3742"/>
          </w:tcPr>
          <w:p>
            <w:r/>
            <w:r>
              <w:rPr>
                <w:sz w:val="18"/>
              </w:rPr>
              <w:t>DESCRIPCION usa siempre el texto real del cargo/contrato; la categoría de agrupamiento solo se usa como respaldo si ese texto viene vacío.</w:t>
            </w:r>
          </w:p>
        </w:tc>
        <w:tc>
          <w:tcPr>
            <w:tcW w:type="dxa" w:w="1871"/>
          </w:tcPr>
          <w:p>
            <w:r/>
            <w:r>
              <w:rPr>
                <w:sz w:val="18"/>
              </w:rPr>
              <w:t>Técnica</w:t>
            </w:r>
          </w:p>
        </w:tc>
        <w:tc>
          <w:tcPr>
            <w:tcW w:type="dxa" w:w="907"/>
          </w:tcPr>
          <w:p>
            <w:r/>
            <w:r>
              <w:rPr>
                <w:sz w:val="18"/>
              </w:rPr>
              <w:t>DEC-026</w:t>
            </w:r>
          </w:p>
        </w:tc>
      </w:tr>
      <w:tr>
        <w:tc>
          <w:tcPr>
            <w:tcW w:type="dxa" w:w="3175"/>
          </w:tcPr>
          <w:p>
            <w:r/>
            <w:r>
              <w:rPr>
                <w:sz w:val="18"/>
              </w:rPr>
              <w:t>Algunos textos crudos institucionales tienen caracteres de reemplazo (�) por corrupción de codificación ya presente en el extracto original.</w:t>
            </w:r>
          </w:p>
        </w:tc>
        <w:tc>
          <w:tcPr>
            <w:tcW w:type="dxa" w:w="3742"/>
          </w:tcPr>
          <w:p>
            <w:r/>
            <w:r>
              <w:rPr>
                <w:sz w:val="18"/>
              </w:rPr>
              <w:t>Confirmado que no es un bug del pipeline — no se puede recuperar el carácter original sin una re-extracción del sistema origen institucional.</w:t>
            </w:r>
          </w:p>
        </w:tc>
        <w:tc>
          <w:tcPr>
            <w:tcW w:type="dxa" w:w="1871"/>
          </w:tcPr>
          <w:p>
            <w:r/>
            <w:r>
              <w:rPr>
                <w:sz w:val="18"/>
              </w:rPr>
              <w:t>Técnica (limitación de origen, no corregible)</w:t>
            </w:r>
          </w:p>
        </w:tc>
        <w:tc>
          <w:tcPr>
            <w:tcW w:type="dxa" w:w="907"/>
          </w:tcPr>
          <w:p>
            <w:r/>
            <w:r>
              <w:rPr>
                <w:sz w:val="18"/>
              </w:rPr>
              <w:t>DEC-026</w:t>
            </w:r>
          </w:p>
        </w:tc>
      </w:tr>
    </w:tbl>
    <w:p/>
    <w:p>
      <w:pPr>
        <w:pStyle w:val="Heading1"/>
      </w:pPr>
      <w:r>
        <w:rPr>
          <w:color w:val="1F3B57"/>
        </w:rPr>
        <w:t>7. Modelado / circularidad estadística</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175"/>
            <w:shd w:val="clear" w:color="auto" w:fill="1F3B57"/>
          </w:tcPr>
          <w:p>
            <w:pPr>
              <w:jc w:val="left"/>
            </w:pPr>
            <w:r/>
            <w:r>
              <w:rPr>
                <w:b/>
                <w:color w:val="FFFFFF"/>
                <w:sz w:val="19"/>
              </w:rPr>
              <w:t>Problema/ambigüedad</w:t>
            </w:r>
          </w:p>
        </w:tc>
        <w:tc>
          <w:tcPr>
            <w:tcW w:type="dxa" w:w="3742"/>
            <w:shd w:val="clear" w:color="auto" w:fill="1F3B57"/>
          </w:tcPr>
          <w:p>
            <w:pPr>
              <w:jc w:val="left"/>
            </w:pPr>
            <w:r/>
            <w:r>
              <w:rPr>
                <w:b/>
                <w:color w:val="FFFFFF"/>
                <w:sz w:val="19"/>
              </w:rPr>
              <w:t>Decisión</w:t>
            </w:r>
          </w:p>
        </w:tc>
        <w:tc>
          <w:tcPr>
            <w:tcW w:type="dxa" w:w="1871"/>
            <w:shd w:val="clear" w:color="auto" w:fill="1F3B57"/>
          </w:tcPr>
          <w:p>
            <w:pPr>
              <w:jc w:val="left"/>
            </w:pPr>
            <w:r/>
            <w:r>
              <w:rPr>
                <w:b/>
                <w:color w:val="FFFFFF"/>
                <w:sz w:val="19"/>
              </w:rPr>
              <w:t>Quién la definió</w:t>
            </w:r>
          </w:p>
        </w:tc>
        <w:tc>
          <w:tcPr>
            <w:tcW w:type="dxa" w:w="907"/>
            <w:shd w:val="clear" w:color="auto" w:fill="1F3B57"/>
          </w:tcPr>
          <w:p>
            <w:pPr>
              <w:jc w:val="left"/>
            </w:pPr>
            <w:r/>
            <w:r>
              <w:rPr>
                <w:b/>
                <w:color w:val="FFFFFF"/>
                <w:sz w:val="19"/>
              </w:rPr>
              <w:t>Ref.</w:t>
            </w:r>
          </w:p>
        </w:tc>
      </w:tr>
      <w:tr>
        <w:tc>
          <w:tcPr>
            <w:tcW w:type="dxa" w:w="3175"/>
          </w:tcPr>
          <w:p>
            <w:r/>
            <w:r>
              <w:rPr>
                <w:sz w:val="18"/>
              </w:rPr>
              <w:t>Usar TUVO_TRANSICION_AA_A_DD como insumo para construir el mapa PCA de afinidad, y luego preguntar si esas personas aparecen juntas en el mapa, es tautológico. Se encontró que el problema era más amplio: la propia variable de identidad de categoría también estaba en X_modelado, junto con otras variables de eventos ya ocurridos.</w:t>
            </w:r>
          </w:p>
        </w:tc>
        <w:tc>
          <w:tcPr>
            <w:tcW w:type="dxa" w:w="3742"/>
          </w:tcPr>
          <w:p>
            <w:r/>
            <w:r>
              <w:rPr>
                <w:sz w:val="18"/>
              </w:rPr>
              <w:t>Se excluyen de X_modelado (conservadas en el CSV completo para interpretar después) 22 variables: 4 de identidad/categoría de rol y 18 de eventos/resultados de trayectoria ya ocurridos. Se conserva ANIOS_EN_CATEGORIA_ACTUAL (magnitud de tenencia, no evento/identidad).</w:t>
            </w:r>
          </w:p>
        </w:tc>
        <w:tc>
          <w:tcPr>
            <w:tcW w:type="dxa" w:w="1871"/>
          </w:tcPr>
          <w:p>
            <w:r/>
            <w:r>
              <w:rPr>
                <w:sz w:val="18"/>
              </w:rPr>
              <w:t>Técnica (revisión metodológica a partir de una observación del usuario)</w:t>
            </w:r>
          </w:p>
        </w:tc>
        <w:tc>
          <w:tcPr>
            <w:tcW w:type="dxa" w:w="907"/>
          </w:tcPr>
          <w:p>
            <w:r/>
            <w:r>
              <w:rPr>
                <w:sz w:val="18"/>
              </w:rPr>
              <w:t>DEC-013</w:t>
            </w:r>
          </w:p>
        </w:tc>
      </w:tr>
    </w:tbl>
    <w:p/>
    <w:p>
      <w:pPr>
        <w:pStyle w:val="Heading1"/>
      </w:pPr>
      <w:r>
        <w:rPr>
          <w:color w:val="1F3B57"/>
        </w:rPr>
        <w:t>8. Modelo/embeddings — decisiones de privacidad y arquitectura</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175"/>
            <w:shd w:val="clear" w:color="auto" w:fill="1F3B57"/>
          </w:tcPr>
          <w:p>
            <w:pPr>
              <w:jc w:val="left"/>
            </w:pPr>
            <w:r/>
            <w:r>
              <w:rPr>
                <w:b/>
                <w:color w:val="FFFFFF"/>
                <w:sz w:val="19"/>
              </w:rPr>
              <w:t>Problema/ambigüedad</w:t>
            </w:r>
          </w:p>
        </w:tc>
        <w:tc>
          <w:tcPr>
            <w:tcW w:type="dxa" w:w="3742"/>
            <w:shd w:val="clear" w:color="auto" w:fill="1F3B57"/>
          </w:tcPr>
          <w:p>
            <w:pPr>
              <w:jc w:val="left"/>
            </w:pPr>
            <w:r/>
            <w:r>
              <w:rPr>
                <w:b/>
                <w:color w:val="FFFFFF"/>
                <w:sz w:val="19"/>
              </w:rPr>
              <w:t>Decisión</w:t>
            </w:r>
          </w:p>
        </w:tc>
        <w:tc>
          <w:tcPr>
            <w:tcW w:type="dxa" w:w="1871"/>
            <w:shd w:val="clear" w:color="auto" w:fill="1F3B57"/>
          </w:tcPr>
          <w:p>
            <w:pPr>
              <w:jc w:val="left"/>
            </w:pPr>
            <w:r/>
            <w:r>
              <w:rPr>
                <w:b/>
                <w:color w:val="FFFFFF"/>
                <w:sz w:val="19"/>
              </w:rPr>
              <w:t>Quién la definió</w:t>
            </w:r>
          </w:p>
        </w:tc>
        <w:tc>
          <w:tcPr>
            <w:tcW w:type="dxa" w:w="907"/>
            <w:shd w:val="clear" w:color="auto" w:fill="1F3B57"/>
          </w:tcPr>
          <w:p>
            <w:pPr>
              <w:jc w:val="left"/>
            </w:pPr>
            <w:r/>
            <w:r>
              <w:rPr>
                <w:b/>
                <w:color w:val="FFFFFF"/>
                <w:sz w:val="19"/>
              </w:rPr>
              <w:t>Ref.</w:t>
            </w:r>
          </w:p>
        </w:tc>
      </w:tr>
      <w:tr>
        <w:tc>
          <w:tcPr>
            <w:tcW w:type="dxa" w:w="3175"/>
          </w:tcPr>
          <w:p>
            <w:r/>
            <w:r>
              <w:rPr>
                <w:sz w:val="18"/>
              </w:rPr>
              <w:t>¿Usar una API externa de embeddings (OpenAI/Voyage/Cohere) o un modelo local?</w:t>
            </w:r>
          </w:p>
        </w:tc>
        <w:tc>
          <w:tcPr>
            <w:tcW w:type="dxa" w:w="3742"/>
          </w:tcPr>
          <w:p>
            <w:r/>
            <w:r>
              <w:rPr>
                <w:sz w:val="18"/>
              </w:rPr>
              <w:t>Modelo local, sin API key, sin enviar datos institucionales a terceros — decisión explícita por privacidad.</w:t>
            </w:r>
          </w:p>
        </w:tc>
        <w:tc>
          <w:tcPr>
            <w:tcW w:type="dxa" w:w="1871"/>
          </w:tcPr>
          <w:p>
            <w:r/>
            <w:r>
              <w:rPr>
                <w:sz w:val="18"/>
              </w:rPr>
              <w:t>Usuario, explícito por privacidad</w:t>
            </w:r>
          </w:p>
        </w:tc>
        <w:tc>
          <w:tcPr>
            <w:tcW w:type="dxa" w:w="907"/>
          </w:tcPr>
          <w:p>
            <w:r/>
            <w:r>
              <w:rPr>
                <w:sz w:val="18"/>
              </w:rPr>
              <w:t>DEC-002</w:t>
            </w:r>
          </w:p>
        </w:tc>
      </w:tr>
      <w:tr>
        <w:tc>
          <w:tcPr>
            <w:tcW w:type="dxa" w:w="3175"/>
          </w:tcPr>
          <w:p>
            <w:r/>
            <w:r>
              <w:rPr>
                <w:sz w:val="18"/>
              </w:rPr>
              <w:t>Fragmentos de texto sueltos promediados por persona concentraban el vector en la fuente más numerosa (capacitaciones) si se promediaba de forma simple.</w:t>
            </w:r>
          </w:p>
        </w:tc>
        <w:tc>
          <w:tcPr>
            <w:tcW w:type="dxa" w:w="3742"/>
          </w:tcPr>
          <w:p>
            <w:r/>
            <w:r>
              <w:rPr>
                <w:sz w:val="18"/>
              </w:rPr>
              <w:t>Promedio balanceado por fuente en el enfoque original (DEC-002); luego reemplazado por un documento semántico único por persona en vez de agregación de fragmentos (DEC-014).</w:t>
            </w:r>
          </w:p>
        </w:tc>
        <w:tc>
          <w:tcPr>
            <w:tcW w:type="dxa" w:w="1871"/>
          </w:tcPr>
          <w:p>
            <w:r/>
            <w:r>
              <w:rPr>
                <w:sz w:val="18"/>
              </w:rPr>
              <w:t>Técnica</w:t>
            </w:r>
          </w:p>
        </w:tc>
        <w:tc>
          <w:tcPr>
            <w:tcW w:type="dxa" w:w="907"/>
          </w:tcPr>
          <w:p>
            <w:r/>
            <w:r>
              <w:rPr>
                <w:sz w:val="18"/>
              </w:rPr>
              <w:t>DEC-002, DEC-014</w:t>
            </w:r>
          </w:p>
        </w:tc>
      </w:tr>
      <w:tr>
        <w:tc>
          <w:tcPr>
            <w:tcW w:type="dxa" w:w="3175"/>
          </w:tcPr>
          <w:p>
            <w:r/>
            <w:r>
              <w:rPr>
                <w:sz w:val="18"/>
              </w:rPr>
              <w:t>¿Concatenar la matriz de embeddings de texto con X_modelado (features estructuradas)?</w:t>
            </w:r>
          </w:p>
        </w:tc>
        <w:tc>
          <w:tcPr>
            <w:tcW w:type="dxa" w:w="3742"/>
          </w:tcPr>
          <w:p>
            <w:r/>
            <w:r>
              <w:rPr>
                <w:sz w:val="18"/>
              </w:rPr>
              <w:t>No — se evaluó complementariedad (ARI=0.116 entre clusters estructurales y de embeddings) y se concluyó que fusionarlas requiere análisis adicional no realizado; se mantienen como representaciones independientes.</w:t>
            </w:r>
          </w:p>
        </w:tc>
        <w:tc>
          <w:tcPr>
            <w:tcW w:type="dxa" w:w="1871"/>
          </w:tcPr>
          <w:p>
            <w:r/>
            <w:r>
              <w:rPr>
                <w:sz w:val="18"/>
              </w:rPr>
              <w:t>Técnica</w:t>
            </w:r>
          </w:p>
        </w:tc>
        <w:tc>
          <w:tcPr>
            <w:tcW w:type="dxa" w:w="907"/>
          </w:tcPr>
          <w:p>
            <w:r/>
            <w:r>
              <w:rPr>
                <w:sz w:val="18"/>
              </w:rPr>
              <w:t>DEC-002</w:t>
            </w:r>
          </w:p>
        </w:tc>
      </w:tr>
    </w:tbl>
    <w:p>
      <w:r>
        <w:br w:type="page"/>
      </w:r>
    </w:p>
    <w:p>
      <w:pPr>
        <w:pStyle w:val="Heading1"/>
      </w:pPr>
      <w:r>
        <w:rPr>
          <w:color w:val="1F3B57"/>
        </w:rPr>
        <w:t>Limitaciones/decisiones pendientes (resumen para seguimiento)</w:t>
      </w:r>
    </w:p>
    <w:p>
      <w:r>
        <w:rPr>
          <w:sz w:val="21"/>
        </w:rPr>
        <w:t>Estas son las que siguen abiertas al día de este documento — útil como checklist:</w:t>
      </w:r>
    </w:p>
    <w:p>
      <w:pPr>
        <w:pStyle w:val="ListNumber"/>
      </w:pPr>
      <w:r>
        <w:rPr>
          <w:sz w:val="21"/>
        </w:rPr>
        <w:t>Caso “cargo actual” con contrato puntual vencido y sin renovación capturada aún (persona 865 y similares) — sin decisión de tratamiento tomada.</w:t>
      </w:r>
    </w:p>
    <w:p>
      <w:pPr>
        <w:pStyle w:val="ListNumber"/>
      </w:pPr>
      <w:r>
        <w:rPr>
          <w:sz w:val="21"/>
        </w:rPr>
        <w:t>Encargos cortos / interinatos repetidos inflando el conteo de transiciones — falta decidir un umbral mínimo de duración para contar como transición real (DEC-004, arrastrada desde 2026-09-07).</w:t>
      </w:r>
    </w:p>
    <w:p>
      <w:pPr>
        <w:pStyle w:val="ListNumber"/>
      </w:pPr>
      <w:r>
        <w:rPr>
          <w:sz w:val="21"/>
        </w:rPr>
        <w:t>719 personas (22.5%) sin perfil/cluster tras la ampliación de población — falta decidir si el dashboard debe distinguir esta situación con una vista propia (DEC-012).</w:t>
      </w:r>
    </w:p>
    <w:p>
      <w:pPr>
        <w:pStyle w:val="ListNumber"/>
      </w:pPr>
      <w:r>
        <w:rPr>
          <w:sz w:val="21"/>
        </w:rPr>
        <w:t>Gap de población más amplio (761 personas del historial crudo completo fuera de la población base, 492 con tramo estructural) — el usuario está evaluando un CSV de población corregido, sin resolver aún (DEC-021).</w:t>
      </w:r>
    </w:p>
    <w:p>
      <w:pPr>
        <w:pStyle w:val="ListNumber"/>
      </w:pPr>
      <w:r>
        <w:rPr>
          <w:sz w:val="21"/>
        </w:rPr>
        <w:t>ES_RUIDO_FUERA_DE_POBLACION implementado a medias — falta conectar poblacion_ids en 04_trayectorias.ipynb y re-ejecutar (DEC-021).</w:t>
      </w:r>
    </w:p>
    <w:p>
      <w:pPr>
        <w:pStyle w:val="ListNumber"/>
      </w:pPr>
      <w:r>
        <w:rPr>
          <w:sz w:val="21"/>
        </w:rPr>
        <w:t>Tratamiento de ESTADOCONTRATO='TI' (temporalmente inactivo) nunca confirmado explícitamente con el usuario (DEC-005).</w:t>
      </w:r>
    </w:p>
    <w:p>
      <w:pPr>
        <w:pStyle w:val="ListNumber"/>
      </w:pPr>
      <w:r>
        <w:rPr>
          <w:sz w:val="21"/>
        </w:rPr>
        <w:t>Gap residual de 73 personas con designación reciente en registro_autoridades que aún no aparecen en ningún archivo de población (DEC-012).</w:t>
      </w:r>
    </w:p>
    <w:p/>
    <w:p>
      <w:r>
        <w:rPr>
          <w:i/>
          <w:color w:val="555555"/>
          <w:sz w:val="19"/>
        </w:rPr>
        <w:t>Fuente completa con evidencia, alternativas consideradas e impacto medido: context/DECISION_LOG.md (no versionado en el repositorio por contener información institucional/sensible del proyecto de tesis).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