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306E" w:rsidRPr="00483408" w:rsidRDefault="00E9108D" w:rsidP="00483408">
      <w:pPr>
        <w:spacing w:after="0" w:line="360" w:lineRule="auto"/>
        <w:jc w:val="center"/>
        <w:rPr>
          <w:rFonts w:ascii="Bookman Old Style" w:eastAsia="Calibri" w:hAnsi="Bookman Old Style" w:cs="Calibri"/>
          <w:b/>
          <w:sz w:val="40"/>
          <w:szCs w:val="40"/>
          <w:u w:val="single"/>
        </w:rPr>
      </w:pPr>
      <w:r w:rsidRPr="00483408">
        <w:rPr>
          <w:rFonts w:ascii="Bookman Old Style" w:eastAsia="Calibri" w:hAnsi="Bookman Old Style" w:cs="Calibri"/>
          <w:b/>
          <w:sz w:val="40"/>
          <w:szCs w:val="40"/>
          <w:u w:val="single"/>
        </w:rPr>
        <w:t>TEXTO ORDENADO ORDENANZA 130</w:t>
      </w:r>
    </w:p>
    <w:p w:rsidR="00E9108D" w:rsidRDefault="00E9108D" w:rsidP="004C17AE">
      <w:pPr>
        <w:jc w:val="center"/>
        <w:outlineLvl w:val="0"/>
        <w:rPr>
          <w:rFonts w:ascii="Bookman Old Style" w:eastAsia="Times New Roman" w:hAnsi="Bookman Old Style" w:cs="Times New Roman"/>
          <w:b/>
          <w:bCs/>
          <w:kern w:val="36"/>
          <w:sz w:val="32"/>
          <w:szCs w:val="28"/>
          <w:u w:val="single"/>
          <w:lang w:eastAsia="es-AR"/>
        </w:rPr>
      </w:pPr>
    </w:p>
    <w:p w:rsidR="004C17AE" w:rsidRPr="00184560" w:rsidRDefault="004C17AE" w:rsidP="004C17AE">
      <w:pPr>
        <w:jc w:val="center"/>
        <w:outlineLvl w:val="0"/>
        <w:rPr>
          <w:rFonts w:ascii="Times New Roman" w:eastAsia="Times New Roman" w:hAnsi="Times New Roman" w:cs="Times New Roman"/>
          <w:b/>
          <w:bCs/>
          <w:kern w:val="36"/>
          <w:sz w:val="32"/>
          <w:szCs w:val="28"/>
          <w:lang w:eastAsia="es-AR"/>
        </w:rPr>
      </w:pPr>
      <w:r w:rsidRPr="00184560">
        <w:rPr>
          <w:rFonts w:ascii="Bookman Old Style" w:eastAsia="Times New Roman" w:hAnsi="Bookman Old Style" w:cs="Times New Roman"/>
          <w:b/>
          <w:bCs/>
          <w:kern w:val="36"/>
          <w:sz w:val="32"/>
          <w:szCs w:val="28"/>
          <w:u w:val="single"/>
          <w:lang w:eastAsia="es-AR"/>
        </w:rPr>
        <w:t>CAPÍTULO I - PARTE GENERAL</w:t>
      </w:r>
    </w:p>
    <w:p w:rsidR="004C17AE" w:rsidRPr="00184560" w:rsidRDefault="004C17AE" w:rsidP="004C17AE">
      <w:pPr>
        <w:rPr>
          <w:rFonts w:ascii="Times New Roman" w:eastAsia="Times New Roman" w:hAnsi="Times New Roman" w:cs="Times New Roman"/>
          <w:sz w:val="28"/>
          <w:szCs w:val="24"/>
          <w:lang w:eastAsia="es-AR"/>
        </w:rPr>
      </w:pPr>
      <w:r w:rsidRPr="00184560">
        <w:rPr>
          <w:rFonts w:ascii="Bookman Old Style" w:eastAsia="Times New Roman" w:hAnsi="Bookman Old Style" w:cs="Times New Roman"/>
          <w:b/>
          <w:bCs/>
          <w:sz w:val="28"/>
          <w:szCs w:val="24"/>
          <w:lang w:eastAsia="es-AR"/>
        </w:rPr>
        <w:t>SECCIÓN I: CONCEPTOS GENERALES </w:t>
      </w:r>
    </w:p>
    <w:p w:rsidR="004C17AE" w:rsidRPr="00184560" w:rsidRDefault="004C17AE" w:rsidP="004C17AE">
      <w:pPr>
        <w:outlineLvl w:val="1"/>
        <w:rPr>
          <w:rFonts w:ascii="Times New Roman" w:eastAsia="Times New Roman" w:hAnsi="Times New Roman" w:cs="Times New Roman"/>
          <w:b/>
          <w:bCs/>
          <w:sz w:val="36"/>
          <w:szCs w:val="36"/>
          <w:lang w:eastAsia="es-AR"/>
        </w:rPr>
      </w:pPr>
      <w:r w:rsidRPr="00184560">
        <w:rPr>
          <w:rFonts w:ascii="Bookman Old Style" w:eastAsia="Times New Roman" w:hAnsi="Bookman Old Style" w:cs="Times New Roman"/>
          <w:b/>
          <w:bCs/>
          <w:sz w:val="24"/>
          <w:szCs w:val="24"/>
          <w:lang w:eastAsia="es-AR"/>
        </w:rPr>
        <w:t>Artículo 1º: Objeto</w:t>
      </w:r>
      <w:r w:rsidRPr="00184560">
        <w:rPr>
          <w:rFonts w:ascii="Bookman Old Style" w:eastAsia="Times New Roman" w:hAnsi="Bookman Old Style" w:cs="Times New Roman"/>
          <w:sz w:val="24"/>
          <w:szCs w:val="24"/>
          <w:lang w:eastAsia="es-AR"/>
        </w:rPr>
        <w:t> </w:t>
      </w:r>
    </w:p>
    <w:p w:rsidR="004C17AE" w:rsidRPr="00184560" w:rsidRDefault="004C17AE" w:rsidP="003C3A56">
      <w:pPr>
        <w:ind w:right="69"/>
        <w:jc w:val="both"/>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sz w:val="24"/>
          <w:szCs w:val="24"/>
          <w:lang w:eastAsia="es-AR"/>
        </w:rPr>
        <w:t>El objeto de la presente es regular el ordenamiento territorial para lograr el desarrollo sostenible, un territorio equilibrado y socialmente justo. Considerando el suelo como un recurso natural, económico y social, condicionado por las actividades antrópicas. Esta reglamentación se interpretará de modo armónico con los regímenes existentes, sin perjuicio de las normas que se dicten y regulen otros aspectos específicos del Territorio.</w:t>
      </w:r>
    </w:p>
    <w:p w:rsidR="004C17AE" w:rsidRPr="00184560" w:rsidRDefault="004C17AE" w:rsidP="004C17AE">
      <w:pPr>
        <w:ind w:left="262"/>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b/>
          <w:bCs/>
          <w:sz w:val="24"/>
          <w:szCs w:val="24"/>
          <w:lang w:eastAsia="es-AR"/>
        </w:rPr>
        <w:t> </w:t>
      </w:r>
    </w:p>
    <w:p w:rsidR="004C17AE" w:rsidRPr="00184560" w:rsidRDefault="004C17AE" w:rsidP="004C17AE">
      <w:pPr>
        <w:outlineLvl w:val="1"/>
        <w:rPr>
          <w:rFonts w:ascii="Times New Roman" w:eastAsia="Times New Roman" w:hAnsi="Times New Roman" w:cs="Times New Roman"/>
          <w:b/>
          <w:bCs/>
          <w:sz w:val="36"/>
          <w:szCs w:val="36"/>
          <w:lang w:eastAsia="es-AR"/>
        </w:rPr>
      </w:pPr>
      <w:r w:rsidRPr="00184560">
        <w:rPr>
          <w:rFonts w:ascii="Bookman Old Style" w:eastAsia="Times New Roman" w:hAnsi="Bookman Old Style" w:cs="Times New Roman"/>
          <w:b/>
          <w:bCs/>
          <w:sz w:val="24"/>
          <w:szCs w:val="24"/>
          <w:lang w:eastAsia="es-AR"/>
        </w:rPr>
        <w:t>Artículo 2º: Alcance </w:t>
      </w:r>
    </w:p>
    <w:p w:rsidR="004C17AE" w:rsidRPr="00184560" w:rsidRDefault="004C17AE" w:rsidP="003C3A56">
      <w:pPr>
        <w:ind w:right="69"/>
        <w:jc w:val="both"/>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sz w:val="24"/>
          <w:szCs w:val="24"/>
          <w:lang w:eastAsia="es-AR"/>
        </w:rPr>
        <w:t>El ámbito de aplicación de esta normativa se extiende a todo el territorio de la jurisdicción del Municipio de Colón. </w:t>
      </w:r>
    </w:p>
    <w:p w:rsidR="004C17AE" w:rsidRPr="00184560" w:rsidRDefault="004C17AE" w:rsidP="003C3A56">
      <w:pPr>
        <w:ind w:right="69"/>
        <w:jc w:val="both"/>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sz w:val="24"/>
          <w:szCs w:val="24"/>
          <w:lang w:eastAsia="es-AR"/>
        </w:rPr>
        <w:t>Los espacios, que en virtud de nuevas leyes se incorporen en el futuro a la jurisdicción municipal, serán previamente objeto de estudio a fin de determinar qué encuadre les corresponde dentro del ordenamiento territorial. </w:t>
      </w:r>
    </w:p>
    <w:p w:rsidR="004C17AE" w:rsidRPr="00184560" w:rsidRDefault="004C17AE" w:rsidP="004C17AE">
      <w:pPr>
        <w:rPr>
          <w:rFonts w:ascii="Times New Roman" w:eastAsia="Times New Roman" w:hAnsi="Times New Roman" w:cs="Times New Roman"/>
          <w:sz w:val="24"/>
          <w:szCs w:val="24"/>
          <w:lang w:eastAsia="es-AR"/>
        </w:rPr>
      </w:pPr>
    </w:p>
    <w:p w:rsidR="004C17AE" w:rsidRPr="00184560" w:rsidRDefault="004C17AE" w:rsidP="004C17AE">
      <w:pPr>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b/>
          <w:bCs/>
          <w:sz w:val="24"/>
          <w:szCs w:val="24"/>
          <w:lang w:eastAsia="es-AR"/>
        </w:rPr>
        <w:t>Artículo 3º: Carácter de orden público</w:t>
      </w:r>
    </w:p>
    <w:p w:rsidR="004C17AE" w:rsidRPr="00184560" w:rsidRDefault="004C17AE" w:rsidP="003C3A56">
      <w:pPr>
        <w:ind w:right="69"/>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normas de este Código son de orden público. Sus disposiciones se aplican a la propiedad privada y pública, cualquiera fuere la afectación de sus bienes.</w:t>
      </w:r>
    </w:p>
    <w:p w:rsidR="004C17AE" w:rsidRPr="00184560" w:rsidRDefault="004C17AE" w:rsidP="003C3A56">
      <w:pPr>
        <w:ind w:right="69"/>
        <w:jc w:val="both"/>
        <w:rPr>
          <w:rFonts w:ascii="Bookman Old Style" w:eastAsia="Times New Roman" w:hAnsi="Bookman Old Style" w:cs="Times New Roman"/>
          <w:sz w:val="24"/>
          <w:szCs w:val="24"/>
          <w:lang w:eastAsia="es-AR"/>
        </w:rPr>
      </w:pPr>
      <w:r w:rsidRPr="00184560">
        <w:rPr>
          <w:rFonts w:ascii="Bookman Old Style" w:hAnsi="Bookman Old Style"/>
          <w:sz w:val="24"/>
          <w:szCs w:val="24"/>
        </w:rPr>
        <w:t>Las disposiciones de esta norma se aplican tanto a los bienes de propiedad de los particulares como a los pertenecientes a personas de derecho público, estén o no éstos afectados al uso público.</w:t>
      </w:r>
    </w:p>
    <w:p w:rsidR="004C17AE" w:rsidRPr="00184560" w:rsidRDefault="004C17AE" w:rsidP="004C17AE">
      <w:pPr>
        <w:rPr>
          <w:rFonts w:ascii="Times New Roman" w:eastAsia="Times New Roman" w:hAnsi="Times New Roman" w:cs="Times New Roman"/>
          <w:sz w:val="24"/>
          <w:szCs w:val="24"/>
          <w:lang w:eastAsia="es-AR"/>
        </w:rPr>
      </w:pPr>
    </w:p>
    <w:p w:rsidR="004C17AE" w:rsidRPr="00184560" w:rsidRDefault="004C17AE" w:rsidP="004C17AE">
      <w:pPr>
        <w:rPr>
          <w:rFonts w:ascii="Bookman Old Style" w:eastAsia="Times New Roman" w:hAnsi="Bookman Old Style" w:cs="Times New Roman"/>
          <w:b/>
          <w:bCs/>
          <w:sz w:val="24"/>
          <w:szCs w:val="24"/>
          <w:lang w:eastAsia="es-AR"/>
        </w:rPr>
      </w:pPr>
      <w:r w:rsidRPr="00184560">
        <w:rPr>
          <w:rFonts w:ascii="Bookman Old Style" w:eastAsia="Times New Roman" w:hAnsi="Bookman Old Style" w:cs="Times New Roman"/>
          <w:b/>
          <w:bCs/>
          <w:sz w:val="24"/>
          <w:szCs w:val="24"/>
          <w:lang w:eastAsia="es-AR"/>
        </w:rPr>
        <w:t>Artículo 4º: Prevalencia normativa</w:t>
      </w:r>
    </w:p>
    <w:p w:rsidR="004C17AE" w:rsidRPr="00184560" w:rsidRDefault="004C17AE" w:rsidP="003C3A56">
      <w:pPr>
        <w:jc w:val="both"/>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lastRenderedPageBreak/>
        <w:t>Quedan subordinadas al presente Código, las disposiciones del Código de Edificación, del Código de Habilitaciones, del Código de Tránsito y Transporte y cualquier otra norma que se dicte en las materias reguladas por el presente, las cuales no podrán contener disposición alguna que se le oponga.</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Artículo 5°: Vigencia</w:t>
      </w:r>
    </w:p>
    <w:p w:rsidR="004C17AE" w:rsidRPr="00184560" w:rsidRDefault="004C17AE" w:rsidP="003C3A56">
      <w:pPr>
        <w:jc w:val="both"/>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sz w:val="24"/>
          <w:szCs w:val="24"/>
          <w:lang w:eastAsia="es-AR"/>
        </w:rPr>
        <w:t>Toda presentación relacionada con aspectos tratados por esta norma, que se efectúe con posterioridad a su puesta en vigencia, deberá ajustarse en un todo a las disposiciones aquí emanadas, quedando sujetos</w:t>
      </w:r>
      <w:r>
        <w:rPr>
          <w:rFonts w:ascii="Bookman Old Style" w:eastAsia="Times New Roman" w:hAnsi="Bookman Old Style" w:cs="Times New Roman"/>
          <w:sz w:val="24"/>
          <w:szCs w:val="24"/>
          <w:lang w:eastAsia="es-AR"/>
        </w:rPr>
        <w:t xml:space="preserve"> </w:t>
      </w:r>
      <w:r w:rsidRPr="00184560">
        <w:rPr>
          <w:rFonts w:ascii="Bookman Old Style" w:eastAsia="Times New Roman" w:hAnsi="Bookman Old Style" w:cs="Times New Roman"/>
          <w:sz w:val="24"/>
          <w:szCs w:val="24"/>
          <w:lang w:eastAsia="es-AR"/>
        </w:rPr>
        <w:t>a revisión las solicitudes o proyectos presentados con anterioridad y en proceso de evaluación, y los mismos tendrán un plazo improrrogable de sesenta (60) días para realizar las adecuaciones necesarias. En caso de no adecuarse, dichos proyectos o solicitudes serán desestimadas o rechazadas.</w:t>
      </w:r>
    </w:p>
    <w:p w:rsidR="004C17AE" w:rsidRPr="00184560" w:rsidRDefault="004C17AE" w:rsidP="003C3A56">
      <w:pPr>
        <w:ind w:left="-5" w:right="69"/>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todos los inmuebles que fuera a edificarse o realizarse nuevas construcciones, en la Jurisdicción de Colón, a partir de la entrada en vigencia de la presente norma, deberán adecuarse a los parámetros y condiciones establecidos en el Código de Edificación Municipal y Ordenanzas vigentes o en las normas que en el futuro las reemplacen.</w:t>
      </w:r>
    </w:p>
    <w:p w:rsidR="004C17AE" w:rsidRPr="00184560" w:rsidRDefault="004C17AE" w:rsidP="003C3A56">
      <w:pPr>
        <w:ind w:left="-5" w:right="69"/>
        <w:jc w:val="both"/>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sz w:val="24"/>
          <w:szCs w:val="24"/>
          <w:lang w:eastAsia="es-AR"/>
        </w:rPr>
        <w:t>En los inmuebles, que al momento de entrar en vigencia el presente Código se desarrollen actividades no conformes al uso definido para la zona, no podrán ser ampliados, o reformados, salvo que se trate de acciones de conservación, de estricta necesidad y/o urbanizaciones, subdivisiones o loteos aprobados con anterioridad. Acciones todas que deberán ser evaluadas, calificadas, determinadas las posibilidades y el alcance de las mismas; trámite que deberá contar con certificado de factibilidad emitida por la Oficina Técnica Municipal competente. </w:t>
      </w:r>
    </w:p>
    <w:p w:rsidR="004C17AE" w:rsidRPr="00184560" w:rsidRDefault="004C17AE" w:rsidP="004C17AE">
      <w:pPr>
        <w:rPr>
          <w:rFonts w:ascii="Times New Roman" w:eastAsia="Times New Roman" w:hAnsi="Times New Roman"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bCs/>
          <w:sz w:val="24"/>
          <w:szCs w:val="24"/>
          <w:lang w:eastAsia="es-AR"/>
        </w:rPr>
        <w:t>Artículo 6º</w:t>
      </w:r>
      <w:r w:rsidRPr="00184560">
        <w:rPr>
          <w:rFonts w:ascii="Bookman Old Style" w:eastAsia="Times New Roman" w:hAnsi="Bookman Old Style" w:cs="Times New Roman"/>
          <w:b/>
          <w:sz w:val="24"/>
          <w:szCs w:val="24"/>
          <w:lang w:eastAsia="es-AR"/>
        </w:rPr>
        <w:t>: Anexos y Planos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Los anexos y planos del presente Código complementan al texto y se consideran parte integrante del mismo. En el caso de contradicción entre las expresiones escritas y los gráficos y/o planos del presente Código prevalecerán las expresiones escritas.</w:t>
      </w:r>
    </w:p>
    <w:p w:rsidR="004C17AE" w:rsidRPr="00184560" w:rsidRDefault="004C17AE" w:rsidP="004C17AE">
      <w:pPr>
        <w:rPr>
          <w:rFonts w:ascii="Bookman Old Style" w:eastAsia="Times New Roman" w:hAnsi="Bookman Old Style" w:cs="Times New Roman"/>
          <w:sz w:val="24"/>
          <w:szCs w:val="24"/>
          <w:lang w:eastAsia="es-AR"/>
        </w:rPr>
      </w:pPr>
    </w:p>
    <w:p w:rsidR="004C17AE" w:rsidRDefault="004C17AE"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7°: Responsabilidad Profesional</w:t>
      </w:r>
    </w:p>
    <w:p w:rsidR="004C17AE" w:rsidRPr="00184560" w:rsidRDefault="004C17AE" w:rsidP="003C3A56">
      <w:pPr>
        <w:jc w:val="both"/>
        <w:rPr>
          <w:rFonts w:ascii="Bookman Old Style" w:hAnsi="Bookman Old Style"/>
          <w:sz w:val="24"/>
          <w:szCs w:val="24"/>
        </w:rPr>
      </w:pPr>
      <w:r w:rsidRPr="00184560">
        <w:rPr>
          <w:rFonts w:ascii="Bookman Old Style" w:hAnsi="Bookman Old Style"/>
          <w:sz w:val="24"/>
          <w:szCs w:val="24"/>
        </w:rPr>
        <w:t xml:space="preserve">Los profesionales que intervengan en los procedimientos regulados por este Código serán responsables por sus acciones y omisiones en la aplicación del mismo. </w:t>
      </w:r>
    </w:p>
    <w:p w:rsidR="004C17AE" w:rsidRPr="00184560" w:rsidRDefault="004C17AE" w:rsidP="003C3A56">
      <w:pPr>
        <w:jc w:val="both"/>
        <w:rPr>
          <w:rFonts w:ascii="Bookman Old Style" w:hAnsi="Bookman Old Style"/>
          <w:sz w:val="24"/>
          <w:szCs w:val="24"/>
        </w:rPr>
      </w:pPr>
      <w:r w:rsidRPr="00184560">
        <w:rPr>
          <w:rFonts w:ascii="Bookman Old Style" w:hAnsi="Bookman Old Style"/>
          <w:sz w:val="24"/>
          <w:szCs w:val="24"/>
        </w:rPr>
        <w:t>En caso de remitirse expedientes o actuaciones administrativas al Organismo Competente para la determinación de faltas administrativas, deberá darse aviso al colegio profesional correspondiente para su evaluación disciplinaria profesional.</w:t>
      </w:r>
    </w:p>
    <w:p w:rsidR="004C17AE" w:rsidRPr="00184560" w:rsidRDefault="004C17AE" w:rsidP="004C17AE">
      <w:pPr>
        <w:rPr>
          <w:rFonts w:ascii="Bookman Old Style" w:hAnsi="Bookman Old Style"/>
          <w:sz w:val="24"/>
          <w:szCs w:val="24"/>
        </w:rPr>
      </w:pPr>
    </w:p>
    <w:p w:rsidR="004C17AE" w:rsidRPr="00184560" w:rsidRDefault="004C17AE" w:rsidP="004C17AE">
      <w:pPr>
        <w:rPr>
          <w:rFonts w:ascii="Bookman Old Style" w:hAnsi="Bookman Old Style"/>
          <w:sz w:val="24"/>
          <w:szCs w:val="24"/>
        </w:rPr>
      </w:pPr>
      <w:r w:rsidRPr="00184560">
        <w:rPr>
          <w:rFonts w:ascii="Bookman Old Style" w:hAnsi="Bookman Old Style"/>
          <w:b/>
          <w:sz w:val="24"/>
          <w:szCs w:val="24"/>
        </w:rPr>
        <w:t>Artículo 8°: Abreviaturas</w:t>
      </w:r>
    </w:p>
    <w:p w:rsidR="004C17AE" w:rsidRPr="00184560" w:rsidRDefault="004C17AE" w:rsidP="004C17AE">
      <w:pPr>
        <w:rPr>
          <w:rFonts w:ascii="Bookman Old Style" w:hAnsi="Bookman Old Style"/>
          <w:sz w:val="24"/>
          <w:szCs w:val="24"/>
        </w:rPr>
      </w:pPr>
      <w:bookmarkStart w:id="0" w:name="_Toc174384987"/>
      <w:r w:rsidRPr="00184560">
        <w:rPr>
          <w:rFonts w:ascii="Bookman Old Style" w:hAnsi="Bookman Old Style"/>
          <w:sz w:val="24"/>
          <w:szCs w:val="24"/>
        </w:rPr>
        <w:t>D.E.M.: Departamento Ejecutivo Municipal.</w:t>
      </w:r>
      <w:bookmarkEnd w:id="0"/>
    </w:p>
    <w:p w:rsidR="004C17AE" w:rsidRPr="00184560" w:rsidRDefault="004C17AE" w:rsidP="004C17AE">
      <w:pPr>
        <w:rPr>
          <w:rFonts w:ascii="Bookman Old Style" w:hAnsi="Bookman Old Style"/>
          <w:sz w:val="24"/>
          <w:szCs w:val="24"/>
        </w:rPr>
      </w:pPr>
      <w:r w:rsidRPr="00184560">
        <w:rPr>
          <w:rFonts w:ascii="Bookman Old Style" w:hAnsi="Bookman Old Style"/>
          <w:sz w:val="24"/>
          <w:szCs w:val="24"/>
        </w:rPr>
        <w:t>D.O.P.P.: Dirección de Obras Privadas y Planeamiento.</w:t>
      </w:r>
    </w:p>
    <w:p w:rsidR="004C17AE" w:rsidRPr="00184560" w:rsidRDefault="004C17AE" w:rsidP="004C17AE">
      <w:pPr>
        <w:rPr>
          <w:rFonts w:ascii="Bookman Old Style" w:hAnsi="Bookman Old Style"/>
          <w:sz w:val="24"/>
          <w:szCs w:val="24"/>
        </w:rPr>
      </w:pPr>
      <w:r w:rsidRPr="00184560">
        <w:rPr>
          <w:rFonts w:ascii="Bookman Old Style" w:hAnsi="Bookman Old Style"/>
          <w:sz w:val="24"/>
          <w:szCs w:val="24"/>
        </w:rPr>
        <w:t>E.M.: Eje Medianero.</w:t>
      </w:r>
    </w:p>
    <w:p w:rsidR="004C17AE" w:rsidRPr="00184560" w:rsidRDefault="004C17AE" w:rsidP="004C17AE">
      <w:pPr>
        <w:rPr>
          <w:rFonts w:ascii="Bookman Old Style" w:hAnsi="Bookman Old Style"/>
          <w:sz w:val="24"/>
          <w:szCs w:val="24"/>
        </w:rPr>
      </w:pPr>
      <w:bookmarkStart w:id="1" w:name="_Toc174384988"/>
      <w:r w:rsidRPr="00184560">
        <w:rPr>
          <w:rFonts w:ascii="Bookman Old Style" w:hAnsi="Bookman Old Style"/>
          <w:sz w:val="24"/>
          <w:szCs w:val="24"/>
        </w:rPr>
        <w:t>L.M.: Línea Municipal</w:t>
      </w:r>
      <w:bookmarkEnd w:id="1"/>
    </w:p>
    <w:p w:rsidR="004C17AE" w:rsidRPr="00184560" w:rsidRDefault="004C17AE" w:rsidP="004C17AE">
      <w:pPr>
        <w:rPr>
          <w:rFonts w:ascii="Bookman Old Style" w:hAnsi="Bookman Old Style"/>
          <w:sz w:val="24"/>
          <w:szCs w:val="24"/>
        </w:rPr>
      </w:pPr>
      <w:r w:rsidRPr="00184560">
        <w:rPr>
          <w:rFonts w:ascii="Bookman Old Style" w:hAnsi="Bookman Old Style"/>
          <w:sz w:val="24"/>
          <w:szCs w:val="24"/>
        </w:rPr>
        <w:t>S.O.S.P: Secretaría de Obras y Servicios Públicos.</w:t>
      </w:r>
    </w:p>
    <w:p w:rsidR="004C17AE" w:rsidRPr="00184560" w:rsidRDefault="004C17AE" w:rsidP="004C17AE">
      <w:pPr>
        <w:rPr>
          <w:rFonts w:ascii="Bookman Old Style" w:hAnsi="Bookman Old Style"/>
          <w:sz w:val="24"/>
          <w:szCs w:val="24"/>
        </w:rPr>
      </w:pPr>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Artículo 9°: Glosario</w:t>
      </w:r>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Conceptos Generales</w:t>
      </w:r>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Relativos al Territorio</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Cota de la manzana</w:t>
      </w:r>
      <w:r w:rsidRPr="00184560">
        <w:rPr>
          <w:rFonts w:ascii="Bookman Old Style" w:hAnsi="Bookman Old Style"/>
          <w:sz w:val="24"/>
          <w:szCs w:val="24"/>
        </w:rPr>
        <w:t>: Nivel del punto más alto de la Línea Municipal de la manzana, considerando todo su perímetro, determinada por la Autoridad de Aplicación.</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Cota de la parcela</w:t>
      </w:r>
      <w:r w:rsidRPr="00184560">
        <w:rPr>
          <w:rFonts w:ascii="Bookman Old Style" w:hAnsi="Bookman Old Style"/>
          <w:sz w:val="24"/>
          <w:szCs w:val="24"/>
        </w:rPr>
        <w:t>: Altura de un punto sobre un plano de nivel del cordón más el suplemento que resulta por la construcción de la vereda en el punto medio más alto de la Línea Municipal que corresponde al frente del predio.</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Cota de la edificación en Planta Baja o Nivel de Planta Baja</w:t>
      </w:r>
      <w:r w:rsidRPr="00184560">
        <w:rPr>
          <w:rFonts w:ascii="Bookman Old Style" w:hAnsi="Bookman Old Style"/>
          <w:sz w:val="24"/>
          <w:szCs w:val="24"/>
        </w:rPr>
        <w:t xml:space="preserve">: Cota correspondiente a la “Cota de la parcela” más un suplemento de </w:t>
      </w:r>
      <w:r w:rsidRPr="00184560">
        <w:rPr>
          <w:rFonts w:ascii="Bookman Old Style" w:hAnsi="Bookman Old Style"/>
          <w:sz w:val="24"/>
          <w:szCs w:val="24"/>
        </w:rPr>
        <w:lastRenderedPageBreak/>
        <w:t>cuarenta centímetros (40,00cm). En casos particulares, será establecido por la Secretaría de Obras y Servicios Públicos.</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Cuadra</w:t>
      </w:r>
      <w:r w:rsidRPr="00184560">
        <w:rPr>
          <w:rFonts w:ascii="Bookman Old Style" w:hAnsi="Bookman Old Style"/>
          <w:sz w:val="24"/>
          <w:szCs w:val="24"/>
        </w:rPr>
        <w:t>: Se denomina cuadra al espacio que abarca desde las dos esquinas formadas por la intersección de una calle con otra hasta las dos esquinas formadas por el próximo cruce. La cuadra incluye las dos aceras enfrentadas.</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Frente de parcela</w:t>
      </w:r>
      <w:r w:rsidRPr="00184560">
        <w:rPr>
          <w:rFonts w:ascii="Bookman Old Style" w:hAnsi="Bookman Old Style"/>
          <w:sz w:val="24"/>
          <w:szCs w:val="24"/>
        </w:rPr>
        <w:t xml:space="preserve">: Línea comprendida entre las divisorias laterales y que limita una parcela con la vía o lugar público. </w:t>
      </w:r>
    </w:p>
    <w:p w:rsidR="004C17AE" w:rsidRPr="00184560" w:rsidRDefault="004C17AE" w:rsidP="003C3A56">
      <w:pPr>
        <w:jc w:val="both"/>
        <w:rPr>
          <w:rFonts w:ascii="Bookman Old Style" w:hAnsi="Bookman Old Style"/>
          <w:sz w:val="24"/>
          <w:szCs w:val="24"/>
          <w:highlight w:val="yellow"/>
        </w:rPr>
      </w:pPr>
      <w:r w:rsidRPr="00184560">
        <w:rPr>
          <w:rFonts w:ascii="Bookman Old Style" w:hAnsi="Bookman Old Style"/>
          <w:b/>
          <w:sz w:val="24"/>
          <w:szCs w:val="24"/>
        </w:rPr>
        <w:t>Loteos</w:t>
      </w:r>
      <w:r w:rsidRPr="00184560">
        <w:rPr>
          <w:rFonts w:ascii="Bookman Old Style" w:hAnsi="Bookman Old Style"/>
          <w:sz w:val="24"/>
          <w:szCs w:val="24"/>
        </w:rPr>
        <w:t>: Subdivisión que se realice en el Sector Urbano y Periurbano, con las excepciones que se mencionan en el presente Código.</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Ochava</w:t>
      </w:r>
      <w:r w:rsidRPr="00184560">
        <w:rPr>
          <w:rFonts w:ascii="Bookman Old Style" w:hAnsi="Bookman Old Style"/>
          <w:sz w:val="24"/>
          <w:szCs w:val="24"/>
        </w:rPr>
        <w:t>: Es un recurso urbanístico que consiste en unir con una línea oblicua los lados de las manzanas en sus esquinas, eliminándose estas, con el objetivo de mejorar la circulación y su visibilidad y ampliar los cruces, lo que provoca que las parcelas situadas en esos lugares tengan circunstancias físicas especiales.</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 xml:space="preserve">Lote: </w:t>
      </w:r>
      <w:r w:rsidRPr="00184560">
        <w:rPr>
          <w:rFonts w:ascii="Bookman Old Style" w:hAnsi="Bookman Old Style"/>
          <w:sz w:val="24"/>
          <w:szCs w:val="24"/>
        </w:rPr>
        <w:t>Superficie divisible de terreno designada como tal en planos registrados por la autoridad competente.</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Parcela</w:t>
      </w:r>
      <w:r w:rsidRPr="00184560">
        <w:rPr>
          <w:rFonts w:ascii="Bookman Old Style" w:hAnsi="Bookman Old Style"/>
          <w:sz w:val="24"/>
          <w:szCs w:val="24"/>
        </w:rPr>
        <w:t>: Superficie indivisible de terreno designada como tal en planos registrados por la autoridad competente.</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Parcela de Esquina</w:t>
      </w:r>
      <w:r w:rsidRPr="00184560">
        <w:rPr>
          <w:rFonts w:ascii="Bookman Old Style" w:hAnsi="Bookman Old Style"/>
          <w:sz w:val="24"/>
          <w:szCs w:val="24"/>
        </w:rPr>
        <w:t>: Parcela que tiene por lo menos dos lados adyacentes sobre la vía pública.</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Parcela Intermedia o Parcela entre medianeras</w:t>
      </w:r>
      <w:r w:rsidRPr="00184560">
        <w:rPr>
          <w:rFonts w:ascii="Bookman Old Style" w:hAnsi="Bookman Old Style"/>
          <w:sz w:val="24"/>
          <w:szCs w:val="24"/>
        </w:rPr>
        <w:t xml:space="preserve">: Parcela que no corresponde a parcela de esquina. </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Parcela Pasante</w:t>
      </w:r>
      <w:r w:rsidRPr="00184560">
        <w:rPr>
          <w:rFonts w:ascii="Bookman Old Style" w:hAnsi="Bookman Old Style"/>
          <w:sz w:val="24"/>
          <w:szCs w:val="24"/>
        </w:rPr>
        <w:t>: Parcela Intermedia con frente a dos o más calles.</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Subdivisión</w:t>
      </w:r>
      <w:r w:rsidRPr="00184560">
        <w:rPr>
          <w:rFonts w:ascii="Bookman Old Style" w:hAnsi="Bookman Old Style"/>
          <w:sz w:val="24"/>
          <w:szCs w:val="24"/>
        </w:rPr>
        <w:t>: Implica la modificación del estado parcelario y/o catastral, a través de la división de un Lote.</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Subsuelo</w:t>
      </w:r>
      <w:r w:rsidRPr="00184560">
        <w:rPr>
          <w:rFonts w:ascii="Bookman Old Style" w:hAnsi="Bookman Old Style"/>
          <w:sz w:val="24"/>
          <w:szCs w:val="24"/>
        </w:rPr>
        <w:t>: Construcciones bajo cota cero de la parcela</w:t>
      </w:r>
      <w:r w:rsidRPr="00184560">
        <w:rPr>
          <w:rFonts w:ascii="Bookman Old Style" w:hAnsi="Bookman Old Style"/>
          <w:b/>
          <w:sz w:val="24"/>
          <w:szCs w:val="24"/>
        </w:rPr>
        <w:t>.</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Urbanización</w:t>
      </w:r>
      <w:r w:rsidRPr="00184560">
        <w:rPr>
          <w:rFonts w:ascii="Bookman Old Style" w:hAnsi="Bookman Old Style"/>
          <w:sz w:val="24"/>
          <w:szCs w:val="24"/>
        </w:rPr>
        <w:t>: Integración espacial a la trama urbana que implique la prolongación de calles y / o apertura de calles, con el objeto de crear nuevas parcelas o lotes, con provisión de servicios públicos.</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Línea Municipal</w:t>
      </w:r>
      <w:r w:rsidRPr="00184560">
        <w:rPr>
          <w:rFonts w:ascii="Bookman Old Style" w:hAnsi="Bookman Old Style"/>
          <w:sz w:val="24"/>
          <w:szCs w:val="24"/>
        </w:rPr>
        <w:t>: Límite divisor que demarca la finalización de la extensión de la propiedad privada y el inicio del espacio y/o vía pública.</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lastRenderedPageBreak/>
        <w:t>Vereda</w:t>
      </w:r>
      <w:r w:rsidRPr="00184560">
        <w:rPr>
          <w:rFonts w:ascii="Bookman Old Style" w:hAnsi="Bookman Old Style"/>
          <w:sz w:val="24"/>
          <w:szCs w:val="24"/>
        </w:rPr>
        <w:t>: Espacio de la vía pública destinado al tránsito de peatones. Se extenderá en todo el largo del frente del lote o parcela desde la Línea Municipal, hasta el cordón o línea de proyección del mismo que bordee la calzada, según el caso.</w:t>
      </w:r>
    </w:p>
    <w:p w:rsidR="004C17AE" w:rsidRPr="00184560" w:rsidRDefault="004C17AE" w:rsidP="004C17AE">
      <w:pPr>
        <w:rPr>
          <w:rFonts w:ascii="Bookman Old Style" w:hAnsi="Bookman Old Style"/>
          <w:sz w:val="24"/>
          <w:szCs w:val="24"/>
        </w:rPr>
      </w:pPr>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Relativos al Tejido Urbano:</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Factor de ocupación del suelo (F.O.S.):</w:t>
      </w:r>
      <w:r w:rsidRPr="00184560">
        <w:rPr>
          <w:rFonts w:ascii="Bookman Old Style" w:hAnsi="Bookman Old Style"/>
          <w:sz w:val="24"/>
          <w:szCs w:val="24"/>
        </w:rPr>
        <w:t xml:space="preserve"> Porcentaje de la superficie total del terreno que se puede ocupar con la proyección horizontal de las construcciones de todos los niveles del o de los edificios sobre el terreno, computando las superficies cubiertas y </w:t>
      </w:r>
      <w:proofErr w:type="spellStart"/>
      <w:r w:rsidRPr="00184560">
        <w:rPr>
          <w:rFonts w:ascii="Bookman Old Style" w:hAnsi="Bookman Old Style"/>
          <w:sz w:val="24"/>
          <w:szCs w:val="24"/>
        </w:rPr>
        <w:t>semicubiertas</w:t>
      </w:r>
      <w:proofErr w:type="spellEnd"/>
      <w:r w:rsidRPr="00184560">
        <w:rPr>
          <w:rFonts w:ascii="Bookman Old Style" w:hAnsi="Bookman Old Style"/>
          <w:sz w:val="24"/>
          <w:szCs w:val="24"/>
        </w:rPr>
        <w:t xml:space="preserve"> sobre la cota de parcela. Los factores de ocupación del suelo tienen carácter de máximos. En el caso de parcelas intermedias con frente a dos o más calles y que a dichos frentes les correspondan distintos factores de ocupación, el F.O.S. de aplicación será el promedio ponderado de los Factores de Ocupación por la longitud de cada uno de los frentes de la parcela. Será computable para el FOS:</w:t>
      </w:r>
    </w:p>
    <w:p w:rsidR="004C17AE" w:rsidRPr="00184560" w:rsidRDefault="004C17AE" w:rsidP="00A44E48">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after="120" w:line="360" w:lineRule="auto"/>
        <w:ind w:left="2136"/>
        <w:jc w:val="both"/>
        <w:rPr>
          <w:rFonts w:ascii="Bookman Old Style" w:hAnsi="Bookman Old Style"/>
        </w:rPr>
      </w:pPr>
      <w:r w:rsidRPr="00184560">
        <w:rPr>
          <w:rFonts w:ascii="Bookman Old Style" w:hAnsi="Bookman Old Style"/>
          <w:sz w:val="24"/>
          <w:szCs w:val="24"/>
        </w:rPr>
        <w:t>La superficie edificable por sobre la cota de parcela de un metro cincuenta centímetros (+1.50 metros).</w:t>
      </w:r>
    </w:p>
    <w:p w:rsidR="004C17AE" w:rsidRPr="00184560" w:rsidRDefault="004C17AE" w:rsidP="00A44E48">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after="120" w:line="360" w:lineRule="auto"/>
        <w:ind w:left="2136"/>
        <w:jc w:val="both"/>
        <w:rPr>
          <w:rFonts w:ascii="Bookman Old Style" w:hAnsi="Bookman Old Style"/>
        </w:rPr>
      </w:pPr>
      <w:r w:rsidRPr="00184560">
        <w:rPr>
          <w:rFonts w:ascii="Bookman Old Style" w:hAnsi="Bookman Old Style"/>
          <w:sz w:val="24"/>
          <w:szCs w:val="24"/>
        </w:rPr>
        <w:t>La superficie conformada por voladizos, aleros o salientes que superen la medida de 0.60 metros, desde el plano de fachada principal de la edificación.</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Factor de ocupación total (F.O.T.):</w:t>
      </w:r>
      <w:r w:rsidRPr="00184560">
        <w:rPr>
          <w:rFonts w:ascii="Bookman Old Style" w:hAnsi="Bookman Old Style"/>
          <w:sz w:val="24"/>
          <w:szCs w:val="24"/>
        </w:rPr>
        <w:t xml:space="preserve"> Número que multiplicado por la superficie total de la parcela determina la superficie edificable. En el caso de parcelas intermedias con frente a dos o más calles y que a dichos Código de frentes les correspondan distintos factores de ocupación, el F.O.T. de aplicación será el promedio ponderado de los Factores de Ocupación Total por la longitud de cada uno de los frentes de la parcela. Se considera superficie cubierta edificada en una parcela, a la suma de todas las áreas cubiertas en cada planta ubicados por sobre el nivel de la cota de parcela, incluyéndose espesores de tabiques, muros interiores y exteriores. </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Superficies deducibles</w:t>
      </w:r>
      <w:r w:rsidRPr="00184560">
        <w:rPr>
          <w:rFonts w:ascii="Bookman Old Style" w:hAnsi="Bookman Old Style"/>
          <w:sz w:val="24"/>
          <w:szCs w:val="24"/>
        </w:rPr>
        <w:t>: Son aquellas superficies que no se incluirán en el cómputo de la superficie edificable y en el factor de ocupación total (F.O.T.):</w:t>
      </w:r>
    </w:p>
    <w:p w:rsidR="004C17AE" w:rsidRPr="00184560" w:rsidRDefault="004C17AE" w:rsidP="00A44E48">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1302"/>
        </w:tabs>
        <w:spacing w:after="120" w:line="360" w:lineRule="auto"/>
        <w:ind w:right="-3"/>
        <w:jc w:val="both"/>
        <w:rPr>
          <w:rFonts w:ascii="Bookman Old Style" w:hAnsi="Bookman Old Style"/>
          <w:sz w:val="24"/>
          <w:szCs w:val="24"/>
        </w:rPr>
      </w:pPr>
      <w:r w:rsidRPr="00184560">
        <w:rPr>
          <w:rFonts w:ascii="Bookman Old Style" w:hAnsi="Bookman Old Style"/>
          <w:sz w:val="24"/>
          <w:szCs w:val="24"/>
        </w:rPr>
        <w:t xml:space="preserve">La superficie cubierta y semicubierta destinada a guarda </w:t>
      </w:r>
      <w:r w:rsidRPr="00184560">
        <w:rPr>
          <w:rFonts w:ascii="Bookman Old Style" w:hAnsi="Bookman Old Style"/>
          <w:sz w:val="24"/>
          <w:szCs w:val="24"/>
        </w:rPr>
        <w:lastRenderedPageBreak/>
        <w:t>y estacionamiento de vehículos y espacios para carga y descarga;</w:t>
      </w:r>
    </w:p>
    <w:p w:rsidR="004C17AE" w:rsidRPr="00184560" w:rsidRDefault="004C17AE" w:rsidP="00A44E48">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1302"/>
        </w:tabs>
        <w:spacing w:after="120" w:line="360" w:lineRule="auto"/>
        <w:ind w:right="-3"/>
        <w:jc w:val="both"/>
        <w:rPr>
          <w:rFonts w:ascii="Bookman Old Style" w:hAnsi="Bookman Old Style"/>
          <w:sz w:val="24"/>
          <w:szCs w:val="24"/>
        </w:rPr>
      </w:pPr>
      <w:r w:rsidRPr="00184560">
        <w:rPr>
          <w:rFonts w:ascii="Bookman Old Style" w:hAnsi="Bookman Old Style"/>
          <w:sz w:val="24"/>
          <w:szCs w:val="24"/>
        </w:rPr>
        <w:t>La superficie de la planta baja libre; entendiéndose como tal a la totalidad de la superficie ubicada en planta baja, con dos lados como mínimo abiertos y que no constituya ningún tipo de local habitable.</w:t>
      </w:r>
    </w:p>
    <w:p w:rsidR="004C17AE" w:rsidRPr="00184560" w:rsidRDefault="004C17AE" w:rsidP="00A44E48">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1302"/>
        </w:tabs>
        <w:spacing w:after="120" w:line="360" w:lineRule="auto"/>
        <w:ind w:right="-3"/>
        <w:jc w:val="both"/>
        <w:rPr>
          <w:rFonts w:ascii="Bookman Old Style" w:hAnsi="Bookman Old Style"/>
          <w:sz w:val="24"/>
          <w:szCs w:val="24"/>
        </w:rPr>
      </w:pPr>
      <w:r w:rsidRPr="00184560">
        <w:rPr>
          <w:rFonts w:ascii="Bookman Old Style" w:hAnsi="Bookman Old Style"/>
          <w:sz w:val="24"/>
          <w:szCs w:val="24"/>
        </w:rPr>
        <w:t>Superficies de aquellos locales cuya cota superior de techo sea igual o inferior a un metro cincuenta centímetros (+1,50 m.) respecto a la cota de parcela.</w:t>
      </w:r>
    </w:p>
    <w:p w:rsidR="004C17AE" w:rsidRPr="00184560" w:rsidRDefault="004C17AE" w:rsidP="00A44E48">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1302"/>
        </w:tabs>
        <w:spacing w:after="120" w:line="360" w:lineRule="auto"/>
        <w:ind w:right="-3"/>
        <w:jc w:val="both"/>
        <w:rPr>
          <w:rFonts w:ascii="Bookman Old Style" w:hAnsi="Bookman Old Style"/>
          <w:sz w:val="24"/>
          <w:szCs w:val="24"/>
        </w:rPr>
      </w:pPr>
      <w:r w:rsidRPr="00184560">
        <w:rPr>
          <w:rFonts w:ascii="Bookman Old Style" w:hAnsi="Bookman Old Style"/>
          <w:sz w:val="24"/>
          <w:szCs w:val="24"/>
        </w:rPr>
        <w:t>La mitad de la superficie de los balcones abiertos, pórticos, galerías y toda otra superficie semicubierta;</w:t>
      </w:r>
    </w:p>
    <w:p w:rsidR="004C17AE" w:rsidRPr="00184560" w:rsidRDefault="004C17AE" w:rsidP="00A44E48">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1302"/>
        </w:tabs>
        <w:spacing w:after="120" w:line="360" w:lineRule="auto"/>
        <w:ind w:right="-3"/>
        <w:jc w:val="both"/>
        <w:rPr>
          <w:rFonts w:ascii="Bookman Old Style" w:hAnsi="Bookman Old Style"/>
          <w:sz w:val="24"/>
          <w:szCs w:val="24"/>
        </w:rPr>
      </w:pPr>
      <w:r w:rsidRPr="00184560">
        <w:rPr>
          <w:rFonts w:ascii="Bookman Old Style" w:hAnsi="Bookman Old Style"/>
          <w:sz w:val="24"/>
          <w:szCs w:val="24"/>
        </w:rPr>
        <w:t>La totalidad de la superficie destinada a instalaciones contra incendio como la caja de escaleras, sus antecámaras, y los palieres protegidos, etc., cuando se proyectan para cumplimentar las normas contra incendio del Código de la Edificación;</w:t>
      </w:r>
    </w:p>
    <w:p w:rsidR="004C17AE" w:rsidRPr="00184560" w:rsidRDefault="004C17AE" w:rsidP="00A44E48">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1302"/>
        </w:tabs>
        <w:spacing w:after="120" w:line="360" w:lineRule="auto"/>
        <w:ind w:right="-3"/>
        <w:jc w:val="both"/>
        <w:rPr>
          <w:rFonts w:ascii="Bookman Old Style" w:hAnsi="Bookman Old Style"/>
          <w:sz w:val="24"/>
          <w:szCs w:val="24"/>
        </w:rPr>
      </w:pPr>
      <w:r w:rsidRPr="00184560">
        <w:rPr>
          <w:rFonts w:ascii="Bookman Old Style" w:hAnsi="Bookman Old Style"/>
          <w:sz w:val="24"/>
          <w:szCs w:val="24"/>
        </w:rPr>
        <w:t>Tanques de bombeo y reserva; sala de medidores de las instalaciones en general y salas de máquinas; pasadizos de ascensor, conductos de ventilación y/o servicios;</w:t>
      </w:r>
    </w:p>
    <w:p w:rsidR="004C17AE" w:rsidRPr="00184560" w:rsidRDefault="004C17AE" w:rsidP="00A44E48">
      <w:pPr>
        <w:widowControl w:val="0"/>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1302"/>
        </w:tabs>
        <w:spacing w:after="120" w:line="360" w:lineRule="auto"/>
        <w:ind w:right="-3"/>
        <w:jc w:val="both"/>
        <w:rPr>
          <w:rFonts w:ascii="Bookman Old Style" w:hAnsi="Bookman Old Style"/>
          <w:sz w:val="24"/>
          <w:szCs w:val="24"/>
        </w:rPr>
      </w:pPr>
      <w:r w:rsidRPr="00184560">
        <w:rPr>
          <w:rFonts w:ascii="Bookman Old Style" w:hAnsi="Bookman Old Style"/>
          <w:sz w:val="24"/>
          <w:szCs w:val="24"/>
        </w:rPr>
        <w:t>La superficie destinada a circulación vertical por medio de escaleras que conforme superficie cubierta y ascensores, debe computarse sólo una vez en virtud de asimilarse al caso del ascensor.</w:t>
      </w:r>
    </w:p>
    <w:p w:rsidR="004C17AE" w:rsidRPr="00184560" w:rsidRDefault="004C17AE" w:rsidP="003C3A56">
      <w:pPr>
        <w:tabs>
          <w:tab w:val="left" w:pos="2101"/>
        </w:tabs>
        <w:ind w:right="-3"/>
        <w:jc w:val="both"/>
        <w:rPr>
          <w:rFonts w:ascii="Bookman Old Style" w:hAnsi="Bookman Old Style"/>
          <w:sz w:val="24"/>
          <w:szCs w:val="24"/>
        </w:rPr>
      </w:pPr>
      <w:r w:rsidRPr="00184560">
        <w:rPr>
          <w:rFonts w:ascii="Bookman Old Style" w:hAnsi="Bookman Old Style"/>
          <w:b/>
          <w:sz w:val="24"/>
          <w:szCs w:val="24"/>
        </w:rPr>
        <w:t>Capacidad Máxima de Alojamiento:</w:t>
      </w:r>
      <w:r w:rsidRPr="00184560">
        <w:rPr>
          <w:rFonts w:ascii="Bookman Old Style" w:hAnsi="Bookman Old Style"/>
          <w:sz w:val="24"/>
          <w:szCs w:val="24"/>
        </w:rPr>
        <w:t xml:space="preserve"> Es un indicador que permite estimar el número de habitantes para el uso residencial permanente y temporario.</w:t>
      </w:r>
    </w:p>
    <w:tbl>
      <w:tblPr>
        <w:tblStyle w:val="Style24"/>
        <w:tblW w:w="4952" w:type="dxa"/>
        <w:jc w:val="center"/>
        <w:tblLayout w:type="fixed"/>
        <w:tblLook w:val="04A0"/>
      </w:tblPr>
      <w:tblGrid>
        <w:gridCol w:w="2825"/>
        <w:gridCol w:w="2127"/>
      </w:tblGrid>
      <w:tr w:rsidR="004C17AE" w:rsidRPr="00184560" w:rsidTr="004C17AE">
        <w:trPr>
          <w:trHeight w:val="576"/>
          <w:jc w:val="center"/>
        </w:trPr>
        <w:tc>
          <w:tcPr>
            <w:tcW w:w="2825" w:type="dxa"/>
            <w:tcBorders>
              <w:top w:val="single" w:sz="8" w:space="0" w:color="000000"/>
              <w:left w:val="single" w:sz="8" w:space="0" w:color="000000"/>
              <w:bottom w:val="single" w:sz="8" w:space="0" w:color="000000"/>
              <w:right w:val="single" w:sz="8" w:space="0" w:color="000000"/>
            </w:tcBorders>
            <w:shd w:val="clear" w:color="auto" w:fill="D0CECE"/>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Superficie dormitorios ( rango en m2)</w:t>
            </w:r>
          </w:p>
        </w:tc>
        <w:tc>
          <w:tcPr>
            <w:tcW w:w="2127" w:type="dxa"/>
            <w:tcBorders>
              <w:top w:val="single" w:sz="8" w:space="0" w:color="000000"/>
              <w:left w:val="nil"/>
              <w:bottom w:val="single" w:sz="8" w:space="0" w:color="000000"/>
              <w:right w:val="single" w:sz="8" w:space="0" w:color="000000"/>
            </w:tcBorders>
            <w:shd w:val="clear" w:color="auto" w:fill="D0CECE"/>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Número máximo de plazas</w:t>
            </w:r>
          </w:p>
        </w:tc>
      </w:tr>
      <w:tr w:rsidR="004C17AE" w:rsidRPr="00184560" w:rsidTr="004C17AE">
        <w:trPr>
          <w:trHeight w:val="288"/>
          <w:jc w:val="center"/>
        </w:trPr>
        <w:tc>
          <w:tcPr>
            <w:tcW w:w="2825" w:type="dxa"/>
            <w:tcBorders>
              <w:top w:val="nil"/>
              <w:left w:val="single" w:sz="8" w:space="0" w:color="000000"/>
              <w:bottom w:val="single" w:sz="4" w:space="0" w:color="000000"/>
              <w:right w:val="single" w:sz="8" w:space="0" w:color="000000"/>
            </w:tcBorders>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 xml:space="preserve"> 8,00 a 9,99</w:t>
            </w:r>
          </w:p>
        </w:tc>
        <w:tc>
          <w:tcPr>
            <w:tcW w:w="2127" w:type="dxa"/>
            <w:tcBorders>
              <w:top w:val="nil"/>
              <w:left w:val="nil"/>
              <w:bottom w:val="single" w:sz="4" w:space="0" w:color="000000"/>
              <w:right w:val="single" w:sz="8" w:space="0" w:color="000000"/>
            </w:tcBorders>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1</w:t>
            </w:r>
          </w:p>
        </w:tc>
      </w:tr>
      <w:tr w:rsidR="004C17AE" w:rsidRPr="00184560" w:rsidTr="004C17AE">
        <w:trPr>
          <w:trHeight w:val="288"/>
          <w:jc w:val="center"/>
        </w:trPr>
        <w:tc>
          <w:tcPr>
            <w:tcW w:w="2825" w:type="dxa"/>
            <w:tcBorders>
              <w:top w:val="nil"/>
              <w:left w:val="single" w:sz="8" w:space="0" w:color="000000"/>
              <w:bottom w:val="single" w:sz="4" w:space="0" w:color="000000"/>
              <w:right w:val="single" w:sz="8" w:space="0" w:color="000000"/>
            </w:tcBorders>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10,00  a 15,00</w:t>
            </w:r>
          </w:p>
        </w:tc>
        <w:tc>
          <w:tcPr>
            <w:tcW w:w="2127" w:type="dxa"/>
            <w:tcBorders>
              <w:top w:val="nil"/>
              <w:left w:val="nil"/>
              <w:bottom w:val="single" w:sz="4" w:space="0" w:color="000000"/>
              <w:right w:val="single" w:sz="8" w:space="0" w:color="000000"/>
            </w:tcBorders>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2</w:t>
            </w:r>
          </w:p>
        </w:tc>
      </w:tr>
      <w:tr w:rsidR="004C17AE" w:rsidRPr="00184560" w:rsidTr="004C17AE">
        <w:trPr>
          <w:trHeight w:val="300"/>
          <w:jc w:val="center"/>
        </w:trPr>
        <w:tc>
          <w:tcPr>
            <w:tcW w:w="2825" w:type="dxa"/>
            <w:tcBorders>
              <w:top w:val="nil"/>
              <w:left w:val="single" w:sz="8" w:space="0" w:color="000000"/>
              <w:bottom w:val="single" w:sz="8" w:space="0" w:color="000000"/>
              <w:right w:val="single" w:sz="8" w:space="0" w:color="000000"/>
            </w:tcBorders>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 xml:space="preserve">&gt; 15,00 </w:t>
            </w:r>
          </w:p>
        </w:tc>
        <w:tc>
          <w:tcPr>
            <w:tcW w:w="2127" w:type="dxa"/>
            <w:tcBorders>
              <w:top w:val="nil"/>
              <w:left w:val="nil"/>
              <w:bottom w:val="single" w:sz="8" w:space="0" w:color="000000"/>
              <w:right w:val="single" w:sz="8" w:space="0" w:color="000000"/>
            </w:tcBorders>
            <w:tcMar>
              <w:top w:w="0" w:type="dxa"/>
              <w:left w:w="70" w:type="dxa"/>
              <w:bottom w:w="0" w:type="dxa"/>
              <w:right w:w="70" w:type="dxa"/>
            </w:tcMar>
            <w:vAlign w:val="center"/>
          </w:tcPr>
          <w:p w:rsidR="004C17AE" w:rsidRPr="00184560" w:rsidRDefault="004C17AE" w:rsidP="004C17AE">
            <w:pPr>
              <w:jc w:val="center"/>
              <w:rPr>
                <w:rFonts w:ascii="Bookman Old Style" w:eastAsia="Arial" w:hAnsi="Bookman Old Style" w:cs="Arial"/>
                <w:sz w:val="24"/>
                <w:szCs w:val="24"/>
              </w:rPr>
            </w:pPr>
            <w:r w:rsidRPr="00184560">
              <w:rPr>
                <w:rFonts w:ascii="Bookman Old Style" w:eastAsia="Arial" w:hAnsi="Bookman Old Style" w:cs="Arial"/>
                <w:sz w:val="24"/>
                <w:szCs w:val="24"/>
              </w:rPr>
              <w:t>3</w:t>
            </w:r>
          </w:p>
        </w:tc>
      </w:tr>
    </w:tbl>
    <w:p w:rsidR="004C17AE" w:rsidRPr="00184560" w:rsidRDefault="004C17AE" w:rsidP="004C17AE">
      <w:pPr>
        <w:tabs>
          <w:tab w:val="left" w:pos="925"/>
        </w:tabs>
        <w:spacing w:before="98"/>
        <w:ind w:right="-3"/>
        <w:rPr>
          <w:rFonts w:ascii="Bookman Old Style" w:hAnsi="Bookman Old Style"/>
          <w:b/>
          <w:sz w:val="6"/>
          <w:szCs w:val="16"/>
        </w:rPr>
      </w:pPr>
    </w:p>
    <w:p w:rsidR="004C17AE" w:rsidRPr="00184560" w:rsidRDefault="004C17AE" w:rsidP="003C3A56">
      <w:pPr>
        <w:tabs>
          <w:tab w:val="left" w:pos="925"/>
        </w:tabs>
        <w:spacing w:before="98"/>
        <w:ind w:right="-3"/>
        <w:jc w:val="both"/>
        <w:rPr>
          <w:rFonts w:ascii="Bookman Old Style" w:hAnsi="Bookman Old Style"/>
          <w:sz w:val="24"/>
          <w:szCs w:val="24"/>
        </w:rPr>
      </w:pPr>
      <w:r w:rsidRPr="00184560">
        <w:rPr>
          <w:rFonts w:ascii="Bookman Old Style" w:hAnsi="Bookman Old Style"/>
          <w:b/>
          <w:sz w:val="24"/>
          <w:szCs w:val="24"/>
        </w:rPr>
        <w:t>Retiro de frente:</w:t>
      </w:r>
      <w:r w:rsidRPr="00184560">
        <w:rPr>
          <w:rFonts w:ascii="Bookman Old Style" w:hAnsi="Bookman Old Style"/>
          <w:sz w:val="24"/>
          <w:szCs w:val="24"/>
        </w:rPr>
        <w:t xml:space="preserve"> Es el espacio libre expresado en metros lineales que se debe mantener entre la línea municipal y la construcción proyectada.</w:t>
      </w:r>
    </w:p>
    <w:p w:rsidR="004C17AE" w:rsidRPr="00184560" w:rsidRDefault="004C17AE" w:rsidP="003C3A56">
      <w:pPr>
        <w:tabs>
          <w:tab w:val="left" w:pos="973"/>
        </w:tabs>
        <w:spacing w:before="121"/>
        <w:ind w:right="-3"/>
        <w:jc w:val="both"/>
        <w:rPr>
          <w:rFonts w:ascii="Bookman Old Style" w:hAnsi="Bookman Old Style"/>
          <w:sz w:val="24"/>
          <w:szCs w:val="24"/>
        </w:rPr>
      </w:pPr>
      <w:r w:rsidRPr="00184560">
        <w:rPr>
          <w:rFonts w:ascii="Bookman Old Style" w:hAnsi="Bookman Old Style"/>
          <w:b/>
          <w:sz w:val="24"/>
          <w:szCs w:val="24"/>
        </w:rPr>
        <w:t>Retiro desde eje medianero:</w:t>
      </w:r>
      <w:r w:rsidRPr="00184560">
        <w:rPr>
          <w:rFonts w:ascii="Bookman Old Style" w:hAnsi="Bookman Old Style"/>
          <w:sz w:val="24"/>
          <w:szCs w:val="24"/>
        </w:rPr>
        <w:t xml:space="preserve"> es la distancia mínima expresada en metros lineales a la que deben retirarse las edificaciones desde los ejes medianeros. Estas dimensiones variarán según se trate de superficies cubierta o semicubierta. Los retiros de ejes medianeros son considerados sólo a los laterales y no a los fondos.</w:t>
      </w:r>
    </w:p>
    <w:p w:rsidR="004C17AE" w:rsidRPr="00184560" w:rsidRDefault="004C17AE" w:rsidP="003C3A56">
      <w:pPr>
        <w:tabs>
          <w:tab w:val="left" w:pos="992"/>
        </w:tabs>
        <w:spacing w:before="121"/>
        <w:ind w:right="-3"/>
        <w:jc w:val="both"/>
        <w:rPr>
          <w:rFonts w:ascii="Bookman Old Style" w:hAnsi="Bookman Old Style"/>
          <w:sz w:val="24"/>
          <w:szCs w:val="24"/>
        </w:rPr>
      </w:pPr>
      <w:r w:rsidRPr="00184560">
        <w:rPr>
          <w:rFonts w:ascii="Bookman Old Style" w:hAnsi="Bookman Old Style"/>
          <w:b/>
          <w:sz w:val="24"/>
          <w:szCs w:val="24"/>
        </w:rPr>
        <w:t>Coeficiente de absorción</w:t>
      </w:r>
      <w:r w:rsidRPr="00184560">
        <w:rPr>
          <w:rFonts w:ascii="Bookman Old Style" w:hAnsi="Bookman Old Style"/>
          <w:sz w:val="24"/>
          <w:szCs w:val="24"/>
        </w:rPr>
        <w:t>: es el porcentaje referido a la superficie total del lote que deberá permanecer libre de solados para permitir la absorción del agua de lluvias. En los casos donde la totalidad del terreno esté ocupada por solados, se deberá proyectar un retardador para evacuar el agua de lluvias a la vía pública, a fin de mitigar el impacto hidráulico en la misma. Estos deberán ser aprobados por la Dirección municipal correspondiente, y según las especificaciones de la legislación vigente.</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Terrazas o techos verdes:</w:t>
      </w:r>
      <w:r w:rsidRPr="00184560">
        <w:rPr>
          <w:rFonts w:ascii="Bookman Old Style" w:hAnsi="Bookman Old Style"/>
          <w:sz w:val="24"/>
          <w:szCs w:val="24"/>
        </w:rPr>
        <w:t xml:space="preserve"> son las superficies de los techos que, habiendo recibido la correspondiente aislación hidráulica, permiten ser tratados como pequeños jardines. Este tipo de recursos permitirá reducir en forma proporcional el volumen de los retardadores pluviométricos y en acuerdo al manual, ajustándose en todo a las especificaciones de la legislación vigente.</w:t>
      </w:r>
    </w:p>
    <w:p w:rsidR="004C17AE" w:rsidRPr="00184560" w:rsidRDefault="004C17AE" w:rsidP="004C17AE">
      <w:pPr>
        <w:rPr>
          <w:rFonts w:ascii="Bookman Old Style" w:hAnsi="Bookman Old Style"/>
          <w:sz w:val="24"/>
          <w:szCs w:val="24"/>
        </w:rPr>
      </w:pPr>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Relativos al Uso:</w:t>
      </w:r>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Generales</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Cochera / Espacio Guardacoches</w:t>
      </w:r>
      <w:r w:rsidRPr="00184560">
        <w:rPr>
          <w:rFonts w:ascii="Bookman Old Style" w:hAnsi="Bookman Old Style"/>
          <w:sz w:val="24"/>
          <w:szCs w:val="24"/>
        </w:rPr>
        <w:t>:</w:t>
      </w:r>
      <w:r w:rsidR="00EE527A">
        <w:rPr>
          <w:rFonts w:ascii="Bookman Old Style" w:hAnsi="Bookman Old Style"/>
          <w:sz w:val="24"/>
          <w:szCs w:val="24"/>
        </w:rPr>
        <w:t xml:space="preserve"> </w:t>
      </w:r>
      <w:r w:rsidRPr="00184560">
        <w:rPr>
          <w:rFonts w:ascii="Bookman Old Style" w:hAnsi="Bookman Old Style"/>
          <w:sz w:val="24"/>
          <w:szCs w:val="24"/>
        </w:rPr>
        <w:t>Unidad de estacionamiento cubierta o descubierta de automotores, definida en superficie dentro de un garaje o playa de estacionamiento.</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Depósito</w:t>
      </w:r>
      <w:r w:rsidRPr="00184560">
        <w:rPr>
          <w:rFonts w:ascii="Bookman Old Style" w:hAnsi="Bookman Old Style"/>
          <w:sz w:val="24"/>
          <w:szCs w:val="24"/>
        </w:rPr>
        <w:t xml:space="preserve">: Superficie cubierta o descubierta donde se almacenan productos (materias primas, </w:t>
      </w:r>
      <w:proofErr w:type="spellStart"/>
      <w:r w:rsidRPr="00184560">
        <w:rPr>
          <w:rFonts w:ascii="Bookman Old Style" w:hAnsi="Bookman Old Style"/>
          <w:sz w:val="24"/>
          <w:szCs w:val="24"/>
        </w:rPr>
        <w:t>sem</w:t>
      </w:r>
      <w:r w:rsidR="00EE527A">
        <w:rPr>
          <w:rFonts w:ascii="Bookman Old Style" w:hAnsi="Bookman Old Style"/>
          <w:sz w:val="24"/>
          <w:szCs w:val="24"/>
        </w:rPr>
        <w:t>i</w:t>
      </w:r>
      <w:proofErr w:type="spellEnd"/>
      <w:r w:rsidR="00EE527A">
        <w:rPr>
          <w:rFonts w:ascii="Bookman Old Style" w:hAnsi="Bookman Old Style"/>
          <w:sz w:val="24"/>
          <w:szCs w:val="24"/>
        </w:rPr>
        <w:t xml:space="preserve"> </w:t>
      </w:r>
      <w:r w:rsidRPr="00184560">
        <w:rPr>
          <w:rFonts w:ascii="Bookman Old Style" w:hAnsi="Bookman Old Style"/>
          <w:sz w:val="24"/>
          <w:szCs w:val="24"/>
        </w:rPr>
        <w:t>elaborados y/o terminados) para su resguardo.</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Equipamiento</w:t>
      </w:r>
      <w:r w:rsidRPr="00184560">
        <w:rPr>
          <w:rFonts w:ascii="Bookman Old Style" w:hAnsi="Bookman Old Style"/>
          <w:sz w:val="24"/>
          <w:szCs w:val="24"/>
        </w:rPr>
        <w:t>: Se entiende con este término al conjunto de usos que satisface las distintas necesidades de las personas como individuo y como integrante de la comunidad, y también al conjunto de usos al servicio de otras funciones.</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lastRenderedPageBreak/>
        <w:t>Lugar para carga y descarga</w:t>
      </w:r>
      <w:r w:rsidRPr="00184560">
        <w:rPr>
          <w:rFonts w:ascii="Bookman Old Style" w:hAnsi="Bookman Old Style"/>
          <w:sz w:val="24"/>
          <w:szCs w:val="24"/>
        </w:rPr>
        <w:t xml:space="preserve">: Espacio cubierto, </w:t>
      </w:r>
      <w:proofErr w:type="spellStart"/>
      <w:r w:rsidRPr="00184560">
        <w:rPr>
          <w:rFonts w:ascii="Bookman Old Style" w:hAnsi="Bookman Old Style"/>
          <w:sz w:val="24"/>
          <w:szCs w:val="24"/>
        </w:rPr>
        <w:t>semicubierto</w:t>
      </w:r>
      <w:proofErr w:type="spellEnd"/>
      <w:r w:rsidRPr="00184560">
        <w:rPr>
          <w:rFonts w:ascii="Bookman Old Style" w:hAnsi="Bookman Old Style"/>
          <w:sz w:val="24"/>
          <w:szCs w:val="24"/>
        </w:rPr>
        <w:t xml:space="preserve"> o descubierto, donde deben efectuarse las operaciones de carga y descarga desde vehículos, inherentes a las actividades que allí se desarrollan.</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Módulo de estacionamiento</w:t>
      </w:r>
      <w:r w:rsidRPr="00184560">
        <w:rPr>
          <w:rFonts w:ascii="Bookman Old Style" w:hAnsi="Bookman Old Style"/>
          <w:sz w:val="24"/>
          <w:szCs w:val="24"/>
        </w:rPr>
        <w:t>: Superficie necesaria para la guarda o estacionamiento de un automóvil.</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Módulo de estacionamiento de bicicletas</w:t>
      </w:r>
      <w:r w:rsidRPr="00184560">
        <w:rPr>
          <w:rFonts w:ascii="Bookman Old Style" w:hAnsi="Bookman Old Style"/>
          <w:sz w:val="24"/>
          <w:szCs w:val="24"/>
        </w:rPr>
        <w:t>: Superficie necesaria para localizar una bicicleta, de conformidad a la Normativa de Edificación.</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Servicios públicos domiciliarios</w:t>
      </w:r>
      <w:r w:rsidRPr="00184560">
        <w:rPr>
          <w:rFonts w:ascii="Bookman Old Style" w:hAnsi="Bookman Old Style"/>
          <w:sz w:val="24"/>
          <w:szCs w:val="24"/>
        </w:rPr>
        <w:t>: Son los que se brindan a cada edificio de la ciudad y a los espacios verdes y circulatorios de la misma, mediante redes e instalaciones técnicas complementarias de éstas, que comprenden los siguientes rubros:</w:t>
      </w:r>
    </w:p>
    <w:p w:rsidR="004C17AE" w:rsidRPr="00184560" w:rsidRDefault="004C17AE" w:rsidP="00A44E48">
      <w:pPr>
        <w:numPr>
          <w:ilvl w:val="1"/>
          <w:numId w:val="5"/>
        </w:numPr>
        <w:spacing w:after="120" w:line="360" w:lineRule="auto"/>
        <w:ind w:left="993" w:hanging="284"/>
        <w:jc w:val="both"/>
        <w:rPr>
          <w:rFonts w:ascii="Bookman Old Style" w:hAnsi="Bookman Old Style"/>
          <w:sz w:val="24"/>
          <w:szCs w:val="24"/>
        </w:rPr>
      </w:pPr>
      <w:r w:rsidRPr="00184560">
        <w:rPr>
          <w:rFonts w:ascii="Bookman Old Style" w:hAnsi="Bookman Old Style"/>
          <w:sz w:val="24"/>
          <w:szCs w:val="24"/>
        </w:rPr>
        <w:t>Servicios de suministro eléctrico: Subestaciones transformadoras y/o reductoras en las redes de distribución de energía eléctrica;</w:t>
      </w:r>
    </w:p>
    <w:p w:rsidR="004C17AE" w:rsidRPr="00184560" w:rsidRDefault="004C17AE" w:rsidP="00A44E48">
      <w:pPr>
        <w:numPr>
          <w:ilvl w:val="1"/>
          <w:numId w:val="5"/>
        </w:numPr>
        <w:spacing w:after="120" w:line="360" w:lineRule="auto"/>
        <w:ind w:left="993" w:hanging="284"/>
        <w:jc w:val="both"/>
        <w:rPr>
          <w:rFonts w:ascii="Bookman Old Style" w:hAnsi="Bookman Old Style"/>
          <w:sz w:val="24"/>
          <w:szCs w:val="24"/>
        </w:rPr>
      </w:pPr>
      <w:r w:rsidRPr="00184560">
        <w:rPr>
          <w:rFonts w:ascii="Bookman Old Style" w:hAnsi="Bookman Old Style"/>
          <w:sz w:val="24"/>
          <w:szCs w:val="24"/>
        </w:rPr>
        <w:t>Servicios de salubridad urbana: Subestaciones de almacenamiento, bombeo, tratamiento y disposición de líquidos en las redes de aguas corrientes, desagües cloacales y pluviales, incluyendo tanques, cisternas, cámaras e instalaciones similares;</w:t>
      </w:r>
    </w:p>
    <w:p w:rsidR="004C17AE" w:rsidRPr="00184560" w:rsidRDefault="004C17AE" w:rsidP="00A44E48">
      <w:pPr>
        <w:numPr>
          <w:ilvl w:val="1"/>
          <w:numId w:val="5"/>
        </w:numPr>
        <w:spacing w:after="120" w:line="360" w:lineRule="auto"/>
        <w:ind w:left="993" w:hanging="284"/>
        <w:jc w:val="both"/>
        <w:rPr>
          <w:rFonts w:ascii="Bookman Old Style" w:hAnsi="Bookman Old Style"/>
          <w:sz w:val="24"/>
          <w:szCs w:val="24"/>
        </w:rPr>
      </w:pPr>
      <w:r w:rsidRPr="00184560">
        <w:rPr>
          <w:rFonts w:ascii="Bookman Old Style" w:hAnsi="Bookman Old Style"/>
          <w:sz w:val="24"/>
          <w:szCs w:val="24"/>
        </w:rPr>
        <w:t>Servicios de suministro de gas: Subestaciones reductoras de presión en las redes de distribución de gas;</w:t>
      </w:r>
    </w:p>
    <w:p w:rsidR="004C17AE" w:rsidRPr="00184560" w:rsidRDefault="004C17AE" w:rsidP="00A44E48">
      <w:pPr>
        <w:numPr>
          <w:ilvl w:val="1"/>
          <w:numId w:val="5"/>
        </w:numPr>
        <w:spacing w:after="120" w:line="360" w:lineRule="auto"/>
        <w:ind w:left="993" w:hanging="284"/>
        <w:jc w:val="both"/>
        <w:rPr>
          <w:rFonts w:ascii="Bookman Old Style" w:hAnsi="Bookman Old Style"/>
          <w:b/>
          <w:sz w:val="24"/>
          <w:szCs w:val="24"/>
        </w:rPr>
      </w:pPr>
      <w:r w:rsidRPr="00184560">
        <w:rPr>
          <w:rFonts w:ascii="Bookman Old Style" w:hAnsi="Bookman Old Style"/>
          <w:sz w:val="24"/>
          <w:szCs w:val="24"/>
        </w:rPr>
        <w:t>Servicios telefónicos: Estaciones centrales o subcentrales y concentraciones de equipos en las redes de teléfonos urbanos.</w:t>
      </w:r>
    </w:p>
    <w:p w:rsidR="004C17AE" w:rsidRPr="00184560" w:rsidRDefault="004C17AE" w:rsidP="00A44E48">
      <w:pPr>
        <w:numPr>
          <w:ilvl w:val="1"/>
          <w:numId w:val="5"/>
        </w:numPr>
        <w:spacing w:after="120" w:line="360" w:lineRule="auto"/>
        <w:ind w:left="993" w:hanging="284"/>
        <w:jc w:val="both"/>
        <w:rPr>
          <w:rFonts w:ascii="Bookman Old Style" w:hAnsi="Bookman Old Style"/>
          <w:b/>
          <w:sz w:val="24"/>
          <w:szCs w:val="24"/>
        </w:rPr>
      </w:pPr>
      <w:r w:rsidRPr="00184560">
        <w:rPr>
          <w:rFonts w:ascii="Bookman Old Style" w:hAnsi="Bookman Old Style"/>
          <w:sz w:val="24"/>
          <w:szCs w:val="24"/>
        </w:rPr>
        <w:t>Servicios adicionales o complementarios en viviendas transitorias y/u hotelería: Todos aquellos servicios que el establecimiento propone al cliente para mejorar su experiencia de estadía.</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lastRenderedPageBreak/>
        <w:t>Unidad de Uso</w:t>
      </w:r>
      <w:r w:rsidRPr="00184560">
        <w:rPr>
          <w:rFonts w:ascii="Bookman Old Style" w:hAnsi="Bookman Old Style"/>
          <w:sz w:val="24"/>
          <w:szCs w:val="24"/>
        </w:rPr>
        <w:t xml:space="preserve">: Ámbito compuesto de uno o más locales o espacios descubiertos, que admite un uso funcionalmente independiente, por ejemplo: departamento, local de comercio, etc. </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Uso</w:t>
      </w:r>
      <w:r w:rsidRPr="00184560">
        <w:rPr>
          <w:rFonts w:ascii="Bookman Old Style" w:hAnsi="Bookman Old Style"/>
          <w:sz w:val="24"/>
          <w:szCs w:val="24"/>
        </w:rPr>
        <w:t xml:space="preserve">: El uso de un inmueble es la función o destino para el cual el terreno, edificio o estructura asentada en él, ha sido ocupado, construido, diseñado, utilizado o mantenido. </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Uso accesorio</w:t>
      </w:r>
      <w:r w:rsidRPr="00184560">
        <w:rPr>
          <w:rFonts w:ascii="Bookman Old Style" w:hAnsi="Bookman Old Style"/>
          <w:sz w:val="24"/>
          <w:szCs w:val="24"/>
        </w:rPr>
        <w:t>: El destinado a satisfacer, dentro de la misma unidad de uso, funciones accesorias del uso principal que no requieren autorización de la actividad económica anexa para su desarrollo.</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Uso complementario</w:t>
      </w:r>
      <w:r w:rsidRPr="00184560">
        <w:rPr>
          <w:rFonts w:ascii="Bookman Old Style" w:hAnsi="Bookman Old Style"/>
          <w:sz w:val="24"/>
          <w:szCs w:val="24"/>
        </w:rPr>
        <w:t>: El destinado a satisfacer, dentro de la misma parcela, funciones necesarias para el desarrollo del uso principal.</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Uso condicionado</w:t>
      </w:r>
      <w:r w:rsidRPr="00184560">
        <w:rPr>
          <w:rFonts w:ascii="Bookman Old Style" w:hAnsi="Bookman Old Style"/>
          <w:sz w:val="24"/>
          <w:szCs w:val="24"/>
        </w:rPr>
        <w:t>: El que está sujeto a requisitos de ubicación, de tamaño, potencia instalada, etc., según cada área.</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Uso no permitido</w:t>
      </w:r>
      <w:r w:rsidRPr="00184560">
        <w:rPr>
          <w:rFonts w:ascii="Bookman Old Style" w:hAnsi="Bookman Old Style"/>
          <w:sz w:val="24"/>
          <w:szCs w:val="24"/>
        </w:rPr>
        <w:t>: El que no cumple con la normativa vigente para implantarse en el área correspondiente.</w:t>
      </w:r>
    </w:p>
    <w:p w:rsidR="004C17AE" w:rsidRPr="00184560" w:rsidRDefault="004C17AE" w:rsidP="003C3A56">
      <w:pPr>
        <w:jc w:val="both"/>
        <w:rPr>
          <w:rFonts w:ascii="Bookman Old Style" w:hAnsi="Bookman Old Style"/>
          <w:sz w:val="24"/>
          <w:szCs w:val="24"/>
        </w:rPr>
      </w:pPr>
      <w:r w:rsidRPr="00184560">
        <w:rPr>
          <w:rFonts w:ascii="Bookman Old Style" w:hAnsi="Bookman Old Style"/>
          <w:b/>
          <w:sz w:val="24"/>
          <w:szCs w:val="24"/>
        </w:rPr>
        <w:t>Uso permitido</w:t>
      </w:r>
      <w:r w:rsidRPr="00184560">
        <w:rPr>
          <w:rFonts w:ascii="Bookman Old Style" w:hAnsi="Bookman Old Style"/>
          <w:sz w:val="24"/>
          <w:szCs w:val="24"/>
        </w:rPr>
        <w:t>: El que puede implantarse en un área según las prescripciones de estas normas.</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Uso productivo o industrial</w:t>
      </w:r>
      <w:r w:rsidRPr="00184560">
        <w:rPr>
          <w:rFonts w:ascii="Bookman Old Style" w:hAnsi="Bookman Old Style"/>
          <w:sz w:val="24"/>
          <w:szCs w:val="24"/>
        </w:rPr>
        <w:t xml:space="preserve">: Se considera uso productivo o industrial a toda elaboración, transformación física, química o biológica, </w:t>
      </w:r>
      <w:r w:rsidR="00EE527A" w:rsidRPr="00184560">
        <w:rPr>
          <w:rFonts w:ascii="Bookman Old Style" w:hAnsi="Bookman Old Style"/>
          <w:sz w:val="24"/>
          <w:szCs w:val="24"/>
        </w:rPr>
        <w:t>re manufactura</w:t>
      </w:r>
      <w:r w:rsidRPr="00184560">
        <w:rPr>
          <w:rFonts w:ascii="Bookman Old Style" w:hAnsi="Bookman Old Style"/>
          <w:sz w:val="24"/>
          <w:szCs w:val="24"/>
        </w:rPr>
        <w:t xml:space="preserve"> o destrucción de materias primas, tangibles o intangibles, para fabricar por cualquier medio, cualquier tipo de productos o bienes de capital, y su reparación.</w:t>
      </w:r>
    </w:p>
    <w:p w:rsidR="004C17AE" w:rsidRPr="00184560" w:rsidRDefault="004C17AE" w:rsidP="003C3A56">
      <w:pPr>
        <w:jc w:val="both"/>
        <w:rPr>
          <w:rFonts w:ascii="Bookman Old Style" w:hAnsi="Bookman Old Style"/>
          <w:b/>
          <w:sz w:val="24"/>
          <w:szCs w:val="24"/>
        </w:rPr>
      </w:pPr>
      <w:r w:rsidRPr="00184560">
        <w:rPr>
          <w:rFonts w:ascii="Bookman Old Style" w:hAnsi="Bookman Old Style"/>
          <w:b/>
          <w:sz w:val="24"/>
          <w:szCs w:val="24"/>
        </w:rPr>
        <w:t>Usos requeridos</w:t>
      </w:r>
      <w:r w:rsidRPr="00184560">
        <w:rPr>
          <w:rFonts w:ascii="Bookman Old Style" w:hAnsi="Bookman Old Style"/>
          <w:sz w:val="24"/>
          <w:szCs w:val="24"/>
        </w:rPr>
        <w:t>: Los que se consideran complemento necesario de los usos que se permiten implantar, para asegurar su funcionamiento, evitar molestias y garantizar la movilidad.</w:t>
      </w:r>
    </w:p>
    <w:p w:rsidR="004C17AE" w:rsidRPr="00184560" w:rsidRDefault="004C17AE" w:rsidP="004C17AE">
      <w:pPr>
        <w:rPr>
          <w:rFonts w:ascii="Bookman Old Style" w:hAnsi="Bookman Old Style"/>
          <w:b/>
          <w:sz w:val="24"/>
          <w:szCs w:val="24"/>
        </w:rPr>
      </w:pPr>
      <w:bookmarkStart w:id="2" w:name="_heading=h.3j2qqm3" w:colFirst="0" w:colLast="0"/>
      <w:bookmarkEnd w:id="2"/>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Tipos de uso</w:t>
      </w:r>
    </w:p>
    <w:p w:rsidR="004C17AE" w:rsidRPr="00184560" w:rsidRDefault="004C17AE" w:rsidP="004C17AE">
      <w:pPr>
        <w:rPr>
          <w:rFonts w:ascii="Bookman Old Style" w:hAnsi="Bookman Old Style"/>
          <w:sz w:val="24"/>
          <w:szCs w:val="24"/>
        </w:rPr>
      </w:pPr>
      <w:r w:rsidRPr="00184560">
        <w:rPr>
          <w:rFonts w:ascii="Bookman Old Style" w:hAnsi="Bookman Old Style"/>
          <w:sz w:val="24"/>
          <w:szCs w:val="24"/>
        </w:rPr>
        <w:t>Usos: los usos se clasifican de acuerdo con su actividad dominante en:</w:t>
      </w:r>
    </w:p>
    <w:p w:rsidR="004C17AE" w:rsidRPr="00184560" w:rsidRDefault="004C17AE" w:rsidP="00A44E48">
      <w:pPr>
        <w:numPr>
          <w:ilvl w:val="0"/>
          <w:numId w:val="6"/>
        </w:numPr>
        <w:spacing w:after="120" w:line="360" w:lineRule="auto"/>
        <w:ind w:left="709" w:hanging="283"/>
        <w:jc w:val="both"/>
        <w:rPr>
          <w:rFonts w:ascii="Bookman Old Style" w:hAnsi="Bookman Old Style"/>
          <w:b/>
          <w:sz w:val="24"/>
          <w:szCs w:val="24"/>
        </w:rPr>
      </w:pPr>
      <w:r w:rsidRPr="00184560">
        <w:rPr>
          <w:rFonts w:ascii="Bookman Old Style" w:hAnsi="Bookman Old Style"/>
          <w:b/>
          <w:sz w:val="24"/>
          <w:szCs w:val="24"/>
        </w:rPr>
        <w:t>Uso Residencial:</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 xml:space="preserve">Vivienda unifamiliar: uso habitacional destinado al alojamiento de una persona o grupo familiar en forma </w:t>
      </w:r>
      <w:r w:rsidRPr="00184560">
        <w:rPr>
          <w:rFonts w:ascii="Bookman Old Style" w:hAnsi="Bookman Old Style"/>
          <w:sz w:val="24"/>
          <w:szCs w:val="24"/>
        </w:rPr>
        <w:lastRenderedPageBreak/>
        <w:t>estable, en una unidad funcional de tipo residencial, es una unidad indivisible.</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Vivienda unifamiliar agrupada: Se considerará como vivienda unifamiliar agrupada a toda unidad de tipo residencial, dispuesta en horizontal y en conjunto de dos o más por parcela, con destino al alojamiento de personas o grupos familiares, que puedan o no compartir accesos, circulaciones y servicios de infraestructura</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Vivienda multifamiliar: destinado al alojamiento de personas o grupos familiares en forma estable, en dos o más unidades funcionales de tipo residencial regulados bajo el Régimen de Propiedad Horizontal. Comparten accesos, muros, losas, circulación interna de distribución y servicios de infraestructura, construidas en altura o en horizontal.</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Vivienda comunitaria: destinado al alojamiento de personas en forma estable con servicios e instalaciones comunes y régimen de relación interna comunitaria, como ser residencial para niños, jóvenes, madres, estudiantes y/o comunidades religiosas.</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Vivienda transitoria: uso destinado al alojamiento circunstancial de personas sin régimen común de relación interna en establecimientos de uso público. Dentro de este uso se encuentran:</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t>Hotel: establecimiento destinado al albergue de personas, incluye servicios complementarios conforme a los requisitos indicados para cada categoría, e habitaciones con baño privado, constituyendo sus servicios y dependencias un todo homogéneo.</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lastRenderedPageBreak/>
        <w:t>Apart-Hotel: Establecimiento que agrupa unidades de alojamiento integradas en uno o más edificios que se encuentren dentro de un mismo predio, sujeto a administración centralizada y que ofrece los servicios complementarios que se determinen para cada categoría. Cada unidad cuenta como mínimo con un baño privado, un área de dormitorio, estar / comedor debidamente amoblado, cocina con equipamiento que permita la elaboración y conservación de alimentos.</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t>Hotel Boutique:  Establecimientos de alojamiento definidos por la caracterización de un estilo único, que brinda alojamiento con servicios complementarios, que posee características especiales, peculiaridad en sus instalaciones o prestaciones de servicios, sean de nueva construcción o no, destacándose por el valor artístico del inmueble, su diseño, ambientación, o la especialización, a este efecto se debe tener en cuenta la unidad entre la arquitectura, la decoración, las actividades y / o servicios o cualquier otro factor similar que determine su diferenciación.</w:t>
      </w:r>
    </w:p>
    <w:p w:rsidR="004C17AE" w:rsidRPr="00184560" w:rsidRDefault="00EE527A" w:rsidP="00A44E48">
      <w:pPr>
        <w:numPr>
          <w:ilvl w:val="2"/>
          <w:numId w:val="6"/>
        </w:numPr>
        <w:spacing w:after="120" w:line="360" w:lineRule="auto"/>
        <w:ind w:left="2127" w:hanging="284"/>
        <w:jc w:val="both"/>
        <w:rPr>
          <w:rFonts w:ascii="Bookman Old Style" w:hAnsi="Bookman Old Style"/>
          <w:sz w:val="24"/>
          <w:szCs w:val="24"/>
        </w:rPr>
      </w:pPr>
      <w:r>
        <w:rPr>
          <w:rFonts w:ascii="Bookman Old Style" w:hAnsi="Bookman Old Style"/>
          <w:sz w:val="24"/>
          <w:szCs w:val="24"/>
        </w:rPr>
        <w:t>Albergue turístico</w:t>
      </w:r>
      <w:r w:rsidR="004C17AE" w:rsidRPr="00184560">
        <w:rPr>
          <w:rFonts w:ascii="Bookman Old Style" w:hAnsi="Bookman Old Style"/>
          <w:sz w:val="24"/>
          <w:szCs w:val="24"/>
        </w:rPr>
        <w:t>/Hostel Estándar y Superior: Establecimiento donde se brinda alojamiento en habitaciones compartidas pudiendo contar con habitaciones privadas, baños compartidos y /o privados, que cuenta con espacios comunes de estar, comedor y cocina equipada para que los huéspedes se preparen sus propios alimentos, facilitando así la integración sociocultural entre los alojados, sin perjuicio de contar con otros servicios complementarios.</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lastRenderedPageBreak/>
        <w:t>Hostal/</w:t>
      </w:r>
      <w:proofErr w:type="spellStart"/>
      <w:r w:rsidRPr="00184560">
        <w:rPr>
          <w:rFonts w:ascii="Bookman Old Style" w:hAnsi="Bookman Old Style"/>
          <w:sz w:val="24"/>
          <w:szCs w:val="24"/>
        </w:rPr>
        <w:t>Bed&amp;Breakfast</w:t>
      </w:r>
      <w:proofErr w:type="spellEnd"/>
      <w:r w:rsidRPr="00184560">
        <w:rPr>
          <w:rFonts w:ascii="Bookman Old Style" w:hAnsi="Bookman Old Style"/>
          <w:sz w:val="24"/>
          <w:szCs w:val="24"/>
        </w:rPr>
        <w:t>/Cama y Desayuno Estándar y Superior: Establecimiento en el que sus propietarios brindan un servicio personalizado de tipo artesanal de cama y desayuno.</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t>Hospedaje Turístico</w:t>
      </w:r>
      <w:r w:rsidR="00EE527A">
        <w:rPr>
          <w:rFonts w:ascii="Bookman Old Style" w:hAnsi="Bookman Old Style"/>
          <w:sz w:val="24"/>
          <w:szCs w:val="24"/>
        </w:rPr>
        <w:t xml:space="preserve"> </w:t>
      </w:r>
      <w:r w:rsidRPr="00184560">
        <w:rPr>
          <w:rFonts w:ascii="Bookman Old Style" w:hAnsi="Bookman Old Style"/>
          <w:sz w:val="24"/>
          <w:szCs w:val="24"/>
        </w:rPr>
        <w:t>/</w:t>
      </w:r>
      <w:r w:rsidR="00EE527A">
        <w:rPr>
          <w:rFonts w:ascii="Bookman Old Style" w:hAnsi="Bookman Old Style"/>
          <w:sz w:val="24"/>
          <w:szCs w:val="24"/>
        </w:rPr>
        <w:t xml:space="preserve"> </w:t>
      </w:r>
      <w:r w:rsidRPr="00184560">
        <w:rPr>
          <w:rFonts w:ascii="Bookman Old Style" w:hAnsi="Bookman Old Style"/>
          <w:sz w:val="24"/>
          <w:szCs w:val="24"/>
        </w:rPr>
        <w:t>Residencial Turístico: Establecimiento que presta servicios similares al hotel y que, por sus características, condiciones, instalaciones y servicios no puede ser considerado en la categoría mínima hotelera.</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t>Hospedaje o Alojamiento con turístico: Establecimiento habitacional destinado al alojamiento temporal de personas o grupos de personas con servicios e instalaciones comunes.</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t>Hotel familiar con o sin servicios de comidas: Establecimiento que cuenta con más de seis habitaciones reglamentarias, donde se brinda alojamiento a personas por lapsos no inferiores a veinticuatro (24) horas (trabajadores, núcleos familiares, etc.); constituidos básicamente por habitaciones amobladas, baños comunes diferenciados por sexo y, en algunos casos con espacio común (comedor), con o sin suministro de comidas o bebidas.</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t>Hotel Residencial: Establecimiento con más de cuatro (4) unidades de vivienda, destinadas para alojamiento, constituida cada una de ellas por la menos con una habitación amoblada, un cuarto de baño con inodoro, lavabo, ducha y bidet, y una cocina o espacio para cocinar.</w:t>
      </w:r>
    </w:p>
    <w:p w:rsidR="004C17AE" w:rsidRPr="00184560" w:rsidRDefault="00EE527A" w:rsidP="00A44E48">
      <w:pPr>
        <w:numPr>
          <w:ilvl w:val="2"/>
          <w:numId w:val="6"/>
        </w:numPr>
        <w:spacing w:after="120" w:line="360" w:lineRule="auto"/>
        <w:ind w:left="2127" w:hanging="284"/>
        <w:jc w:val="both"/>
        <w:rPr>
          <w:rFonts w:ascii="Bookman Old Style" w:hAnsi="Bookman Old Style"/>
          <w:sz w:val="24"/>
          <w:szCs w:val="24"/>
        </w:rPr>
      </w:pPr>
      <w:r>
        <w:rPr>
          <w:rFonts w:ascii="Bookman Old Style" w:hAnsi="Bookman Old Style"/>
          <w:sz w:val="24"/>
          <w:szCs w:val="24"/>
        </w:rPr>
        <w:lastRenderedPageBreak/>
        <w:t>Motel/</w:t>
      </w:r>
      <w:r w:rsidR="004C17AE" w:rsidRPr="00184560">
        <w:rPr>
          <w:rFonts w:ascii="Bookman Old Style" w:hAnsi="Bookman Old Style"/>
          <w:sz w:val="24"/>
          <w:szCs w:val="24"/>
        </w:rPr>
        <w:t>Hotel por hora: establecimiento destinado al albergue de personas en tránsito por lapsos inferiores a veinticuatro horas (24hs.).</w:t>
      </w:r>
    </w:p>
    <w:p w:rsidR="004C17AE" w:rsidRPr="00184560" w:rsidRDefault="004C17AE" w:rsidP="00A44E48">
      <w:pPr>
        <w:numPr>
          <w:ilvl w:val="2"/>
          <w:numId w:val="6"/>
        </w:numPr>
        <w:spacing w:after="120" w:line="360" w:lineRule="auto"/>
        <w:ind w:left="2127" w:hanging="284"/>
        <w:jc w:val="both"/>
        <w:rPr>
          <w:rFonts w:ascii="Bookman Old Style" w:hAnsi="Bookman Old Style"/>
          <w:sz w:val="24"/>
          <w:szCs w:val="24"/>
        </w:rPr>
      </w:pPr>
      <w:r w:rsidRPr="00184560">
        <w:rPr>
          <w:rFonts w:ascii="Bookman Old Style" w:hAnsi="Bookman Old Style"/>
          <w:sz w:val="24"/>
          <w:szCs w:val="24"/>
        </w:rPr>
        <w:t>Casa pensión: Establecimiento cuyas características de funcionamiento son similares a las de los hoteles y siempre que la cantidad total de habitaciones destinada a alojamiento no exceda de seis ni sea menor de dos y, que cuando se presten los servicios de comidas y bebidas, sean exclusivamente para los huéspedes, tanto en comedores como en las habitaciones.</w:t>
      </w:r>
    </w:p>
    <w:p w:rsidR="004C17AE" w:rsidRPr="00184560" w:rsidRDefault="00EE527A" w:rsidP="00A44E48">
      <w:pPr>
        <w:numPr>
          <w:ilvl w:val="2"/>
          <w:numId w:val="6"/>
        </w:numPr>
        <w:spacing w:after="120" w:line="360" w:lineRule="auto"/>
        <w:ind w:left="2127" w:hanging="284"/>
        <w:jc w:val="both"/>
        <w:rPr>
          <w:rFonts w:ascii="Bookman Old Style" w:hAnsi="Bookman Old Style"/>
          <w:sz w:val="24"/>
          <w:szCs w:val="24"/>
        </w:rPr>
      </w:pPr>
      <w:r>
        <w:rPr>
          <w:rFonts w:ascii="Bookman Old Style" w:hAnsi="Bookman Old Style"/>
          <w:sz w:val="24"/>
          <w:szCs w:val="24"/>
        </w:rPr>
        <w:t>Campamento Turístico</w:t>
      </w:r>
      <w:r w:rsidR="004C17AE" w:rsidRPr="00184560">
        <w:rPr>
          <w:rFonts w:ascii="Bookman Old Style" w:hAnsi="Bookman Old Style"/>
          <w:sz w:val="24"/>
          <w:szCs w:val="24"/>
        </w:rPr>
        <w:t>/Camping: Establecimiento que en terreno debidamente delimitado, ofrece al turista, sitio para pernoctar al aire libre, bajo carpa, en remolque habitable o en cualquier elemento similar fácilmente transportable y que preste, además, los servicios de agua potable, provisión de energía eléctrica, sanitarias y recepción. Dichos campamentos pueden ser:</w:t>
      </w:r>
    </w:p>
    <w:p w:rsidR="004C17AE" w:rsidRPr="00184560" w:rsidRDefault="004C17AE" w:rsidP="00A44E48">
      <w:pPr>
        <w:numPr>
          <w:ilvl w:val="3"/>
          <w:numId w:val="6"/>
        </w:numPr>
        <w:spacing w:after="120" w:line="360" w:lineRule="auto"/>
        <w:ind w:left="2694" w:hanging="284"/>
        <w:jc w:val="both"/>
        <w:rPr>
          <w:rFonts w:ascii="Bookman Old Style" w:hAnsi="Bookman Old Style"/>
          <w:sz w:val="24"/>
          <w:szCs w:val="24"/>
        </w:rPr>
      </w:pPr>
      <w:r w:rsidRPr="00184560">
        <w:rPr>
          <w:rFonts w:ascii="Bookman Old Style" w:hAnsi="Bookman Old Style"/>
          <w:sz w:val="24"/>
          <w:szCs w:val="24"/>
        </w:rPr>
        <w:t>Campamentos Públicos: aquellos que pueden ser utilizados por cualquier persona mediante el pago de un precio.</w:t>
      </w:r>
    </w:p>
    <w:p w:rsidR="004C17AE" w:rsidRPr="00184560" w:rsidRDefault="004C17AE" w:rsidP="00A44E48">
      <w:pPr>
        <w:numPr>
          <w:ilvl w:val="3"/>
          <w:numId w:val="6"/>
        </w:numPr>
        <w:spacing w:after="120" w:line="360" w:lineRule="auto"/>
        <w:ind w:left="2694" w:hanging="284"/>
        <w:jc w:val="both"/>
        <w:rPr>
          <w:rFonts w:ascii="Bookman Old Style" w:hAnsi="Bookman Old Style"/>
          <w:sz w:val="24"/>
          <w:szCs w:val="24"/>
        </w:rPr>
      </w:pPr>
      <w:r w:rsidRPr="00184560">
        <w:rPr>
          <w:rFonts w:ascii="Bookman Old Style" w:hAnsi="Bookman Old Style"/>
          <w:sz w:val="24"/>
          <w:szCs w:val="24"/>
        </w:rPr>
        <w:t xml:space="preserve">Campamentos Privados: aquellos instalados o explotados por entidades privadas para uso exclusivo de sus miembros o asociados. (Los campamentos privados que sean utilizados además por personas que no sean sus miembros o socios de la entidad propietaria exclusivamente, serán considerados como </w:t>
      </w:r>
      <w:r w:rsidRPr="00184560">
        <w:rPr>
          <w:rFonts w:ascii="Bookman Old Style" w:hAnsi="Bookman Old Style"/>
          <w:sz w:val="24"/>
          <w:szCs w:val="24"/>
        </w:rPr>
        <w:lastRenderedPageBreak/>
        <w:t>Campamentos Públicos a los efectos de la presente Ordenanza.</w:t>
      </w:r>
    </w:p>
    <w:p w:rsidR="004C17AE" w:rsidRPr="00184560" w:rsidRDefault="004C17AE" w:rsidP="00A44E48">
      <w:pPr>
        <w:numPr>
          <w:ilvl w:val="0"/>
          <w:numId w:val="6"/>
        </w:numPr>
        <w:spacing w:after="120" w:line="360" w:lineRule="auto"/>
        <w:ind w:left="709" w:hanging="283"/>
        <w:jc w:val="both"/>
        <w:rPr>
          <w:rFonts w:ascii="Bookman Old Style" w:hAnsi="Bookman Old Style"/>
          <w:sz w:val="24"/>
          <w:szCs w:val="24"/>
        </w:rPr>
      </w:pPr>
      <w:r w:rsidRPr="00184560">
        <w:rPr>
          <w:rFonts w:ascii="Bookman Old Style" w:hAnsi="Bookman Old Style"/>
          <w:b/>
          <w:sz w:val="24"/>
          <w:szCs w:val="24"/>
        </w:rPr>
        <w:t>Uso Comercial</w:t>
      </w:r>
      <w:r w:rsidRPr="00184560">
        <w:rPr>
          <w:rFonts w:ascii="Bookman Old Style" w:hAnsi="Bookman Old Style"/>
          <w:sz w:val="24"/>
          <w:szCs w:val="24"/>
        </w:rPr>
        <w:t>: comprende actividades de intercambio, exposición, venta y/o reventa con destino a cualquier otro sector de actividad, sin que medie transformación de materias primas, productos intermedios o productos finales.</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Comercio minorista: comprende establecimientos destinados a la exposición y reventa de productos a pequeña escala dispuestos en un mismo local.</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Comercio mayorista: establecimientos comerciales destinados a la exposición y venta al por mayor con depósitos y/o distribución de productos dispuestos en un mismo o diferentes locales.</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Comercio productos “incómodos y/o peligrosos”: presentan riesgos de contaminación, molestias y/o peligro. Comprenden establecimientos destinados a la exposición, venta y/o reventa de productos y objetos, incluyendo aquellos con playas de acopio al aire libre, cuando por sus características y/o magnitud puedan resultar incompatibles con otros usos. Incluyen la comercialización de productos combustibles, inflamables, explosivos y/o tóxicos.</w:t>
      </w:r>
    </w:p>
    <w:p w:rsidR="004C17AE" w:rsidRPr="00184560" w:rsidRDefault="004C17AE" w:rsidP="00A44E48">
      <w:pPr>
        <w:numPr>
          <w:ilvl w:val="0"/>
          <w:numId w:val="6"/>
        </w:numPr>
        <w:spacing w:after="120" w:line="360" w:lineRule="auto"/>
        <w:ind w:left="709" w:hanging="283"/>
        <w:jc w:val="both"/>
        <w:rPr>
          <w:rFonts w:ascii="Bookman Old Style" w:hAnsi="Bookman Old Style"/>
          <w:b/>
          <w:sz w:val="24"/>
          <w:szCs w:val="24"/>
        </w:rPr>
      </w:pPr>
      <w:r w:rsidRPr="00184560">
        <w:rPr>
          <w:rFonts w:ascii="Bookman Old Style" w:hAnsi="Bookman Old Style"/>
          <w:b/>
          <w:sz w:val="24"/>
          <w:szCs w:val="24"/>
        </w:rPr>
        <w:t>Uso Equipamiento Urbano:</w:t>
      </w:r>
    </w:p>
    <w:p w:rsidR="004C17AE" w:rsidRPr="00184560" w:rsidRDefault="00EE527A" w:rsidP="00A44E48">
      <w:pPr>
        <w:numPr>
          <w:ilvl w:val="1"/>
          <w:numId w:val="6"/>
        </w:numPr>
        <w:spacing w:after="120" w:line="360" w:lineRule="auto"/>
        <w:ind w:left="1276" w:hanging="283"/>
        <w:jc w:val="both"/>
        <w:rPr>
          <w:rFonts w:ascii="Bookman Old Style" w:hAnsi="Bookman Old Style"/>
          <w:sz w:val="24"/>
          <w:szCs w:val="24"/>
        </w:rPr>
      </w:pPr>
      <w:r>
        <w:rPr>
          <w:rFonts w:ascii="Bookman Old Style" w:hAnsi="Bookman Old Style"/>
          <w:sz w:val="24"/>
          <w:szCs w:val="24"/>
        </w:rPr>
        <w:t>Enseñanza</w:t>
      </w:r>
      <w:r w:rsidR="004C17AE" w:rsidRPr="00184560">
        <w:rPr>
          <w:rFonts w:ascii="Bookman Old Style" w:hAnsi="Bookman Old Style"/>
          <w:sz w:val="24"/>
          <w:szCs w:val="24"/>
        </w:rPr>
        <w:t>/Educación: comprende al conjunto de actividades destinadas a satisfacer las necesidades sociales y culturales en sus distintas formas, la atención social y la vida de relación. Dentro de este uso podemos encontrar:</w:t>
      </w:r>
    </w:p>
    <w:p w:rsidR="004C17AE" w:rsidRPr="00184560" w:rsidRDefault="004C17AE" w:rsidP="00A44E48">
      <w:pPr>
        <w:numPr>
          <w:ilvl w:val="2"/>
          <w:numId w:val="6"/>
        </w:numPr>
        <w:spacing w:after="120" w:line="360" w:lineRule="auto"/>
        <w:ind w:left="2268" w:hanging="141"/>
        <w:jc w:val="both"/>
        <w:rPr>
          <w:rFonts w:ascii="Bookman Old Style" w:hAnsi="Bookman Old Style"/>
          <w:sz w:val="24"/>
          <w:szCs w:val="24"/>
        </w:rPr>
      </w:pPr>
      <w:r w:rsidRPr="00184560">
        <w:rPr>
          <w:rFonts w:ascii="Bookman Old Style" w:hAnsi="Bookman Old Style"/>
          <w:sz w:val="24"/>
          <w:szCs w:val="24"/>
        </w:rPr>
        <w:t>Enseñanza e investigación:</w:t>
      </w:r>
    </w:p>
    <w:p w:rsidR="004C17AE" w:rsidRPr="00184560" w:rsidRDefault="004C17AE" w:rsidP="00A44E48">
      <w:pPr>
        <w:numPr>
          <w:ilvl w:val="3"/>
          <w:numId w:val="6"/>
        </w:numPr>
        <w:spacing w:after="120" w:line="360" w:lineRule="auto"/>
        <w:ind w:left="2694" w:hanging="284"/>
        <w:jc w:val="both"/>
        <w:rPr>
          <w:rFonts w:ascii="Bookman Old Style" w:hAnsi="Bookman Old Style"/>
          <w:sz w:val="24"/>
          <w:szCs w:val="24"/>
        </w:rPr>
      </w:pPr>
      <w:r w:rsidRPr="00184560">
        <w:rPr>
          <w:rFonts w:ascii="Bookman Old Style" w:hAnsi="Bookman Old Style"/>
          <w:sz w:val="24"/>
          <w:szCs w:val="24"/>
        </w:rPr>
        <w:t>Educación inicial</w:t>
      </w:r>
    </w:p>
    <w:p w:rsidR="004C17AE" w:rsidRPr="00184560" w:rsidRDefault="004C17AE" w:rsidP="00A44E48">
      <w:pPr>
        <w:numPr>
          <w:ilvl w:val="3"/>
          <w:numId w:val="6"/>
        </w:numPr>
        <w:spacing w:after="120" w:line="360" w:lineRule="auto"/>
        <w:ind w:left="2694" w:hanging="284"/>
        <w:jc w:val="both"/>
        <w:rPr>
          <w:rFonts w:ascii="Bookman Old Style" w:hAnsi="Bookman Old Style"/>
          <w:sz w:val="24"/>
          <w:szCs w:val="24"/>
        </w:rPr>
      </w:pPr>
      <w:r w:rsidRPr="00184560">
        <w:rPr>
          <w:rFonts w:ascii="Bookman Old Style" w:hAnsi="Bookman Old Style"/>
          <w:sz w:val="24"/>
          <w:szCs w:val="24"/>
        </w:rPr>
        <w:t>Educación básica</w:t>
      </w:r>
    </w:p>
    <w:p w:rsidR="004C17AE" w:rsidRPr="00184560" w:rsidRDefault="004C17AE" w:rsidP="00A44E48">
      <w:pPr>
        <w:numPr>
          <w:ilvl w:val="3"/>
          <w:numId w:val="6"/>
        </w:numPr>
        <w:spacing w:after="120" w:line="360" w:lineRule="auto"/>
        <w:ind w:left="2694" w:hanging="284"/>
        <w:jc w:val="both"/>
        <w:rPr>
          <w:rFonts w:ascii="Bookman Old Style" w:hAnsi="Bookman Old Style"/>
          <w:sz w:val="24"/>
          <w:szCs w:val="24"/>
        </w:rPr>
      </w:pPr>
      <w:r w:rsidRPr="00184560">
        <w:rPr>
          <w:rFonts w:ascii="Bookman Old Style" w:hAnsi="Bookman Old Style"/>
          <w:sz w:val="24"/>
          <w:szCs w:val="24"/>
        </w:rPr>
        <w:lastRenderedPageBreak/>
        <w:t>Educación complementaria</w:t>
      </w:r>
    </w:p>
    <w:p w:rsidR="004C17AE" w:rsidRPr="00184560" w:rsidRDefault="004C17AE" w:rsidP="00A44E48">
      <w:pPr>
        <w:numPr>
          <w:ilvl w:val="3"/>
          <w:numId w:val="6"/>
        </w:numPr>
        <w:spacing w:after="120" w:line="360" w:lineRule="auto"/>
        <w:ind w:left="2694" w:hanging="284"/>
        <w:jc w:val="both"/>
        <w:rPr>
          <w:rFonts w:ascii="Bookman Old Style" w:hAnsi="Bookman Old Style"/>
          <w:sz w:val="24"/>
          <w:szCs w:val="24"/>
        </w:rPr>
      </w:pPr>
      <w:r w:rsidRPr="00184560">
        <w:rPr>
          <w:rFonts w:ascii="Bookman Old Style" w:hAnsi="Bookman Old Style"/>
          <w:sz w:val="24"/>
          <w:szCs w:val="24"/>
        </w:rPr>
        <w:t>Educación secundaria básica</w:t>
      </w:r>
    </w:p>
    <w:p w:rsidR="004C17AE" w:rsidRPr="00184560" w:rsidRDefault="004C17AE" w:rsidP="00A44E48">
      <w:pPr>
        <w:numPr>
          <w:ilvl w:val="3"/>
          <w:numId w:val="6"/>
        </w:numPr>
        <w:spacing w:after="120" w:line="360" w:lineRule="auto"/>
        <w:ind w:left="2694" w:hanging="284"/>
        <w:jc w:val="both"/>
        <w:rPr>
          <w:rFonts w:ascii="Bookman Old Style" w:hAnsi="Bookman Old Style"/>
          <w:sz w:val="24"/>
          <w:szCs w:val="24"/>
        </w:rPr>
      </w:pPr>
      <w:r w:rsidRPr="00184560">
        <w:rPr>
          <w:rFonts w:ascii="Bookman Old Style" w:hAnsi="Bookman Old Style"/>
          <w:sz w:val="24"/>
          <w:szCs w:val="24"/>
        </w:rPr>
        <w:t>Academias e Institutos especializados: (oficios, idiomas, artísticas).</w:t>
      </w:r>
    </w:p>
    <w:p w:rsidR="004C17AE" w:rsidRPr="00184560" w:rsidRDefault="004C17AE" w:rsidP="00A44E48">
      <w:pPr>
        <w:numPr>
          <w:ilvl w:val="2"/>
          <w:numId w:val="6"/>
        </w:numPr>
        <w:spacing w:after="120" w:line="360" w:lineRule="auto"/>
        <w:ind w:left="2268" w:hanging="141"/>
        <w:jc w:val="both"/>
        <w:rPr>
          <w:rFonts w:ascii="Bookman Old Style" w:hAnsi="Bookman Old Style"/>
          <w:sz w:val="24"/>
          <w:szCs w:val="24"/>
        </w:rPr>
      </w:pPr>
      <w:r w:rsidRPr="00184560">
        <w:rPr>
          <w:rFonts w:ascii="Bookman Old Style" w:hAnsi="Bookman Old Style"/>
          <w:sz w:val="24"/>
          <w:szCs w:val="24"/>
        </w:rPr>
        <w:t>Educación e investigación superior</w:t>
      </w:r>
    </w:p>
    <w:p w:rsidR="004C17AE" w:rsidRPr="00184560" w:rsidRDefault="004C17AE" w:rsidP="00A44E48">
      <w:pPr>
        <w:numPr>
          <w:ilvl w:val="1"/>
          <w:numId w:val="6"/>
        </w:numPr>
        <w:spacing w:after="120" w:line="360" w:lineRule="auto"/>
        <w:ind w:left="1276" w:hanging="331"/>
        <w:jc w:val="both"/>
        <w:rPr>
          <w:rFonts w:ascii="Bookman Old Style" w:hAnsi="Bookman Old Style"/>
          <w:sz w:val="24"/>
          <w:szCs w:val="24"/>
        </w:rPr>
      </w:pPr>
      <w:r w:rsidRPr="00184560">
        <w:rPr>
          <w:rFonts w:ascii="Bookman Old Style" w:hAnsi="Bookman Old Style"/>
          <w:sz w:val="24"/>
          <w:szCs w:val="24"/>
        </w:rPr>
        <w:t>Sanitario: destinado a la prestación de servicios médicos y/o quirúrgicos, con o sin alojamiento de personas. Incluye hogares de día y geriátricos, así como establecimientos sin internación, como salas de auxilio, consultorios, laboratorios, centros de diagnóstico y tratamiento, centros de salud mental y atención psiquiátrica. Además, se incluyen establecimientos destinados a la atención de animales. estos pueden ser de: Pequeña, Mediana, Gran escala o Equipos móviles</w:t>
      </w:r>
    </w:p>
    <w:p w:rsidR="004C17AE" w:rsidRPr="00184560" w:rsidRDefault="00EE527A" w:rsidP="00A44E48">
      <w:pPr>
        <w:numPr>
          <w:ilvl w:val="1"/>
          <w:numId w:val="6"/>
        </w:numPr>
        <w:spacing w:after="120" w:line="360" w:lineRule="auto"/>
        <w:ind w:left="1276" w:hanging="331"/>
        <w:jc w:val="both"/>
        <w:rPr>
          <w:rFonts w:ascii="Bookman Old Style" w:hAnsi="Bookman Old Style"/>
          <w:sz w:val="24"/>
          <w:szCs w:val="24"/>
        </w:rPr>
      </w:pPr>
      <w:r>
        <w:rPr>
          <w:rFonts w:ascii="Bookman Old Style" w:hAnsi="Bookman Old Style"/>
          <w:sz w:val="24"/>
          <w:szCs w:val="24"/>
        </w:rPr>
        <w:t>Social</w:t>
      </w:r>
      <w:r w:rsidR="004C17AE" w:rsidRPr="00184560">
        <w:rPr>
          <w:rFonts w:ascii="Bookman Old Style" w:hAnsi="Bookman Old Style"/>
          <w:sz w:val="24"/>
          <w:szCs w:val="24"/>
        </w:rPr>
        <w:t>/</w:t>
      </w:r>
      <w:r>
        <w:rPr>
          <w:rFonts w:ascii="Bookman Old Style" w:hAnsi="Bookman Old Style"/>
          <w:sz w:val="24"/>
          <w:szCs w:val="24"/>
        </w:rPr>
        <w:t>D</w:t>
      </w:r>
      <w:r w:rsidR="004C17AE" w:rsidRPr="00184560">
        <w:rPr>
          <w:rFonts w:ascii="Bookman Old Style" w:hAnsi="Bookman Old Style"/>
          <w:sz w:val="24"/>
          <w:szCs w:val="24"/>
        </w:rPr>
        <w:t>eportivo: destinados a actividades culturales y de relación, como a la práctica, enseñanza o exhibición de deportes o ejercicios de cultura física, con o sin espectadores. Se incluyen Clubes sociales y/o deportivos, sociedades de fomento, agrupaciones tradicionalistas y otras organizaciones intermedias, así como asociaciones y centros recreativos de entidades públicas y privadas, gimnasios, piscinas y canchas de tenis, paddle, básquet, vóley.</w:t>
      </w:r>
    </w:p>
    <w:p w:rsidR="004C17AE" w:rsidRPr="00184560" w:rsidRDefault="004C17AE" w:rsidP="00A44E48">
      <w:pPr>
        <w:numPr>
          <w:ilvl w:val="1"/>
          <w:numId w:val="6"/>
        </w:numPr>
        <w:spacing w:after="120" w:line="360" w:lineRule="auto"/>
        <w:ind w:left="1276" w:hanging="331"/>
        <w:jc w:val="both"/>
        <w:rPr>
          <w:rFonts w:ascii="Bookman Old Style" w:hAnsi="Bookman Old Style"/>
          <w:sz w:val="24"/>
          <w:szCs w:val="24"/>
        </w:rPr>
      </w:pPr>
      <w:r w:rsidRPr="00184560">
        <w:rPr>
          <w:rFonts w:ascii="Bookman Old Style" w:hAnsi="Bookman Old Style"/>
          <w:sz w:val="24"/>
          <w:szCs w:val="24"/>
        </w:rPr>
        <w:t>Cultural: uso destinado a la producción, conservación y difusión de bienes culturales, así como a la transmisión de comunicaciones en presencia de espectadores. Este uso incluye: Museos, Bibliotecas, Archivos, Salas de Exposiciones, Centros Culturales y Recreativos. Pueden ser de pequeña, mediana o gran escala.</w:t>
      </w:r>
    </w:p>
    <w:p w:rsidR="004C17AE" w:rsidRPr="00184560" w:rsidRDefault="004C17AE" w:rsidP="00A44E48">
      <w:pPr>
        <w:numPr>
          <w:ilvl w:val="1"/>
          <w:numId w:val="6"/>
        </w:numPr>
        <w:spacing w:after="120" w:line="360" w:lineRule="auto"/>
        <w:ind w:left="1276" w:hanging="331"/>
        <w:jc w:val="both"/>
        <w:rPr>
          <w:rFonts w:ascii="Bookman Old Style" w:hAnsi="Bookman Old Style"/>
          <w:sz w:val="24"/>
          <w:szCs w:val="24"/>
        </w:rPr>
      </w:pPr>
      <w:r w:rsidRPr="00184560">
        <w:rPr>
          <w:rFonts w:ascii="Bookman Old Style" w:hAnsi="Bookman Old Style"/>
          <w:sz w:val="24"/>
          <w:szCs w:val="24"/>
        </w:rPr>
        <w:lastRenderedPageBreak/>
        <w:t>Religioso: uso destinado a prácticas comunitarias de cultos religiosos y a las actividades directamente relacionadas. Incluyen Templos, Capillas, Sedes religiosas, así como Seminarios, Conventos y Monasterios.</w:t>
      </w:r>
    </w:p>
    <w:p w:rsidR="004C17AE" w:rsidRPr="00184560" w:rsidRDefault="004C17AE" w:rsidP="00A44E48">
      <w:pPr>
        <w:numPr>
          <w:ilvl w:val="0"/>
          <w:numId w:val="6"/>
        </w:numPr>
        <w:spacing w:after="120" w:line="360" w:lineRule="auto"/>
        <w:ind w:left="709" w:hanging="320"/>
        <w:jc w:val="both"/>
        <w:rPr>
          <w:rFonts w:ascii="Bookman Old Style" w:hAnsi="Bookman Old Style"/>
          <w:b/>
          <w:sz w:val="24"/>
          <w:szCs w:val="24"/>
        </w:rPr>
      </w:pPr>
      <w:r w:rsidRPr="00184560">
        <w:rPr>
          <w:rFonts w:ascii="Bookman Old Style" w:hAnsi="Bookman Old Style"/>
          <w:b/>
          <w:sz w:val="24"/>
          <w:szCs w:val="24"/>
        </w:rPr>
        <w:t>Uso Servicios</w:t>
      </w:r>
      <w:r w:rsidRPr="00184560">
        <w:rPr>
          <w:rFonts w:ascii="Bookman Old Style" w:hAnsi="Bookman Old Style"/>
          <w:sz w:val="24"/>
          <w:szCs w:val="24"/>
        </w:rPr>
        <w:t>: comprende actividades destinadas a servicios con prestación directa o a través de intermediarios incluyendo los servicios públicos y los privados en sus distintas escalas.</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Básicos y generales: destinados a la prestación de servicios básicos y complementarios del uso habitacional, así como servicios de carácter general. Incluyen servicios como: reparaciones en general, tintorerías y lavaderos de ropa, cerrajerías, estafeta postal, peluquerías, farmacias, así como también oficinas en general, agencias de viajes y turismo, inmobiliarias, alquiler de vehículos, etc.</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Centrales: uso de servicios que comprenden sedes de administraciones, organismos y/o entidades públicas o privadas con funciones de centralidad urbana o destinadas a la prestación de servicios bancarios o financieros, así como sedes y delegaciones de administración pública en sus diferentes niveles, consejos profesionales, sedes gremiales, etc.</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Recreativo: uso de servicios destinados a actividades de ocio, relación social y actividades asociadas. Incluye bares, confiterías, restaurantes, bares con manifestaciones artísticas, salones y casa de fiestas, salas de juegos, salas de juegos electrónicos, bingos, confiterías bailables, discotecas. Se pueden clasificar además conforme a su escala.</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Fúnebres: uso destinado al funcionamiento de servicios funerarios, casas velatorias, cementerios y actividades relacionadas.</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lastRenderedPageBreak/>
        <w:t>Seguridad: actividades propias de la defensa y seguridad del Estado y de la protección a ciudadanos y bienes. Dentro de esta categoría se encuentran: Comisarías, destacamentos y otras dependencias policiales, cuarteles de bomberos o defensa civil.</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Servicios del Automotor: uso de servicios destinados al mantenimiento, reparación y atención del parque automotor público y privado. incluye: talleres mecánicos, lavaderos de vehículos, playas de estacionamiento, estación de servicio.</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Transporte y comunicación: servicios destinados a actividades cuyo fin principal es el transporte de personas u objetos. Incluyen agencias de remises, agencias de radio- llamado, receptorías de llamadas, agencias de taxis, agencias de mudanzas, empresas de transporte.</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Depósitos: servicios destinados a actividades cuyo fin principal es el almacenamiento de artículos y productos, se clasifican conforme a la escala del establecimiento, destino del almacenaje y grado de riesgo o molestia.</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Servicios Industriales: servicios destinados a albergar actividades complementarias de los usos productivos industrial o agrario u otros. Incluye: laboratorios de análisis industriales y ambientales, lavado</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 xml:space="preserve">Infraestructuras: servicios destinados a los sistemas de producción, almacenamiento y distribución de agua y energía, de comunicación y de evacuación de residuos que constituyan la infraestructura de las áreas urbanas, complementarias y rurales. Incluye antenas, estaciones y centrales transmisoras de telefonía, televisión y radio, plantas distribuidoras y/o de almacenamiento (energía, agua, gas), plantas depuradoras de líquidos cloacales, planta </w:t>
      </w:r>
      <w:r w:rsidRPr="00184560">
        <w:rPr>
          <w:rFonts w:ascii="Bookman Old Style" w:hAnsi="Bookman Old Style"/>
          <w:sz w:val="24"/>
          <w:szCs w:val="24"/>
        </w:rPr>
        <w:lastRenderedPageBreak/>
        <w:t>de almacenamiento y tratamiento y/o depósito de residuos sólidos urbanos. No incluye plantas de tratamiento de residuos y/o efluentes peligrosos.</w:t>
      </w:r>
    </w:p>
    <w:p w:rsidR="004C17AE" w:rsidRPr="00184560" w:rsidRDefault="004C17AE" w:rsidP="00A44E48">
      <w:pPr>
        <w:numPr>
          <w:ilvl w:val="1"/>
          <w:numId w:val="6"/>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Servicios de ruta: vinculados a servicios del automotor o paradores con actividades</w:t>
      </w:r>
      <w:r w:rsidRPr="00184560">
        <w:rPr>
          <w:rFonts w:ascii="Bookman Old Style" w:hAnsi="Bookman Old Style"/>
          <w:sz w:val="24"/>
          <w:szCs w:val="24"/>
        </w:rPr>
        <w:tab/>
        <w:t>gastronómicas complementarias a localizarse sobre parcelas frentistas a rutas.</w:t>
      </w:r>
    </w:p>
    <w:p w:rsidR="004C17AE" w:rsidRPr="00184560" w:rsidRDefault="004C17AE" w:rsidP="00A44E48">
      <w:pPr>
        <w:numPr>
          <w:ilvl w:val="0"/>
          <w:numId w:val="6"/>
        </w:numPr>
        <w:spacing w:after="120" w:line="360" w:lineRule="auto"/>
        <w:ind w:left="709" w:hanging="283"/>
        <w:jc w:val="both"/>
        <w:rPr>
          <w:rFonts w:ascii="Bookman Old Style" w:hAnsi="Bookman Old Style"/>
          <w:sz w:val="24"/>
          <w:szCs w:val="24"/>
        </w:rPr>
      </w:pPr>
      <w:r w:rsidRPr="00184560">
        <w:rPr>
          <w:rFonts w:ascii="Bookman Old Style" w:hAnsi="Bookman Old Style"/>
          <w:b/>
          <w:sz w:val="24"/>
          <w:szCs w:val="24"/>
        </w:rPr>
        <w:t>Uso Productivo</w:t>
      </w:r>
      <w:r w:rsidRPr="00184560">
        <w:rPr>
          <w:rFonts w:ascii="Bookman Old Style" w:hAnsi="Bookman Old Style"/>
          <w:sz w:val="24"/>
          <w:szCs w:val="24"/>
        </w:rPr>
        <w:t>: comprende los usos destinados a la producción u obtención de materias primas y a la producción de bienes. equipos y servicios industriales.</w:t>
      </w:r>
    </w:p>
    <w:p w:rsidR="004C17AE" w:rsidRPr="00184560" w:rsidRDefault="004C17AE" w:rsidP="00A44E48">
      <w:pPr>
        <w:numPr>
          <w:ilvl w:val="0"/>
          <w:numId w:val="7"/>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Industrial: uso destinado a la elaboración y/o transformación de materias primas y bienes, pueden tener actividades complementarias de almacenamiento de productos. Quedan exceptuados de este rubro todo establecimiento de escala barrial y todo aquel cuyo producto sea para venta directa al público en el mismo establecimiento.</w:t>
      </w:r>
    </w:p>
    <w:p w:rsidR="004C17AE" w:rsidRPr="00184560" w:rsidRDefault="004C17AE" w:rsidP="00A44E48">
      <w:pPr>
        <w:numPr>
          <w:ilvl w:val="0"/>
          <w:numId w:val="7"/>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Agropecuario: uso destinado a actividades tales como agricultura intensiva y extensiva, horticultura, silvicultura, acuicultura, ganadería y otras asociadas o complementarias. Incluye producción frutícola, apícola, granjas, avícola y otros criaderos. Aquellos establecimientos donde se incluya la matanza y faena de animales deberán ser clasificados como Establecimientos Industriales.</w:t>
      </w:r>
    </w:p>
    <w:p w:rsidR="004C17AE" w:rsidRPr="00184560" w:rsidRDefault="004C17AE" w:rsidP="00A44E48">
      <w:pPr>
        <w:numPr>
          <w:ilvl w:val="0"/>
          <w:numId w:val="7"/>
        </w:numPr>
        <w:spacing w:after="120" w:line="360" w:lineRule="auto"/>
        <w:ind w:left="1276" w:hanging="283"/>
        <w:jc w:val="both"/>
        <w:rPr>
          <w:rFonts w:ascii="Bookman Old Style" w:hAnsi="Bookman Old Style"/>
          <w:sz w:val="24"/>
          <w:szCs w:val="24"/>
        </w:rPr>
      </w:pPr>
      <w:r w:rsidRPr="00184560">
        <w:rPr>
          <w:rFonts w:ascii="Bookman Old Style" w:hAnsi="Bookman Old Style"/>
          <w:sz w:val="24"/>
          <w:szCs w:val="24"/>
        </w:rPr>
        <w:t>Extractivo: comprende actividades de extracción de suelo y subsuelo consolidado naturalmente, destapes, desmontes, excavaciones y las tareas de movimiento de tierra o suelo en general, tales como relleno. compactación y terraplenamientos.</w:t>
      </w:r>
    </w:p>
    <w:p w:rsidR="004C17AE" w:rsidRPr="00184560" w:rsidRDefault="004C17AE" w:rsidP="004C17AE">
      <w:pPr>
        <w:rPr>
          <w:rFonts w:ascii="Bookman Old Style" w:hAnsi="Bookman Old Style"/>
          <w:sz w:val="24"/>
          <w:szCs w:val="24"/>
        </w:rPr>
      </w:pPr>
    </w:p>
    <w:p w:rsidR="004C17AE" w:rsidRPr="00184560" w:rsidRDefault="004C17AE" w:rsidP="004C17AE">
      <w:pPr>
        <w:rPr>
          <w:rFonts w:ascii="Times New Roman" w:eastAsia="Times New Roman" w:hAnsi="Times New Roman" w:cs="Times New Roman"/>
          <w:sz w:val="28"/>
          <w:szCs w:val="24"/>
          <w:lang w:eastAsia="es-AR"/>
        </w:rPr>
      </w:pPr>
      <w:r w:rsidRPr="00184560">
        <w:rPr>
          <w:rFonts w:ascii="Bookman Old Style" w:eastAsia="Times New Roman" w:hAnsi="Bookman Old Style" w:cs="Times New Roman"/>
          <w:b/>
          <w:bCs/>
          <w:sz w:val="28"/>
          <w:szCs w:val="24"/>
          <w:lang w:eastAsia="es-AR"/>
        </w:rPr>
        <w:lastRenderedPageBreak/>
        <w:t>SECCIÓN II: REGLAS GENERALES</w:t>
      </w:r>
    </w:p>
    <w:p w:rsidR="004C17AE" w:rsidRPr="00184560" w:rsidRDefault="004C17AE" w:rsidP="004C17AE">
      <w:pPr>
        <w:rPr>
          <w:rFonts w:ascii="Bookman Old Style" w:hAnsi="Bookman Old Style"/>
          <w:b/>
          <w:sz w:val="24"/>
          <w:szCs w:val="24"/>
        </w:rPr>
      </w:pPr>
      <w:r w:rsidRPr="00184560">
        <w:rPr>
          <w:rFonts w:ascii="Bookman Old Style" w:hAnsi="Bookman Old Style"/>
          <w:b/>
          <w:sz w:val="24"/>
          <w:szCs w:val="24"/>
        </w:rPr>
        <w:t>Artículo 10°: Las calles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Solo se autorizará la apertura de calles cuando estas formen parte de un proyecto de urbanización o loteo, y serán trazadas siguiendo direcciones paralelas o perpendiculares al trazado existente, contemplando para ello un damero o proyección del mismo.</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calles se clasifican en dos tipos “primarias” y “secundarias” según el siguiente criterio:</w:t>
      </w:r>
    </w:p>
    <w:p w:rsidR="004C17AE" w:rsidRPr="00184560" w:rsidRDefault="004C17AE" w:rsidP="00A44E48">
      <w:pPr>
        <w:numPr>
          <w:ilvl w:val="0"/>
          <w:numId w:val="8"/>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Las calles primarias</w:t>
      </w:r>
      <w:r w:rsidRPr="00184560">
        <w:rPr>
          <w:rFonts w:ascii="Bookman Old Style" w:eastAsia="Times New Roman" w:hAnsi="Bookman Old Style" w:cs="Times New Roman"/>
          <w:sz w:val="24"/>
          <w:szCs w:val="24"/>
          <w:lang w:eastAsia="es-AR"/>
        </w:rPr>
        <w:t>: son aquellas que de acuerdo al criterio del D.E.M. se requieran como continuidad de calles consideradas primarias o nexos con la planta urbana y/o que por la proyección urbanística resulta de interés, actual o futuro, como corredor vial de alto tránsito. Estas deberán tener un ancho mínimo de veintiséis metros (26,00m) lineales.</w:t>
      </w:r>
    </w:p>
    <w:p w:rsidR="004C17AE" w:rsidRPr="00184560" w:rsidRDefault="004C17AE" w:rsidP="003C3A56">
      <w:pPr>
        <w:ind w:left="709"/>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A la fecha, las calles consideradas como Calles Primarias son: Calle José </w:t>
      </w:r>
      <w:proofErr w:type="spellStart"/>
      <w:r w:rsidRPr="00184560">
        <w:rPr>
          <w:rFonts w:ascii="Bookman Old Style" w:eastAsia="Times New Roman" w:hAnsi="Bookman Old Style" w:cs="Times New Roman"/>
          <w:sz w:val="24"/>
          <w:szCs w:val="24"/>
          <w:lang w:eastAsia="es-AR"/>
        </w:rPr>
        <w:t>Artalaz</w:t>
      </w:r>
      <w:proofErr w:type="spellEnd"/>
      <w:r w:rsidRPr="00184560">
        <w:rPr>
          <w:rFonts w:ascii="Bookman Old Style" w:eastAsia="Times New Roman" w:hAnsi="Bookman Old Style" w:cs="Times New Roman"/>
          <w:sz w:val="24"/>
          <w:szCs w:val="24"/>
          <w:lang w:eastAsia="es-AR"/>
        </w:rPr>
        <w:t xml:space="preserve">, Calle </w:t>
      </w:r>
      <w:proofErr w:type="spellStart"/>
      <w:r w:rsidRPr="00184560">
        <w:rPr>
          <w:rFonts w:ascii="Bookman Old Style" w:eastAsia="Times New Roman" w:hAnsi="Bookman Old Style" w:cs="Times New Roman"/>
          <w:sz w:val="24"/>
          <w:szCs w:val="24"/>
          <w:lang w:eastAsia="es-AR"/>
        </w:rPr>
        <w:t>Karai</w:t>
      </w:r>
      <w:proofErr w:type="spellEnd"/>
      <w:r w:rsidRPr="00184560">
        <w:rPr>
          <w:rFonts w:ascii="Bookman Old Style" w:eastAsia="Times New Roman" w:hAnsi="Bookman Old Style" w:cs="Times New Roman"/>
          <w:sz w:val="24"/>
          <w:szCs w:val="24"/>
          <w:lang w:eastAsia="es-AR"/>
        </w:rPr>
        <w:t xml:space="preserve"> </w:t>
      </w:r>
      <w:proofErr w:type="spellStart"/>
      <w:r w:rsidRPr="00184560">
        <w:rPr>
          <w:rFonts w:ascii="Bookman Old Style" w:eastAsia="Times New Roman" w:hAnsi="Bookman Old Style" w:cs="Times New Roman"/>
          <w:sz w:val="24"/>
          <w:szCs w:val="24"/>
          <w:lang w:eastAsia="es-AR"/>
        </w:rPr>
        <w:t>Yamandú</w:t>
      </w:r>
      <w:proofErr w:type="spellEnd"/>
      <w:r w:rsidRPr="00184560">
        <w:rPr>
          <w:rFonts w:ascii="Bookman Old Style" w:eastAsia="Times New Roman" w:hAnsi="Bookman Old Style" w:cs="Times New Roman"/>
          <w:sz w:val="24"/>
          <w:szCs w:val="24"/>
          <w:lang w:eastAsia="es-AR"/>
        </w:rPr>
        <w:t xml:space="preserve"> Calle Primeros Colonos. Calles estas de Este a Oeste y desde el Limite de la Planta Urbana y hasta Ruta Nacional N° 14, las Calles Publicas (Si tienen nombre ya debe Modificar esto. Cód. 2041 y cód. 1941), la Calle Ara San Juan perpendicular a Ruta Nacional N° 135 (acceso a Colón) desde la misma y hasta calle Primeros Colonos.</w:t>
      </w:r>
    </w:p>
    <w:p w:rsidR="004C17AE" w:rsidRPr="00184560" w:rsidRDefault="004C17AE" w:rsidP="00A44E48">
      <w:pPr>
        <w:numPr>
          <w:ilvl w:val="0"/>
          <w:numId w:val="8"/>
        </w:numPr>
        <w:spacing w:after="120" w:line="360" w:lineRule="auto"/>
        <w:jc w:val="both"/>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Las calles secundarias</w:t>
      </w:r>
      <w:r w:rsidRPr="00184560">
        <w:rPr>
          <w:rFonts w:ascii="Bookman Old Style" w:eastAsia="Times New Roman" w:hAnsi="Bookman Old Style" w:cs="Times New Roman"/>
          <w:sz w:val="24"/>
          <w:szCs w:val="24"/>
          <w:lang w:eastAsia="es-AR"/>
        </w:rPr>
        <w:t>: son aquellas que separan las manzanas, deberán tener un ancho mínimo de veinte metros (20,00 m.) lineales. Estas deberán, además de cumplir las condiciones generales exigidas para su trazado, contemplar un damero o proyección del mismo, o de la mitad o la cuarta parte de la longitud del lado del polígono que circunscribe el área de la concesión correspondiente, tomado entre ejes de calles existentes y previendo en los loteos, fraccionamientos y/o subdivisiones el ensanche de las mismas.</w:t>
      </w:r>
    </w:p>
    <w:p w:rsidR="004C17AE" w:rsidRPr="00184560" w:rsidRDefault="004C17AE" w:rsidP="00A44E48">
      <w:pPr>
        <w:numPr>
          <w:ilvl w:val="0"/>
          <w:numId w:val="8"/>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Pasajes públicos</w:t>
      </w:r>
      <w:r w:rsidRPr="00184560">
        <w:rPr>
          <w:rFonts w:ascii="Bookman Old Style" w:eastAsia="Times New Roman" w:hAnsi="Bookman Old Style" w:cs="Times New Roman"/>
          <w:sz w:val="24"/>
          <w:szCs w:val="24"/>
          <w:lang w:eastAsia="es-AR"/>
        </w:rPr>
        <w:t xml:space="preserve">: son calles estrechas, de menor ancho que las calles secundarias, que unen dos o más calles entre sí, y donde se </w:t>
      </w:r>
      <w:r w:rsidRPr="00184560">
        <w:rPr>
          <w:rFonts w:ascii="Bookman Old Style" w:eastAsia="Times New Roman" w:hAnsi="Bookman Old Style" w:cs="Times New Roman"/>
          <w:sz w:val="24"/>
          <w:szCs w:val="24"/>
          <w:lang w:eastAsia="es-AR"/>
        </w:rPr>
        <w:lastRenderedPageBreak/>
        <w:t xml:space="preserve">admite la circulación vehicular, deben tener como mínimo un ancho de quince (15) metros lineales, debiendo cumplir con las condiciones generales para su trazado y contemplar el damero o proyección del mismo. Poseerán veredas de un ancho mínimo de tres metros con cincuenta centímetros (3,50 m.) a cada lado, medidos desde la L.M. al cordón cuneta o a la línea de proyección del mismo. </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todos los casos deberán ser donadas al dominio público municipal tal como se establecerá más adelante.</w:t>
      </w:r>
    </w:p>
    <w:p w:rsidR="004C17AE" w:rsidRPr="00184560" w:rsidRDefault="004C17AE" w:rsidP="003C3A56">
      <w:pPr>
        <w:jc w:val="both"/>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sz w:val="24"/>
          <w:szCs w:val="24"/>
          <w:lang w:eastAsia="es-AR"/>
        </w:rPr>
        <w:t>Las superficies fijadas en los incisos anteriores serán distribuidas de la siguiente manera: Veredas de dos metros con cincuenta centímetros (2,50 m.) de ancho mínimo, cordón verde comprendido entre veredas y línea de calle será obligatorio y de un metro con cincuenta centímetros (1,50 m.) de ancho mínimo, destinando el excedente a circulación vehicular.</w:t>
      </w:r>
    </w:p>
    <w:p w:rsidR="004C17AE" w:rsidRPr="00184560" w:rsidRDefault="004C17AE" w:rsidP="004C17AE">
      <w:pPr>
        <w:rPr>
          <w:rFonts w:ascii="Bookman Old Style" w:eastAsia="Times New Roman" w:hAnsi="Bookman Old Style" w:cs="Times New Roman"/>
          <w:b/>
          <w:sz w:val="24"/>
          <w:szCs w:val="24"/>
          <w:lang w:eastAsia="es-AR"/>
        </w:rPr>
      </w:pPr>
      <w:bookmarkStart w:id="3" w:name="_heading=h.2bn6wsx" w:colFirst="0" w:colLast="0"/>
      <w:bookmarkEnd w:id="3"/>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11°: Ochavas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ochavas tendrán un carácter de obligatorio y también varían sus dimensiones según se trate del tipo de calle al que están afectadas.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ochavas de las calles primarias, deberán tener una longitud de cuatro metros con cincuenta centímetros (4,50 m.) como mínimo, que se determinan a partir de un triángulo cuyos catetos miden tres metros con veinte centímetros (3,20 m.).</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ochavas de las calles secundarias, deberán tener una longitud de tres metros con cincuenta centímetros (3,50 m.) como mínimo, que se determinan a partir del trazado de un triángulo cuyos catetos miden dos metros con cuarenta y siete centímetros (2,47 m.) respectivamente.</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encuentros de calles primarias y secundarias se tomarán en la conformación del triángulo los largos de catetos correspondientes a cada denominación.</w:t>
      </w:r>
    </w:p>
    <w:p w:rsidR="004C17AE" w:rsidRPr="00184560" w:rsidRDefault="004C17AE" w:rsidP="003C3A56">
      <w:pPr>
        <w:jc w:val="both"/>
        <w:rPr>
          <w:rFonts w:ascii="Bookman Old Style" w:eastAsia="Times New Roman" w:hAnsi="Bookman Old Style" w:cs="Times New Roman"/>
          <w:b/>
          <w:sz w:val="24"/>
          <w:szCs w:val="24"/>
          <w:lang w:eastAsia="es-AR"/>
        </w:rPr>
      </w:pPr>
      <w:bookmarkStart w:id="4" w:name="_heading=h.qsh70q" w:colFirst="0" w:colLast="0"/>
      <w:bookmarkEnd w:id="4"/>
    </w:p>
    <w:p w:rsidR="00491F08" w:rsidRDefault="00491F08"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lastRenderedPageBreak/>
        <w:t>Artículo 12°: Cota</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 se autorizará loteos o urbanizaciones, cuando el inmueble se encuentre por debajo de la cota más diez metros con cincuenta centímetros (+10.50m), tomados a partir del cero (0,00m) del hidrómetro del puerto local. Para el caso que el inmueble se encuentre parcialmente por debajo de la cota, la prohibición regirá sólo para aquellas manzanas proyectadas total o parcialmente bajo cota.</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Deberá asegurarse la accesibilidad a todas las manzanas y en todo su perímetro por sobre esta cota establecida.</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Todo movimiento de suelo, excavación, terraplenamiento o relleno deberá ser autorizado previo a su ejecución, conforme lo reglamenta el Código de Edificación de la ciudad.</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Sin perjuicio de ello, se hará constar con una leyenda en letra mayúscula y negrita en los respectivos planos de mensura, fichas para transferencia y escrituras traslativas de dominio la cota de los lotes, calles, espacios públicos y/o reservas fiscales.</w:t>
      </w:r>
    </w:p>
    <w:p w:rsidR="004C17AE" w:rsidRPr="00184560" w:rsidRDefault="004C17AE"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13°:</w:t>
      </w:r>
      <w:r w:rsidR="003C3A56">
        <w:rPr>
          <w:rFonts w:ascii="Bookman Old Style" w:eastAsia="Times New Roman" w:hAnsi="Bookman Old Style" w:cs="Times New Roman"/>
          <w:b/>
          <w:sz w:val="24"/>
          <w:szCs w:val="24"/>
          <w:lang w:eastAsia="es-AR"/>
        </w:rPr>
        <w:t xml:space="preserve"> </w:t>
      </w:r>
      <w:r w:rsidRPr="00184560">
        <w:rPr>
          <w:rFonts w:ascii="Bookman Old Style" w:eastAsia="Times New Roman" w:hAnsi="Bookman Old Style" w:cs="Times New Roman"/>
          <w:b/>
          <w:sz w:val="24"/>
          <w:szCs w:val="24"/>
          <w:lang w:eastAsia="es-AR"/>
        </w:rPr>
        <w:t>Corredores biológicos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áreas sometidas a loteos deberá preverse la preservación de una franja de treinta (30,00) metros a ambas márgenes de los cursos y/o reservas de agua desde la línea de rivera, con su flora autóctona, a fines de preservar el medio ambiente y favorecer el desarrollo natural de las especies animales. Estas áreas podrán ser tratadas como espacios de parques naturales de acuerdo a la normativa vigente, debiendo contar con la aprobación y posterior monitoreo de la Dirección de Medio Ambiente de la Ciudad de Colón.</w:t>
      </w:r>
    </w:p>
    <w:p w:rsidR="004C17AE" w:rsidRPr="00184560" w:rsidRDefault="004C17AE" w:rsidP="004C17AE">
      <w:pPr>
        <w:rPr>
          <w:rFonts w:ascii="Bookman Old Style" w:eastAsia="Times New Roman" w:hAnsi="Bookman Old Style" w:cs="Times New Roman"/>
          <w:sz w:val="24"/>
          <w:szCs w:val="24"/>
          <w:lang w:eastAsia="es-AR"/>
        </w:rPr>
      </w:pPr>
      <w:bookmarkStart w:id="5" w:name="_heading=h.1pxezwc" w:colFirst="0" w:colLast="0"/>
      <w:bookmarkEnd w:id="5"/>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14°: Cuencas y Cursos Naturales de Agua</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ningún caso, se podrá modificar, interrumpir o cerrar cuencas y cursos naturales de agua. Tampoco modificaciones de la altimetría del terreno natural que impidan la natural escorrentía de las aguas pluviales.</w:t>
      </w:r>
    </w:p>
    <w:p w:rsidR="004C17AE" w:rsidRPr="00AA35CF" w:rsidRDefault="004C17AE" w:rsidP="00AA35CF">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En caso de que la solución de continuidad fuesen cañadones, zanjones, canales, etc., deberá preverse la comunicación con la urbanización existente por medio de un puente apto para uso peatonal.</w:t>
      </w:r>
    </w:p>
    <w:p w:rsidR="004C17AE" w:rsidRPr="00184560" w:rsidRDefault="004C17AE" w:rsidP="004C17AE">
      <w:pPr>
        <w:rPr>
          <w:rFonts w:ascii="Bookman Old Style" w:eastAsia="Times New Roman" w:hAnsi="Bookman Old Style" w:cs="Times New Roman"/>
          <w:b/>
          <w:sz w:val="24"/>
          <w:szCs w:val="24"/>
          <w:lang w:eastAsia="es-AR"/>
        </w:rPr>
      </w:pPr>
      <w:bookmarkStart w:id="6" w:name="_heading=h.49x2ik5" w:colFirst="0" w:colLast="0"/>
      <w:bookmarkEnd w:id="6"/>
      <w:r w:rsidRPr="00184560">
        <w:rPr>
          <w:rFonts w:ascii="Bookman Old Style" w:eastAsia="Times New Roman" w:hAnsi="Bookman Old Style" w:cs="Times New Roman"/>
          <w:b/>
          <w:sz w:val="24"/>
          <w:szCs w:val="24"/>
          <w:lang w:eastAsia="es-AR"/>
        </w:rPr>
        <w:t>Artículo 15°: Colectoras frente a arroyos y río</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Sin perjuicio de lo establecido en el Artículo 58°, deberá dejarse una calle colectora entre el arroyo y el nuevo amanzanamiento de tal manera de permitir una adecuada circulación, cuyo ancho será como mínimo de veinte metros (20,00 m.) lineales. En caso de que dicha ampliación sea frente a arroyos o ríos navegables deberá dejarse una calle de veintiséis metros (26,00 m.) lineales de ancho como mínimo. Mismo criterio deberá aplicarse a ambos lados del arroyo o río, si corresponde.</w:t>
      </w:r>
    </w:p>
    <w:p w:rsidR="004C17AE" w:rsidRPr="00184560" w:rsidRDefault="004C17AE" w:rsidP="004C17AE">
      <w:pPr>
        <w:rPr>
          <w:rFonts w:ascii="Bookman Old Style" w:eastAsia="Times New Roman" w:hAnsi="Bookman Old Style" w:cs="Times New Roman"/>
          <w:b/>
          <w:sz w:val="24"/>
          <w:szCs w:val="24"/>
          <w:lang w:eastAsia="es-AR"/>
        </w:rPr>
      </w:pPr>
      <w:bookmarkStart w:id="7" w:name="_heading=h.2p2csry" w:colFirst="0" w:colLast="0"/>
      <w:bookmarkEnd w:id="7"/>
      <w:r w:rsidRPr="00184560">
        <w:rPr>
          <w:rFonts w:ascii="Bookman Old Style" w:eastAsia="Times New Roman" w:hAnsi="Bookman Old Style" w:cs="Times New Roman"/>
          <w:b/>
          <w:sz w:val="24"/>
          <w:szCs w:val="24"/>
          <w:lang w:eastAsia="es-AR"/>
        </w:rPr>
        <w:t>Artículo 16°: Lotes con superficies acordes a las exigidas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el caso en que los terrenos posean superficies acordes a las reglamentadas se exigirá el retiro correspondiente a la zona de ubicación, pudiendo compensarse el mismo de la siguiente manera:</w:t>
      </w:r>
    </w:p>
    <w:p w:rsidR="004C17AE" w:rsidRPr="00184560" w:rsidRDefault="004C17AE" w:rsidP="00A44E48">
      <w:pPr>
        <w:numPr>
          <w:ilvl w:val="0"/>
          <w:numId w:val="9"/>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terrenos con frente a una sola calle:</w:t>
      </w:r>
    </w:p>
    <w:p w:rsidR="004C17AE" w:rsidRPr="00184560" w:rsidRDefault="004C17AE" w:rsidP="00A44E48">
      <w:pPr>
        <w:numPr>
          <w:ilvl w:val="0"/>
          <w:numId w:val="10"/>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franja de jardín adyacente a la vereda y de ancho mínimo igual a la mitad del retiro exigido conforme a la zona de implantación del proyecto. No podrá ser ocupada por superficies cubierta o semicubierta de ningún tipo.</w:t>
      </w:r>
    </w:p>
    <w:p w:rsidR="004C17AE" w:rsidRPr="00184560" w:rsidRDefault="004C17AE" w:rsidP="00A44E48">
      <w:pPr>
        <w:numPr>
          <w:ilvl w:val="0"/>
          <w:numId w:val="10"/>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mitad restante del espacio de jardines podrá ocuparse con edificación en tanto se efectúe la compensación de esta superficie cubierta o semicubierta en su totalidad con igual superficie libre ubicada en la franja inmediatamente posterior a la línea de edificación determinada por el retiro obligatorio correspondiente a la zona, y hasta una profundidad máxima igual a la medida del retiro obligatorio.</w:t>
      </w:r>
    </w:p>
    <w:p w:rsidR="004C17AE" w:rsidRPr="00184560" w:rsidRDefault="004C17AE" w:rsidP="00A44E48">
      <w:pPr>
        <w:numPr>
          <w:ilvl w:val="0"/>
          <w:numId w:val="9"/>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terrenos ubicados en esquinas:</w:t>
      </w:r>
    </w:p>
    <w:p w:rsidR="004C17AE" w:rsidRPr="00184560" w:rsidRDefault="004C17AE" w:rsidP="00A44E48">
      <w:pPr>
        <w:numPr>
          <w:ilvl w:val="1"/>
          <w:numId w:val="11"/>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terrenos en esquina tendrán un retiro obligatorio mínimo igual a la mitad del retiro obligatorio exigido por la zona correspondiente desde la LM cualquiera sea su superficie no </w:t>
      </w:r>
      <w:r w:rsidRPr="00184560">
        <w:rPr>
          <w:rFonts w:ascii="Bookman Old Style" w:eastAsia="Times New Roman" w:hAnsi="Bookman Old Style" w:cs="Times New Roman"/>
          <w:sz w:val="24"/>
          <w:szCs w:val="24"/>
          <w:lang w:eastAsia="es-AR"/>
        </w:rPr>
        <w:lastRenderedPageBreak/>
        <w:t>pudiendo ocuparse esta franja con construcciones de ninguna especie, debiendo dar cumplimiento a los índices de F.O.S y F.O.T. establecidos para la zona correspondiente, teniendo en cuenta además la obligatoriedad de la línea de ochavas.</w:t>
      </w:r>
    </w:p>
    <w:p w:rsidR="004C17AE" w:rsidRPr="00184560" w:rsidRDefault="004C17AE" w:rsidP="00A44E48">
      <w:pPr>
        <w:numPr>
          <w:ilvl w:val="1"/>
          <w:numId w:val="11"/>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lotes que posean uno de los frentes a calle pública de más de treinta (30,00) metros lineales, para los primeros treinta metros se cumplirá con la condición anterior, para los metros de frente excedentes se deberá respetar el valor del retiro mínimo obligatorio de la zona y sus compensaciones correspondientes.</w:t>
      </w:r>
    </w:p>
    <w:p w:rsidR="004C17AE" w:rsidRPr="00184560" w:rsidRDefault="004C17AE" w:rsidP="00A44E48">
      <w:pPr>
        <w:numPr>
          <w:ilvl w:val="1"/>
          <w:numId w:val="11"/>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permitirá compensar superficies de acuerdo a lo establecido en el presente artículo, sobre cualquiera de las calles.</w:t>
      </w:r>
    </w:p>
    <w:p w:rsidR="004C17AE"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noProof/>
          <w:sz w:val="24"/>
          <w:szCs w:val="24"/>
          <w:lang w:val="en-US"/>
        </w:rPr>
        <w:drawing>
          <wp:inline distT="0" distB="0" distL="114300" distR="114300">
            <wp:extent cx="6100550" cy="3479861"/>
            <wp:effectExtent l="0" t="0" r="0" b="6350"/>
            <wp:docPr id="64" name="image2.png"/>
            <wp:cNvGraphicFramePr/>
            <a:graphic xmlns:a="http://schemas.openxmlformats.org/drawingml/2006/main">
              <a:graphicData uri="http://schemas.openxmlformats.org/drawingml/2006/picture">
                <pic:pic xmlns:pic="http://schemas.openxmlformats.org/drawingml/2006/picture">
                  <pic:nvPicPr>
                    <pic:cNvPr id="64" name="image2.png"/>
                    <pic:cNvPicPr preferRelativeResize="0"/>
                  </pic:nvPicPr>
                  <pic:blipFill>
                    <a:blip r:embed="rId8" cstate="print"/>
                    <a:srcRect/>
                    <a:stretch>
                      <a:fillRect/>
                    </a:stretch>
                  </pic:blipFill>
                  <pic:spPr>
                    <a:xfrm>
                      <a:off x="0" y="0"/>
                      <a:ext cx="6100550" cy="3479861"/>
                    </a:xfrm>
                    <a:prstGeom prst="rect">
                      <a:avLst/>
                    </a:prstGeom>
                  </pic:spPr>
                </pic:pic>
              </a:graphicData>
            </a:graphic>
          </wp:inline>
        </w:drawing>
      </w:r>
    </w:p>
    <w:p w:rsidR="00491F08" w:rsidRDefault="00491F08" w:rsidP="004C17AE">
      <w:pPr>
        <w:rPr>
          <w:rFonts w:ascii="Bookman Old Style" w:eastAsia="Times New Roman" w:hAnsi="Bookman Old Style" w:cs="Times New Roman"/>
          <w:sz w:val="24"/>
          <w:szCs w:val="24"/>
          <w:lang w:eastAsia="es-AR"/>
        </w:rPr>
      </w:pPr>
    </w:p>
    <w:p w:rsidR="00491F08" w:rsidRPr="00184560" w:rsidRDefault="00491F08" w:rsidP="004C17AE">
      <w:pPr>
        <w:rPr>
          <w:rFonts w:ascii="Bookman Old Style" w:eastAsia="Times New Roman" w:hAnsi="Bookman Old Style" w:cs="Times New Roman"/>
          <w:sz w:val="24"/>
          <w:szCs w:val="24"/>
          <w:lang w:eastAsia="es-AR"/>
        </w:rPr>
      </w:pPr>
    </w:p>
    <w:p w:rsidR="004C17AE" w:rsidRPr="00184560" w:rsidRDefault="004C17AE" w:rsidP="00A44E48">
      <w:pPr>
        <w:numPr>
          <w:ilvl w:val="0"/>
          <w:numId w:val="9"/>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En todos los casos se tendrá en cuenta, además:</w:t>
      </w:r>
    </w:p>
    <w:p w:rsidR="004C17AE" w:rsidRPr="00184560" w:rsidRDefault="004C17AE" w:rsidP="00A44E48">
      <w:pPr>
        <w:numPr>
          <w:ilvl w:val="0"/>
          <w:numId w:val="12"/>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Los patios principales o de servicio cerrados con muros perimetrales de una altura igual o superior a un metro (1,00 m), que ocupen espacios destinados a jardines serán considerados como superficie cubierta a los fines de las compensaciones que correspondan.</w:t>
      </w:r>
    </w:p>
    <w:p w:rsidR="004C17AE" w:rsidRPr="00184560" w:rsidRDefault="004C17AE" w:rsidP="00A44E48">
      <w:pPr>
        <w:numPr>
          <w:ilvl w:val="0"/>
          <w:numId w:val="12"/>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 los efectos exclusivos de esta compensación de superficies los espacios semicubiertos que ocupen jardines serán considerados con el ciento por ciento (100 %) de su valor.</w:t>
      </w:r>
    </w:p>
    <w:p w:rsidR="004C17AE" w:rsidRPr="00184560" w:rsidRDefault="004C17AE" w:rsidP="004C17AE">
      <w:pPr>
        <w:rPr>
          <w:rFonts w:ascii="Bookman Old Style" w:eastAsia="Times New Roman" w:hAnsi="Bookman Old Style" w:cs="Times New Roman"/>
          <w:sz w:val="24"/>
          <w:szCs w:val="24"/>
          <w:lang w:eastAsia="es-AR"/>
        </w:rPr>
      </w:pPr>
      <w:bookmarkStart w:id="8" w:name="_heading=h.147n2zr" w:colFirst="0" w:colLast="0"/>
      <w:bookmarkEnd w:id="8"/>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17°: Lotes con superficies menores a las exigidas.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el caso en que los terrenos posean superficies menores a las reglamentarias se exigirá el retiro correspondiente a la zona de ubicación pudiendo compensarse el mismo de la siguiente manera:</w:t>
      </w:r>
    </w:p>
    <w:p w:rsidR="004C17AE" w:rsidRPr="00184560" w:rsidRDefault="004C17AE" w:rsidP="00A44E48">
      <w:pPr>
        <w:numPr>
          <w:ilvl w:val="0"/>
          <w:numId w:val="1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el caso en que los terrenos entre medianeras o en esquinas posean superficies de hasta ciento sesenta metros cuadrados (160 mts.2), el Retiro Mínimo Obligatorio (R.M.O.) se establece en un metro cincuenta (1,50 m) desde la Línea Municipal, debiendo dar cumplimiento a los índices de F.O.S y F.O.T. establecidos para la zona correspondiente, no pudiendo en ningún caso, avanzar con superficies a compensar, entre la línea municipal y el valor mínimo de retiro establecido.</w:t>
      </w:r>
    </w:p>
    <w:p w:rsidR="004C17AE" w:rsidRPr="00184560" w:rsidRDefault="004C17AE" w:rsidP="00A44E48">
      <w:pPr>
        <w:numPr>
          <w:ilvl w:val="0"/>
          <w:numId w:val="1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Para el caso en que los terrenos entre medianeras posean superficies comprendidas entre los ciento sesenta metros cuadrados (160 mts2) y la Superficie Mínima Obligatoria del Lote (S.M.O.L.) exigida para la zona, el retiro mínimo obligatorio será el resultante de una relación matemática, que disminuirá la distancia de edificación a la Línea Municipal en función directa con el tamaño de  lote,  (a  menor superficie de lote, menor distancia de retiro mínimo obligatorio) a partir de un metro </w:t>
      </w:r>
      <w:r w:rsidRPr="00184560">
        <w:rPr>
          <w:rFonts w:ascii="Bookman Old Style" w:eastAsia="Times New Roman" w:hAnsi="Bookman Old Style" w:cs="Times New Roman"/>
          <w:sz w:val="24"/>
          <w:szCs w:val="24"/>
          <w:lang w:eastAsia="es-AR"/>
        </w:rPr>
        <w:lastRenderedPageBreak/>
        <w:t xml:space="preserve">sesenta centímetros (1,60 </w:t>
      </w:r>
      <w:proofErr w:type="spellStart"/>
      <w:r w:rsidRPr="00184560">
        <w:rPr>
          <w:rFonts w:ascii="Bookman Old Style" w:eastAsia="Times New Roman" w:hAnsi="Bookman Old Style" w:cs="Times New Roman"/>
          <w:sz w:val="24"/>
          <w:szCs w:val="24"/>
          <w:lang w:eastAsia="es-AR"/>
        </w:rPr>
        <w:t>mts</w:t>
      </w:r>
      <w:proofErr w:type="spellEnd"/>
      <w:r w:rsidRPr="00184560">
        <w:rPr>
          <w:rFonts w:ascii="Bookman Old Style" w:eastAsia="Times New Roman" w:hAnsi="Bookman Old Style" w:cs="Times New Roman"/>
          <w:sz w:val="24"/>
          <w:szCs w:val="24"/>
          <w:lang w:eastAsia="es-AR"/>
        </w:rPr>
        <w:t>), valor correspondiente a un terreno de ciento  sesenta  metros  cuadrados (160 mts2), medida desde la Línea Municipal, debiendo dar cumplimiento a los índices de  F.O.S.  y F.O.T.  establecidos para la zona, no pudiendo en ningún caso, avanzar con superficies a compensar, entre la Línea Municipal y el valor mínimo de retiro establecido, para cada zona.</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b/>
      </w:r>
      <w:r w:rsidRPr="00184560">
        <w:rPr>
          <w:rFonts w:ascii="Bookman Old Style" w:eastAsia="Times New Roman" w:hAnsi="Bookman Old Style" w:cs="Times New Roman"/>
          <w:noProof/>
          <w:sz w:val="24"/>
          <w:szCs w:val="24"/>
          <w:lang w:val="en-US"/>
        </w:rPr>
        <w:drawing>
          <wp:inline distT="0" distB="0" distL="114300" distR="114300">
            <wp:extent cx="2486660" cy="638175"/>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66" name="image1.png"/>
                    <pic:cNvPicPr preferRelativeResize="0"/>
                  </pic:nvPicPr>
                  <pic:blipFill>
                    <a:blip r:embed="rId9" cstate="print"/>
                    <a:srcRect/>
                    <a:stretch>
                      <a:fillRect/>
                    </a:stretch>
                  </pic:blipFill>
                  <pic:spPr>
                    <a:xfrm>
                      <a:off x="0" y="0"/>
                      <a:ext cx="2486660" cy="638175"/>
                    </a:xfrm>
                    <a:prstGeom prst="rect">
                      <a:avLst/>
                    </a:prstGeom>
                  </pic:spPr>
                </pic:pic>
              </a:graphicData>
            </a:graphic>
          </wp:inline>
        </w:drawing>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Referencias:</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R.M.O.</w:t>
      </w:r>
      <w:r w:rsidRPr="00184560">
        <w:rPr>
          <w:rFonts w:ascii="Bookman Old Style" w:eastAsia="Times New Roman" w:hAnsi="Bookman Old Style" w:cs="Times New Roman"/>
          <w:sz w:val="24"/>
          <w:szCs w:val="24"/>
          <w:lang w:eastAsia="es-AR"/>
        </w:rPr>
        <w:t>= Retiro Mínimo Obligatorio</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R</w:t>
      </w:r>
      <w:r w:rsidRPr="00184560">
        <w:rPr>
          <w:rFonts w:ascii="Bookman Old Style" w:eastAsia="Times New Roman" w:hAnsi="Bookman Old Style" w:cs="Times New Roman"/>
          <w:sz w:val="24"/>
          <w:szCs w:val="24"/>
          <w:lang w:eastAsia="es-AR"/>
        </w:rPr>
        <w:t>= Retiro por zonificación</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S.M.O.L.</w:t>
      </w:r>
      <w:r w:rsidRPr="00184560">
        <w:rPr>
          <w:rFonts w:ascii="Bookman Old Style" w:eastAsia="Times New Roman" w:hAnsi="Bookman Old Style" w:cs="Times New Roman"/>
          <w:sz w:val="24"/>
          <w:szCs w:val="24"/>
          <w:lang w:eastAsia="es-AR"/>
        </w:rPr>
        <w:t>= Superficie Mínima Obligatoria de Lote (correspondiente a la zonificación)</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S.L.</w:t>
      </w:r>
      <w:r w:rsidRPr="00184560">
        <w:rPr>
          <w:rFonts w:ascii="Bookman Old Style" w:eastAsia="Times New Roman" w:hAnsi="Bookman Old Style" w:cs="Times New Roman"/>
          <w:sz w:val="24"/>
          <w:szCs w:val="24"/>
          <w:lang w:eastAsia="es-AR"/>
        </w:rPr>
        <w:t>= Superficie del Lote</w:t>
      </w: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18°: Casos Particulares</w:t>
      </w:r>
    </w:p>
    <w:p w:rsidR="004C17AE" w:rsidRPr="00184560" w:rsidRDefault="004C17AE" w:rsidP="00A44E48">
      <w:pPr>
        <w:numPr>
          <w:ilvl w:val="0"/>
          <w:numId w:val="14"/>
        </w:numPr>
        <w:spacing w:after="120" w:line="360" w:lineRule="auto"/>
        <w:ind w:left="709" w:hanging="283"/>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Lotes entre medianeras:</w:t>
      </w:r>
    </w:p>
    <w:p w:rsidR="004C17AE" w:rsidRPr="00184560" w:rsidRDefault="004C17AE" w:rsidP="003C3A56">
      <w:pPr>
        <w:ind w:left="709"/>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Cuando el lote se encuentre localizado entre otros dos, cuyas construcciones no posean retiro o con retiro inferior a lo normado, se podrá construir en la línea del lote lindero que posea la construcción más próxima a la Línea Municipal, debiendo cumplimentar con los índices de compensación de superficies establecidos en la presente norma, pero tomando como retiro exigible y compensable el que resultare de esta línea de retiro “disminuida” por esta condición particular.</w:t>
      </w:r>
    </w:p>
    <w:p w:rsidR="004C17AE" w:rsidRPr="00184560" w:rsidRDefault="004C17AE" w:rsidP="003C3A56">
      <w:pPr>
        <w:ind w:left="709"/>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esto, deberá comprobarse que las propiedades lindantes se encuentren en uso, buen estado de habitabilidad y no se encuentren en estado ruinoso. No podrán ser construcciones precarias, recientes y/o construidas sin permiso y para usos no determinados.</w:t>
      </w:r>
    </w:p>
    <w:p w:rsidR="004C17AE" w:rsidRPr="00184560" w:rsidRDefault="004C17AE" w:rsidP="003C3A56">
      <w:pPr>
        <w:ind w:left="709"/>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Esto deberá ser fehacientemente comprobable con alguno de los siguientes elementos:</w:t>
      </w:r>
    </w:p>
    <w:p w:rsidR="004C17AE" w:rsidRPr="00184560" w:rsidRDefault="004C17AE" w:rsidP="00A44E48">
      <w:pPr>
        <w:numPr>
          <w:ilvl w:val="0"/>
          <w:numId w:val="15"/>
        </w:numPr>
        <w:spacing w:after="120" w:line="360" w:lineRule="auto"/>
        <w:ind w:left="1276" w:hanging="283"/>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Planos municipales visados de las construcciones, </w:t>
      </w:r>
    </w:p>
    <w:p w:rsidR="004C17AE" w:rsidRPr="00184560" w:rsidRDefault="004C17AE" w:rsidP="00A44E48">
      <w:pPr>
        <w:numPr>
          <w:ilvl w:val="0"/>
          <w:numId w:val="15"/>
        </w:numPr>
        <w:spacing w:after="120" w:line="360" w:lineRule="auto"/>
        <w:ind w:left="1276" w:hanging="283"/>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Documentos catastrales obrantes en los registros públicos, como ser planos de mensura, declaraciones juradas, fichas de trasferencia, actualización de mejoras</w:t>
      </w:r>
    </w:p>
    <w:p w:rsidR="004C17AE" w:rsidRPr="00184560" w:rsidRDefault="004C17AE" w:rsidP="00A44E48">
      <w:pPr>
        <w:numPr>
          <w:ilvl w:val="0"/>
          <w:numId w:val="15"/>
        </w:numPr>
        <w:spacing w:after="120" w:line="360" w:lineRule="auto"/>
        <w:ind w:left="1276" w:hanging="283"/>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Fotografías del inmueble y su entorno siempre que pudiera ser comprobable la data de las mismas y fecharse anteriores a la sanción de la ordenanza que estableció el retiro en la zona de referencia,</w:t>
      </w:r>
    </w:p>
    <w:p w:rsidR="004C17AE" w:rsidRPr="00184560" w:rsidRDefault="004C17AE" w:rsidP="003C3A56">
      <w:pPr>
        <w:ind w:left="1276"/>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Todos estos elementos serán verificados y evaluados por la Dirección Obras Privadas de la Municipalidad de Colon, quedando a criterio y consideración de la misma su aceptación.</w:t>
      </w:r>
    </w:p>
    <w:p w:rsidR="004C17AE" w:rsidRPr="00184560" w:rsidRDefault="004C17AE" w:rsidP="00A44E48">
      <w:pPr>
        <w:numPr>
          <w:ilvl w:val="0"/>
          <w:numId w:val="14"/>
        </w:numPr>
        <w:spacing w:after="120" w:line="360" w:lineRule="auto"/>
        <w:ind w:left="709" w:hanging="283"/>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Lotes en esquinas:</w:t>
      </w:r>
    </w:p>
    <w:p w:rsidR="004C17AE" w:rsidRPr="00184560" w:rsidRDefault="004C17AE" w:rsidP="00A44E48">
      <w:pPr>
        <w:numPr>
          <w:ilvl w:val="0"/>
          <w:numId w:val="16"/>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Parcelas en esquinas afectadas por más de una Zona, con Índices de Ocupación del Suelo distintos:</w:t>
      </w:r>
    </w:p>
    <w:p w:rsidR="004C17AE" w:rsidRPr="00184560" w:rsidRDefault="004C17AE" w:rsidP="003C3A56">
      <w:pPr>
        <w:ind w:left="1276"/>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estos casos el criterio aplicable es que la superficie edificable surja del promedio ponderado de los distintos factores de ocupación por la longitud de cada uno de los frentes de la parcela. El promedio ponderado se obtiene del siguiente desarrollo:</w:t>
      </w:r>
    </w:p>
    <w:p w:rsidR="004C17AE" w:rsidRPr="00184560" w:rsidRDefault="004C17AE" w:rsidP="00A44E48">
      <w:pPr>
        <w:numPr>
          <w:ilvl w:val="1"/>
          <w:numId w:val="17"/>
        </w:numPr>
        <w:spacing w:after="120" w:line="360" w:lineRule="auto"/>
        <w:ind w:left="2127" w:hanging="142"/>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Incidencia de cada frente de parcela X = 100 x Frente parcial sobre calle dada Sumatoria total de todos los frentes de la parcela.</w:t>
      </w:r>
    </w:p>
    <w:p w:rsidR="004C17AE" w:rsidRPr="00184560" w:rsidRDefault="004C17AE" w:rsidP="00A44E48">
      <w:pPr>
        <w:numPr>
          <w:ilvl w:val="1"/>
          <w:numId w:val="17"/>
        </w:numPr>
        <w:spacing w:after="120" w:line="360" w:lineRule="auto"/>
        <w:ind w:left="2127" w:hanging="142"/>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Incidencia de cada frente en la superficie de la parcela: Porcentual del frente parcial sobre calle dada x Superficie de la parcela = X m2</w:t>
      </w:r>
    </w:p>
    <w:p w:rsidR="004C17AE" w:rsidRPr="00184560" w:rsidRDefault="004C17AE" w:rsidP="00A44E48">
      <w:pPr>
        <w:numPr>
          <w:ilvl w:val="1"/>
          <w:numId w:val="17"/>
        </w:numPr>
        <w:spacing w:after="120" w:line="360" w:lineRule="auto"/>
        <w:ind w:left="2127" w:hanging="142"/>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F.O.T. ponderando (Incidencia del frente parcial sobre calle dada x F.O.T. correspondiente a esa calle) más </w:t>
      </w:r>
      <w:r w:rsidRPr="00184560">
        <w:rPr>
          <w:rFonts w:ascii="Bookman Old Style" w:eastAsia="Times New Roman" w:hAnsi="Bookman Old Style" w:cs="Times New Roman"/>
          <w:sz w:val="24"/>
          <w:szCs w:val="24"/>
          <w:lang w:eastAsia="es-AR"/>
        </w:rPr>
        <w:lastRenderedPageBreak/>
        <w:t>(Incidencia del frente parcial sobre calle dada x F.O.T. correspondiente a esa calle)</w:t>
      </w:r>
    </w:p>
    <w:p w:rsidR="004C17AE" w:rsidRPr="00184560" w:rsidRDefault="004C17AE" w:rsidP="00A44E48">
      <w:pPr>
        <w:numPr>
          <w:ilvl w:val="1"/>
          <w:numId w:val="17"/>
        </w:numPr>
        <w:spacing w:after="120" w:line="360" w:lineRule="auto"/>
        <w:ind w:left="2127" w:hanging="142"/>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Superficie edificable: F.O.T. ponderado por Superficie total de la parcela</w:t>
      </w:r>
    </w:p>
    <w:p w:rsidR="004C17AE" w:rsidRPr="00184560" w:rsidRDefault="004C17AE" w:rsidP="004C17AE">
      <w:pPr>
        <w:ind w:left="1985"/>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i/>
          <w:sz w:val="24"/>
          <w:szCs w:val="24"/>
          <w:lang w:eastAsia="es-AR"/>
        </w:rPr>
        <w:t>(Nota: al mismo resultado se llega calculando la incidencia parcial de cada frente en términos de superficie, multiplicando ésta por el F.O.T. correspondiente y sumando ambos resultados)</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noProof/>
          <w:sz w:val="24"/>
          <w:szCs w:val="24"/>
          <w:lang w:val="en-US"/>
        </w:rPr>
        <w:drawing>
          <wp:inline distT="0" distB="0" distL="114300" distR="114300">
            <wp:extent cx="5445457" cy="3234236"/>
            <wp:effectExtent l="0" t="0" r="3175" b="4445"/>
            <wp:docPr id="65" name="image3.png"/>
            <wp:cNvGraphicFramePr/>
            <a:graphic xmlns:a="http://schemas.openxmlformats.org/drawingml/2006/main">
              <a:graphicData uri="http://schemas.openxmlformats.org/drawingml/2006/picture">
                <pic:pic xmlns:pic="http://schemas.openxmlformats.org/drawingml/2006/picture">
                  <pic:nvPicPr>
                    <pic:cNvPr id="65" name="image3.png"/>
                    <pic:cNvPicPr preferRelativeResize="0"/>
                  </pic:nvPicPr>
                  <pic:blipFill>
                    <a:blip r:embed="rId10" cstate="print"/>
                    <a:srcRect/>
                    <a:stretch>
                      <a:fillRect/>
                    </a:stretch>
                  </pic:blipFill>
                  <pic:spPr>
                    <a:xfrm>
                      <a:off x="0" y="0"/>
                      <a:ext cx="5513045" cy="3274379"/>
                    </a:xfrm>
                    <a:prstGeom prst="rect">
                      <a:avLst/>
                    </a:prstGeom>
                  </pic:spPr>
                </pic:pic>
              </a:graphicData>
            </a:graphic>
          </wp:inline>
        </w:drawing>
      </w:r>
    </w:p>
    <w:p w:rsidR="004C17AE" w:rsidRPr="00184560" w:rsidRDefault="004C17AE" w:rsidP="00A44E48">
      <w:pPr>
        <w:numPr>
          <w:ilvl w:val="0"/>
          <w:numId w:val="16"/>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Cuando el lote se encuentre localizado en una esquina y esta tenga en los lotes linderos construcciones que no posean retiro, o con retiro inferior a lo normado se podrá construir en la línea del lote lindero que posea la construcción más próxima a la Línea Municipal.</w:t>
      </w:r>
    </w:p>
    <w:p w:rsidR="004C17AE" w:rsidRPr="00184560" w:rsidRDefault="004C17AE" w:rsidP="00A44E48">
      <w:pPr>
        <w:numPr>
          <w:ilvl w:val="0"/>
          <w:numId w:val="16"/>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Cuando el lote se encuentre localizado en una esquina y esta tenga en uno de sus lotes linderos construcciones que no posean retiro, o con retiro inferior a lo normado y en el otro lote lindero si tenga el retiro reglamentario, solo se podrá </w:t>
      </w:r>
      <w:r w:rsidRPr="00184560">
        <w:rPr>
          <w:rFonts w:ascii="Bookman Old Style" w:eastAsia="Times New Roman" w:hAnsi="Bookman Old Style" w:cs="Times New Roman"/>
          <w:sz w:val="24"/>
          <w:szCs w:val="24"/>
          <w:lang w:eastAsia="es-AR"/>
        </w:rPr>
        <w:lastRenderedPageBreak/>
        <w:t>construir sin retiro en el lado colindante y a continuación de la línea que posea la construcción más próxima a la Línea Municipal.</w:t>
      </w:r>
    </w:p>
    <w:p w:rsidR="004C17AE" w:rsidRPr="00184560" w:rsidRDefault="004C17AE" w:rsidP="003C3A56">
      <w:pPr>
        <w:ind w:left="1276"/>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todos los casos estas condiciones deberán ser fehacientemente comprobables con alguno de los siguientes elementos:</w:t>
      </w:r>
    </w:p>
    <w:p w:rsidR="004C17AE" w:rsidRPr="00184560" w:rsidRDefault="004C17AE" w:rsidP="00A44E48">
      <w:pPr>
        <w:numPr>
          <w:ilvl w:val="0"/>
          <w:numId w:val="15"/>
        </w:numPr>
        <w:spacing w:after="120" w:line="360" w:lineRule="auto"/>
        <w:ind w:left="2268"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Planos municipales visados de las construcciones, </w:t>
      </w:r>
    </w:p>
    <w:p w:rsidR="004C17AE" w:rsidRPr="00184560" w:rsidRDefault="004C17AE" w:rsidP="00A44E48">
      <w:pPr>
        <w:numPr>
          <w:ilvl w:val="0"/>
          <w:numId w:val="15"/>
        </w:numPr>
        <w:spacing w:after="120" w:line="360" w:lineRule="auto"/>
        <w:ind w:left="2268"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Documentos catastrales obrantes en los registros públicos, como ser planos de mensura, declaraciones juradas, fichas de trasferencia, actualización de mejoras</w:t>
      </w:r>
    </w:p>
    <w:p w:rsidR="004C17AE" w:rsidRPr="00184560" w:rsidRDefault="004C17AE" w:rsidP="00A44E48">
      <w:pPr>
        <w:numPr>
          <w:ilvl w:val="0"/>
          <w:numId w:val="15"/>
        </w:numPr>
        <w:spacing w:after="120" w:line="360" w:lineRule="auto"/>
        <w:ind w:left="2268"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Fotografías del inmueble y su entorno siempre que pudiera ser comprobable la data de las mismas y fecharse anteriores a la sanción de la ordenanza que estableció el retiro en la zona de referencia.</w:t>
      </w:r>
    </w:p>
    <w:p w:rsidR="004C17AE" w:rsidRPr="00184560" w:rsidRDefault="004C17AE" w:rsidP="00A44E48">
      <w:pPr>
        <w:pStyle w:val="Prrafodelista"/>
        <w:numPr>
          <w:ilvl w:val="1"/>
          <w:numId w:val="18"/>
        </w:numPr>
        <w:spacing w:after="120" w:line="360" w:lineRule="auto"/>
        <w:ind w:left="1276" w:hanging="305"/>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Lotes pasantes con frentes a más de una calle: En estos casos se evaluará particularmente el criterio aplicable, siendo en referencia a los retiros obligatorios el correspondiente a la zona y de acuerdo a la superficie del lote, y en situación particular de los linderos por cada uno de los frentes.</w:t>
      </w:r>
    </w:p>
    <w:p w:rsidR="004C17AE" w:rsidRPr="00184560" w:rsidRDefault="004C17AE" w:rsidP="003C3A56">
      <w:pPr>
        <w:ind w:left="1276"/>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todos los casos particulares que se presenten, los elementos aportados por el o los interesados serán verificados y evaluados por la Dirección Obras Privadas de la Municipalidad de Colon, quedando a criterio y consideración de la misma su aceptación.</w:t>
      </w:r>
    </w:p>
    <w:p w:rsidR="004C17AE" w:rsidRPr="00184560" w:rsidRDefault="004C17AE" w:rsidP="003C3A56">
      <w:pPr>
        <w:ind w:left="1276"/>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Aprobada esta situación, exime la necesitad de cumplimentar con los índices de compensación, solamente para el caso particular y en el lado correspondiente de eximición de retiro.</w:t>
      </w:r>
    </w:p>
    <w:p w:rsidR="004C17AE" w:rsidRPr="00184560" w:rsidRDefault="004C17AE" w:rsidP="004C17AE">
      <w:pPr>
        <w:ind w:left="-5" w:right="69"/>
        <w:rPr>
          <w:rFonts w:ascii="Bookman Old Style" w:eastAsia="Times New Roman" w:hAnsi="Bookman Old Style" w:cs="Times New Roman"/>
          <w:b/>
          <w:bCs/>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lastRenderedPageBreak/>
        <w:t>Artículo 19°: Construcciones de Interés Patrimonial</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Toda aquella edificación dentro de la jurisdicción municipal y que pudiera ser datada anterior al año 1950, o aquellos de reconocido valor histórico o arquitectónico que haga necesario su preservación, mantendrán sus fachadas sin modificaciones con el objeto de conservar los rasgos que hacen que el edificio contribuya al carácter del área con su volumen sobre la línea de frente, en la parcela y su aspecto exterior. </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En forma especial mantendrán sus fachadas los edificios ubicados frente a plazas y paseos públicos o ubicados sobre calles y avenidas principales, de instituciones municipales, provinciales, nacionales y particulares, en funcionamiento o que hayan pertenecido a las mismas, como así también escuelas, bibliotecas, templos, etc.-</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Toda refacción o remodelación deberá ser expresamente autorizada por la Municipalidad previa presentación de la documentación correspondiente.</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Para casos de nuevas construcciones y estas superen la altura de fachada existente las mismas deberán a partir de esta y la línea de fachada separarse hacia atrás una distancia mínima de un metro (1,00m.) no pudiendo avanzar en este retiro con ningún objeto, balcón o voladizo.</w:t>
      </w:r>
    </w:p>
    <w:p w:rsidR="004C17AE" w:rsidRPr="00184560" w:rsidRDefault="004C17AE" w:rsidP="004C17AE">
      <w:pPr>
        <w:ind w:left="-5"/>
        <w:outlineLvl w:val="1"/>
        <w:rPr>
          <w:rFonts w:ascii="Bookman Old Style" w:eastAsia="Times New Roman" w:hAnsi="Bookman Old Style" w:cs="Times New Roman"/>
          <w:bCs/>
          <w:sz w:val="24"/>
          <w:szCs w:val="24"/>
          <w:lang w:eastAsia="es-AR"/>
        </w:rPr>
      </w:pPr>
    </w:p>
    <w:p w:rsidR="004C17AE" w:rsidRPr="00184560" w:rsidRDefault="004C17AE" w:rsidP="004C17AE">
      <w:pPr>
        <w:ind w:right="69" w:hanging="10"/>
        <w:rPr>
          <w:rFonts w:ascii="Times New Roman" w:eastAsia="Times New Roman" w:hAnsi="Times New Roman" w:cs="Times New Roman"/>
          <w:sz w:val="32"/>
          <w:szCs w:val="28"/>
          <w:lang w:eastAsia="es-AR"/>
        </w:rPr>
      </w:pPr>
      <w:r w:rsidRPr="00184560">
        <w:rPr>
          <w:rFonts w:ascii="Bookman Old Style" w:eastAsia="Times New Roman" w:hAnsi="Bookman Old Style" w:cs="Times New Roman"/>
          <w:b/>
          <w:bCs/>
          <w:sz w:val="32"/>
          <w:szCs w:val="28"/>
          <w:u w:val="single"/>
          <w:lang w:eastAsia="es-AR"/>
        </w:rPr>
        <w:t>CAPÍTULO II - DE LA ZONIFICACIÓN</w:t>
      </w:r>
      <w:r w:rsidRPr="00184560">
        <w:rPr>
          <w:rFonts w:ascii="Bookman Old Style" w:eastAsia="Times New Roman" w:hAnsi="Bookman Old Style" w:cs="Times New Roman"/>
          <w:sz w:val="32"/>
          <w:szCs w:val="28"/>
          <w:lang w:eastAsia="es-AR"/>
        </w:rPr>
        <w:t> </w:t>
      </w:r>
    </w:p>
    <w:p w:rsidR="004C17AE" w:rsidRDefault="004C17AE" w:rsidP="004C17AE">
      <w:pPr>
        <w:pBdr>
          <w:top w:val="none" w:sz="0" w:space="0" w:color="000000"/>
          <w:left w:val="none" w:sz="0" w:space="0" w:color="000000"/>
          <w:bottom w:val="none" w:sz="0" w:space="0" w:color="000000"/>
          <w:right w:val="none" w:sz="0" w:space="0" w:color="000000"/>
          <w:between w:val="none" w:sz="0" w:space="0" w:color="000000"/>
        </w:pBdr>
        <w:ind w:right="-6"/>
        <w:rPr>
          <w:rFonts w:ascii="Bookman Old Style" w:eastAsia="Times New Roman" w:hAnsi="Bookman Old Style" w:cs="Times New Roman"/>
          <w:b/>
          <w:bCs/>
          <w:sz w:val="24"/>
          <w:szCs w:val="24"/>
          <w:lang w:eastAsia="es-AR"/>
        </w:rPr>
      </w:pPr>
      <w:r w:rsidRPr="00184560">
        <w:rPr>
          <w:rFonts w:ascii="Bookman Old Style" w:eastAsia="Times New Roman" w:hAnsi="Bookman Old Style" w:cs="Times New Roman"/>
          <w:b/>
          <w:bCs/>
          <w:sz w:val="24"/>
          <w:szCs w:val="24"/>
          <w:lang w:eastAsia="es-AR"/>
        </w:rPr>
        <w:t xml:space="preserve">Artículo 20°: </w:t>
      </w:r>
      <w:r>
        <w:rPr>
          <w:rFonts w:ascii="Bookman Old Style" w:eastAsia="Times New Roman" w:hAnsi="Bookman Old Style" w:cs="Times New Roman"/>
          <w:b/>
          <w:bCs/>
          <w:sz w:val="24"/>
          <w:szCs w:val="24"/>
          <w:lang w:eastAsia="es-AR"/>
        </w:rPr>
        <w:t>Tipos de zonas y sectores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right="-6"/>
        <w:jc w:val="both"/>
        <w:rPr>
          <w:rFonts w:ascii="Bookman Old Style" w:hAnsi="Bookman Old Style"/>
          <w:sz w:val="24"/>
          <w:szCs w:val="24"/>
        </w:rPr>
      </w:pPr>
      <w:r w:rsidRPr="00184560">
        <w:rPr>
          <w:rFonts w:ascii="Bookman Old Style" w:hAnsi="Bookman Old Style"/>
          <w:sz w:val="24"/>
          <w:szCs w:val="24"/>
        </w:rPr>
        <w:t xml:space="preserve">La jurisdicción de la Municipalidad de Colón se divide territorialmente en dos grandes secciones denominadas “SECTOR URBANO Y PERIURBANO” y “SECTOR PRODUCTIVO”, tal como se grafica en el </w:t>
      </w:r>
      <w:r w:rsidRPr="00184560">
        <w:rPr>
          <w:rFonts w:ascii="Bookman Old Style" w:hAnsi="Bookman Old Style"/>
          <w:b/>
          <w:sz w:val="24"/>
          <w:szCs w:val="24"/>
        </w:rPr>
        <w:t>Anexo I.</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right="-6"/>
        <w:jc w:val="both"/>
        <w:rPr>
          <w:rFonts w:ascii="Bookman Old Style" w:hAnsi="Bookman Old Style"/>
          <w:sz w:val="24"/>
          <w:szCs w:val="24"/>
        </w:rPr>
      </w:pPr>
      <w:r w:rsidRPr="00184560">
        <w:rPr>
          <w:rFonts w:ascii="Bookman Old Style" w:hAnsi="Bookman Old Style"/>
          <w:sz w:val="24"/>
          <w:szCs w:val="24"/>
        </w:rPr>
        <w:t>Cada uno de los sectores es dividido a su vez en diferentes zonas, caracterizadas por los diferentes indicadores en el uso del suelo (factores de ocupación, retiros, fraccionamientos, etc.) y también ser diferentes las actividades permitidas y prohibidas en cada una de ellas.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right="-6"/>
        <w:jc w:val="both"/>
        <w:rPr>
          <w:rFonts w:ascii="Bookman Old Style" w:hAnsi="Bookman Old Style"/>
          <w:sz w:val="24"/>
          <w:szCs w:val="24"/>
        </w:rPr>
      </w:pPr>
      <w:r w:rsidRPr="00184560">
        <w:rPr>
          <w:rFonts w:ascii="Bookman Old Style" w:hAnsi="Bookman Old Style"/>
          <w:sz w:val="24"/>
          <w:szCs w:val="24"/>
        </w:rPr>
        <w:t xml:space="preserve">Si se propusiera el desarrollo de algún uso de suelo no autorizado para el área o zona en la que se pretende, deberá presentarse dicho proyecto al Departamento Ejecutivo Municipal, para ser evaluado por sus áreas </w:t>
      </w:r>
      <w:r w:rsidRPr="00184560">
        <w:rPr>
          <w:rFonts w:ascii="Bookman Old Style" w:hAnsi="Bookman Old Style"/>
          <w:sz w:val="24"/>
          <w:szCs w:val="24"/>
        </w:rPr>
        <w:lastRenderedPageBreak/>
        <w:t>técnicas correspondientes y teniendo analogía con los usos recomendados según la zonificación o demostrar la armoniosa convivencia.</w:t>
      </w:r>
      <w:bookmarkStart w:id="9" w:name="_heading=h.1hmsyys" w:colFirst="0" w:colLast="0"/>
      <w:bookmarkEnd w:id="9"/>
    </w:p>
    <w:p w:rsidR="003C3A56" w:rsidRDefault="003C3A56" w:rsidP="004C17AE">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sz w:val="28"/>
          <w:szCs w:val="28"/>
        </w:rPr>
      </w:pPr>
    </w:p>
    <w:p w:rsidR="004C17AE" w:rsidRPr="00184560" w:rsidRDefault="004C17AE" w:rsidP="004C17AE">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sz w:val="28"/>
          <w:szCs w:val="28"/>
        </w:rPr>
      </w:pPr>
      <w:r w:rsidRPr="00184560">
        <w:rPr>
          <w:rFonts w:ascii="Bookman Old Style" w:hAnsi="Bookman Old Style"/>
          <w:b/>
          <w:sz w:val="28"/>
          <w:szCs w:val="28"/>
        </w:rPr>
        <w:t>SECCIÓN I: SECTOR URBANO Y PERIURBANO</w:t>
      </w:r>
      <w:bookmarkStart w:id="10" w:name="_heading=h.41mghml" w:colFirst="0" w:colLast="0"/>
      <w:bookmarkEnd w:id="10"/>
    </w:p>
    <w:p w:rsidR="004C17AE" w:rsidRDefault="004C17AE" w:rsidP="004C17AE">
      <w:pPr>
        <w:pBdr>
          <w:top w:val="none" w:sz="0" w:space="0" w:color="000000"/>
          <w:left w:val="none" w:sz="0" w:space="0" w:color="000000"/>
          <w:bottom w:val="none" w:sz="0" w:space="0" w:color="000000"/>
          <w:right w:val="none" w:sz="0" w:space="0" w:color="000000"/>
          <w:between w:val="none" w:sz="0" w:space="0" w:color="000000"/>
        </w:pBdr>
        <w:ind w:right="-6"/>
        <w:rPr>
          <w:rFonts w:ascii="Bookman Old Style" w:hAnsi="Bookman Old Style"/>
          <w:b/>
          <w:sz w:val="24"/>
          <w:szCs w:val="24"/>
        </w:rPr>
      </w:pPr>
      <w:r w:rsidRPr="00184560">
        <w:rPr>
          <w:rFonts w:ascii="Bookman Old Style" w:hAnsi="Bookman Old Style"/>
          <w:b/>
          <w:sz w:val="24"/>
          <w:szCs w:val="28"/>
        </w:rPr>
        <w:t>Artículo 21°:</w:t>
      </w:r>
      <w:r w:rsidR="003C3A56">
        <w:rPr>
          <w:rFonts w:ascii="Bookman Old Style" w:hAnsi="Bookman Old Style"/>
          <w:b/>
          <w:sz w:val="24"/>
          <w:szCs w:val="28"/>
        </w:rPr>
        <w:t xml:space="preserve"> </w:t>
      </w:r>
      <w:r>
        <w:rPr>
          <w:rFonts w:ascii="Bookman Old Style" w:hAnsi="Bookman Old Style"/>
          <w:b/>
          <w:sz w:val="24"/>
          <w:szCs w:val="24"/>
        </w:rPr>
        <w:t>Límites, usos y subdivisiones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right="-6"/>
        <w:jc w:val="both"/>
        <w:rPr>
          <w:rFonts w:ascii="Bookman Old Style" w:hAnsi="Bookman Old Style"/>
          <w:sz w:val="24"/>
          <w:szCs w:val="24"/>
        </w:rPr>
      </w:pPr>
      <w:r w:rsidRPr="00184560">
        <w:rPr>
          <w:rFonts w:ascii="Bookman Old Style" w:hAnsi="Bookman Old Style"/>
          <w:sz w:val="24"/>
          <w:szCs w:val="24"/>
        </w:rPr>
        <w:t>Este territorio comprende el área ya urbanizada y su entorno inmediato.</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right="-6"/>
        <w:jc w:val="both"/>
        <w:rPr>
          <w:rFonts w:ascii="Bookman Old Style" w:hAnsi="Bookman Old Style"/>
          <w:sz w:val="24"/>
          <w:szCs w:val="24"/>
        </w:rPr>
      </w:pPr>
      <w:r w:rsidRPr="00184560">
        <w:rPr>
          <w:rFonts w:ascii="Bookman Old Style" w:hAnsi="Bookman Old Style"/>
          <w:sz w:val="24"/>
          <w:szCs w:val="24"/>
        </w:rPr>
        <w:t xml:space="preserve">A su vez, en este sector se diferencian tres zonas denominadas: “Centro”, “Núcleo Urbano” y “Periurbano”. Estas zonas están determinadas por los límites que surgen del </w:t>
      </w:r>
      <w:r w:rsidRPr="00184560">
        <w:rPr>
          <w:rFonts w:ascii="Bookman Old Style" w:hAnsi="Bookman Old Style"/>
          <w:b/>
          <w:sz w:val="24"/>
          <w:szCs w:val="24"/>
        </w:rPr>
        <w:t>Anexo II</w:t>
      </w:r>
      <w:r w:rsidRPr="00184560">
        <w:rPr>
          <w:rFonts w:ascii="Bookman Old Style" w:hAnsi="Bookman Old Style"/>
          <w:sz w:val="24"/>
          <w:szCs w:val="24"/>
        </w:rPr>
        <w:t>.</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right="-6"/>
        <w:jc w:val="both"/>
        <w:rPr>
          <w:rFonts w:ascii="Bookman Old Style" w:hAnsi="Bookman Old Style"/>
          <w:sz w:val="24"/>
          <w:szCs w:val="24"/>
        </w:rPr>
      </w:pPr>
      <w:r w:rsidRPr="00184560">
        <w:rPr>
          <w:rFonts w:ascii="Bookman Old Style" w:hAnsi="Bookman Old Style"/>
          <w:sz w:val="24"/>
          <w:szCs w:val="24"/>
        </w:rPr>
        <w:t>Para todo este sector, se establecen las siguientes categorías:</w:t>
      </w:r>
    </w:p>
    <w:p w:rsidR="004C17AE" w:rsidRPr="00184560" w:rsidRDefault="004C17AE" w:rsidP="00A44E48">
      <w:pPr>
        <w:pStyle w:val="Prrafodelista"/>
        <w:numPr>
          <w:ilvl w:val="0"/>
          <w:numId w:val="19"/>
        </w:numPr>
        <w:pBdr>
          <w:top w:val="none" w:sz="0" w:space="0" w:color="000000"/>
          <w:left w:val="none" w:sz="0" w:space="0" w:color="000000"/>
          <w:bottom w:val="none" w:sz="0" w:space="0" w:color="000000"/>
          <w:right w:val="none" w:sz="0" w:space="0" w:color="000000"/>
          <w:between w:val="none" w:sz="0" w:space="0" w:color="000000"/>
        </w:pBdr>
        <w:spacing w:after="120" w:line="360" w:lineRule="auto"/>
        <w:ind w:left="709" w:right="-6" w:hanging="283"/>
        <w:jc w:val="both"/>
        <w:rPr>
          <w:rFonts w:ascii="Bookman Old Style" w:hAnsi="Bookman Old Style"/>
          <w:sz w:val="24"/>
          <w:szCs w:val="24"/>
        </w:rPr>
      </w:pPr>
      <w:r w:rsidRPr="00184560">
        <w:rPr>
          <w:rFonts w:ascii="Bookman Old Style" w:hAnsi="Bookman Old Style"/>
          <w:sz w:val="24"/>
          <w:szCs w:val="24"/>
        </w:rPr>
        <w:t>Categorías de edificaciones: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left="720" w:right="-3"/>
        <w:jc w:val="both"/>
        <w:rPr>
          <w:rFonts w:ascii="Bookman Old Style" w:hAnsi="Bookman Old Style"/>
          <w:sz w:val="24"/>
          <w:szCs w:val="24"/>
        </w:rPr>
      </w:pPr>
      <w:r w:rsidRPr="00184560">
        <w:rPr>
          <w:rFonts w:ascii="Bookman Old Style" w:hAnsi="Bookman Old Style"/>
          <w:sz w:val="24"/>
          <w:szCs w:val="24"/>
        </w:rPr>
        <w:t>Edificación A): Corresponde a uso residencial, a las viviendas individuales de uso residencial o turístico.</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left="720" w:right="-3"/>
        <w:jc w:val="both"/>
        <w:rPr>
          <w:rFonts w:ascii="Bookman Old Style" w:hAnsi="Bookman Old Style"/>
          <w:sz w:val="24"/>
          <w:szCs w:val="24"/>
        </w:rPr>
      </w:pPr>
      <w:r w:rsidRPr="00184560">
        <w:rPr>
          <w:rFonts w:ascii="Bookman Old Style" w:hAnsi="Bookman Old Style"/>
          <w:sz w:val="24"/>
          <w:szCs w:val="24"/>
        </w:rPr>
        <w:t>Edificación</w:t>
      </w:r>
      <w:r w:rsidR="003C3A56">
        <w:rPr>
          <w:rFonts w:ascii="Bookman Old Style" w:hAnsi="Bookman Old Style"/>
          <w:sz w:val="24"/>
          <w:szCs w:val="24"/>
        </w:rPr>
        <w:t xml:space="preserve"> </w:t>
      </w:r>
      <w:r w:rsidRPr="00184560">
        <w:rPr>
          <w:rFonts w:ascii="Bookman Old Style" w:hAnsi="Bookman Old Style"/>
          <w:sz w:val="24"/>
          <w:szCs w:val="24"/>
        </w:rPr>
        <w:t>B): Corresponde a uso residencial, viviendas multifamiliares, agrupadas, colectivas; vivienda transitoria, a la Hotelería y demás alojamientos; establecimientos afectados a uso Sanitario, Educación y Enseñanza, y Religioso.</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ind w:left="720" w:right="-3"/>
        <w:jc w:val="both"/>
        <w:rPr>
          <w:rFonts w:ascii="Bookman Old Style" w:hAnsi="Bookman Old Style"/>
          <w:sz w:val="24"/>
          <w:szCs w:val="24"/>
        </w:rPr>
      </w:pPr>
      <w:r w:rsidRPr="00184560">
        <w:rPr>
          <w:rFonts w:ascii="Bookman Old Style" w:hAnsi="Bookman Old Style"/>
          <w:sz w:val="24"/>
          <w:szCs w:val="24"/>
        </w:rPr>
        <w:t>Edificación C): Corresponde a los establecimientos de exclusivo uso comercial, administrativo y/o deportivo, cultural.</w:t>
      </w:r>
    </w:p>
    <w:p w:rsidR="004C17AE" w:rsidRPr="00184560" w:rsidRDefault="004C17AE" w:rsidP="00A44E48">
      <w:pPr>
        <w:pStyle w:val="Prrafodelista"/>
        <w:numPr>
          <w:ilvl w:val="1"/>
          <w:numId w:val="20"/>
        </w:numPr>
        <w:pBdr>
          <w:top w:val="none" w:sz="0" w:space="0" w:color="000000"/>
          <w:left w:val="none" w:sz="0" w:space="0" w:color="000000"/>
          <w:bottom w:val="none" w:sz="0" w:space="0" w:color="000000"/>
          <w:right w:val="none" w:sz="0" w:space="0" w:color="000000"/>
          <w:between w:val="none" w:sz="0" w:space="0" w:color="000000"/>
        </w:pBdr>
        <w:spacing w:after="120" w:line="360" w:lineRule="auto"/>
        <w:ind w:left="709" w:hanging="283"/>
        <w:jc w:val="both"/>
        <w:rPr>
          <w:rFonts w:ascii="Bookman Old Style" w:hAnsi="Bookman Old Style"/>
          <w:sz w:val="24"/>
          <w:szCs w:val="24"/>
        </w:rPr>
      </w:pPr>
      <w:r w:rsidRPr="00184560">
        <w:rPr>
          <w:rFonts w:ascii="Bookman Old Style" w:hAnsi="Bookman Old Style"/>
          <w:sz w:val="24"/>
          <w:szCs w:val="24"/>
        </w:rPr>
        <w:t>Categorías de Loteos:</w:t>
      </w:r>
    </w:p>
    <w:p w:rsidR="004C17AE" w:rsidRPr="00184560" w:rsidRDefault="004C17AE" w:rsidP="004C17AE">
      <w:pPr>
        <w:pBdr>
          <w:top w:val="none" w:sz="0" w:space="0" w:color="000000"/>
          <w:left w:val="none" w:sz="0" w:space="0" w:color="000000"/>
          <w:bottom w:val="none" w:sz="0" w:space="0" w:color="000000"/>
          <w:right w:val="none" w:sz="0" w:space="0" w:color="000000"/>
          <w:between w:val="none" w:sz="0" w:space="0" w:color="000000"/>
        </w:pBdr>
        <w:ind w:left="720"/>
        <w:rPr>
          <w:rFonts w:ascii="Bookman Old Style" w:hAnsi="Bookman Old Style"/>
          <w:sz w:val="24"/>
          <w:szCs w:val="24"/>
        </w:rPr>
      </w:pPr>
      <w:r w:rsidRPr="00184560">
        <w:rPr>
          <w:rFonts w:ascii="Bookman Old Style" w:hAnsi="Bookman Old Style"/>
          <w:sz w:val="24"/>
          <w:szCs w:val="24"/>
        </w:rPr>
        <w:t>Lotes A): Corresponden a lotes de una superficie igual o mayor a los seiscientos metros cuadrados (600,00 m2).</w:t>
      </w:r>
    </w:p>
    <w:p w:rsidR="004C17AE" w:rsidRPr="00184560" w:rsidRDefault="004C17AE" w:rsidP="004C17AE">
      <w:pPr>
        <w:pBdr>
          <w:top w:val="none" w:sz="0" w:space="0" w:color="000000"/>
          <w:left w:val="none" w:sz="0" w:space="0" w:color="000000"/>
          <w:bottom w:val="none" w:sz="0" w:space="0" w:color="000000"/>
          <w:right w:val="none" w:sz="0" w:space="0" w:color="000000"/>
          <w:between w:val="none" w:sz="0" w:space="0" w:color="000000"/>
        </w:pBdr>
        <w:ind w:left="720"/>
        <w:rPr>
          <w:rFonts w:ascii="Bookman Old Style" w:hAnsi="Bookman Old Style"/>
          <w:sz w:val="24"/>
          <w:szCs w:val="24"/>
          <w:highlight w:val="red"/>
        </w:rPr>
      </w:pPr>
      <w:r w:rsidRPr="00184560">
        <w:rPr>
          <w:rFonts w:ascii="Bookman Old Style" w:hAnsi="Bookman Old Style"/>
          <w:sz w:val="24"/>
          <w:szCs w:val="24"/>
        </w:rPr>
        <w:t>Lotes B): Corresponden a lotes de una superficie igual o mayor a los mil doscientos metros cuadrados (1200,00 m2).</w:t>
      </w:r>
      <w:bookmarkStart w:id="11" w:name="_heading=h.516xwl5ke9nj" w:colFirst="0" w:colLast="0"/>
      <w:bookmarkEnd w:id="11"/>
    </w:p>
    <w:p w:rsidR="004C17AE" w:rsidRPr="00184560" w:rsidRDefault="004C17AE" w:rsidP="004C17AE">
      <w:pPr>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sz w:val="24"/>
          <w:szCs w:val="24"/>
        </w:rPr>
      </w:pPr>
      <w:bookmarkStart w:id="12" w:name="_heading=h.2grqrue" w:colFirst="0" w:colLast="0"/>
      <w:bookmarkEnd w:id="12"/>
    </w:p>
    <w:p w:rsidR="004C17AE" w:rsidRPr="00184560" w:rsidRDefault="004C17AE" w:rsidP="004C17AE">
      <w:pPr>
        <w:keepNext/>
        <w:keepLines/>
        <w:widowControl w:val="0"/>
        <w:pBdr>
          <w:top w:val="none" w:sz="0" w:space="0" w:color="000000"/>
          <w:left w:val="none" w:sz="0" w:space="0" w:color="000000"/>
          <w:bottom w:val="none" w:sz="0" w:space="0" w:color="000000"/>
          <w:right w:val="none" w:sz="0" w:space="0" w:color="000000"/>
          <w:between w:val="none" w:sz="0" w:space="0" w:color="000000"/>
        </w:pBdr>
        <w:rPr>
          <w:rFonts w:ascii="Bookman Old Style" w:hAnsi="Bookman Old Style"/>
          <w:b/>
          <w:sz w:val="24"/>
          <w:szCs w:val="24"/>
        </w:rPr>
      </w:pPr>
      <w:r w:rsidRPr="00184560">
        <w:rPr>
          <w:rFonts w:ascii="Bookman Old Style" w:hAnsi="Bookman Old Style"/>
          <w:b/>
          <w:sz w:val="24"/>
          <w:szCs w:val="24"/>
        </w:rPr>
        <w:t>Artículo 22°: La Zona Centro</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 xml:space="preserve">Es el territorio donde se concentran las actividades urbanas. Allí se encuentran las áreas estructuradas de la ciudad, con prestación de servicios públicos, equipamiento urbano e infraestructura. En esta zona </w:t>
      </w:r>
      <w:r w:rsidRPr="00184560">
        <w:rPr>
          <w:rFonts w:ascii="Bookman Old Style" w:hAnsi="Bookman Old Style"/>
          <w:sz w:val="24"/>
          <w:szCs w:val="24"/>
        </w:rPr>
        <w:lastRenderedPageBreak/>
        <w:t>se admitirán usos intensivos residenciales, comerciales, turísticos, recreativos y de servicios. Además de los culturales, religiosos y de salud de pequeña y mediana escala. Se priorizarán los usos comerciales a escala minorista.</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Está determinada por los siguientes límites: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 xml:space="preserve">-NORTE: Calle Bolívar desde intersección con Calle Alejo </w:t>
      </w:r>
      <w:proofErr w:type="spellStart"/>
      <w:r w:rsidRPr="00184560">
        <w:rPr>
          <w:rFonts w:ascii="Bookman Old Style" w:hAnsi="Bookman Old Style"/>
          <w:sz w:val="24"/>
          <w:szCs w:val="24"/>
        </w:rPr>
        <w:t>Peyret</w:t>
      </w:r>
      <w:proofErr w:type="spellEnd"/>
      <w:r w:rsidRPr="00184560">
        <w:rPr>
          <w:rFonts w:ascii="Bookman Old Style" w:hAnsi="Bookman Old Style"/>
          <w:sz w:val="24"/>
          <w:szCs w:val="24"/>
        </w:rPr>
        <w:t xml:space="preserve"> hasta General Paz. Por Calle Gral. Paz hasta Paysandú, Calle Paysandú, hasta Alvear. Esto se aplica en ambos frentes de calle.</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 xml:space="preserve">-OESTE: Calle Alvear, hasta Bolívar. Bolívar hasta </w:t>
      </w:r>
      <w:proofErr w:type="spellStart"/>
      <w:r w:rsidRPr="00184560">
        <w:rPr>
          <w:rFonts w:ascii="Bookman Old Style" w:hAnsi="Bookman Old Style"/>
          <w:sz w:val="24"/>
          <w:szCs w:val="24"/>
        </w:rPr>
        <w:t>Bvard</w:t>
      </w:r>
      <w:proofErr w:type="spellEnd"/>
      <w:r w:rsidRPr="00184560">
        <w:rPr>
          <w:rFonts w:ascii="Bookman Old Style" w:hAnsi="Bookman Old Style"/>
          <w:sz w:val="24"/>
          <w:szCs w:val="24"/>
        </w:rPr>
        <w:t>. Sanguinetti en ambos frentes.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 xml:space="preserve">-SUR: </w:t>
      </w:r>
      <w:proofErr w:type="spellStart"/>
      <w:r w:rsidRPr="00184560">
        <w:rPr>
          <w:rFonts w:ascii="Bookman Old Style" w:hAnsi="Bookman Old Style"/>
          <w:sz w:val="24"/>
          <w:szCs w:val="24"/>
        </w:rPr>
        <w:t>Bvard</w:t>
      </w:r>
      <w:proofErr w:type="spellEnd"/>
      <w:r w:rsidRPr="00184560">
        <w:rPr>
          <w:rFonts w:ascii="Bookman Old Style" w:hAnsi="Bookman Old Style"/>
          <w:sz w:val="24"/>
          <w:szCs w:val="24"/>
        </w:rPr>
        <w:t xml:space="preserve">. Sanguinetti/ </w:t>
      </w:r>
      <w:proofErr w:type="spellStart"/>
      <w:r w:rsidRPr="00184560">
        <w:rPr>
          <w:rFonts w:ascii="Bookman Old Style" w:hAnsi="Bookman Old Style"/>
          <w:sz w:val="24"/>
          <w:szCs w:val="24"/>
        </w:rPr>
        <w:t>Lucilo</w:t>
      </w:r>
      <w:proofErr w:type="spellEnd"/>
      <w:r w:rsidRPr="00184560">
        <w:rPr>
          <w:rFonts w:ascii="Bookman Old Style" w:hAnsi="Bookman Old Style"/>
          <w:sz w:val="24"/>
          <w:szCs w:val="24"/>
        </w:rPr>
        <w:t xml:space="preserve"> González hasta intersección con calle </w:t>
      </w:r>
      <w:proofErr w:type="spellStart"/>
      <w:r w:rsidRPr="00184560">
        <w:rPr>
          <w:rFonts w:ascii="Bookman Old Style" w:hAnsi="Bookman Old Style"/>
          <w:sz w:val="24"/>
          <w:szCs w:val="24"/>
        </w:rPr>
        <w:t>Noailles</w:t>
      </w:r>
      <w:proofErr w:type="spellEnd"/>
      <w:r w:rsidRPr="00184560">
        <w:rPr>
          <w:rFonts w:ascii="Bookman Old Style" w:hAnsi="Bookman Old Style"/>
          <w:sz w:val="24"/>
          <w:szCs w:val="24"/>
        </w:rPr>
        <w:t xml:space="preserve">, Calle </w:t>
      </w:r>
      <w:proofErr w:type="spellStart"/>
      <w:r w:rsidRPr="00184560">
        <w:rPr>
          <w:rFonts w:ascii="Bookman Old Style" w:hAnsi="Bookman Old Style"/>
          <w:sz w:val="24"/>
          <w:szCs w:val="24"/>
        </w:rPr>
        <w:t>Noailles</w:t>
      </w:r>
      <w:proofErr w:type="spellEnd"/>
      <w:r w:rsidRPr="00184560">
        <w:rPr>
          <w:rFonts w:ascii="Bookman Old Style" w:hAnsi="Bookman Old Style"/>
          <w:sz w:val="24"/>
          <w:szCs w:val="24"/>
        </w:rPr>
        <w:t xml:space="preserve"> hasta intersección con Calle Brown en ambos frentes.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 xml:space="preserve">-ESTE: Calle Brown/Calle </w:t>
      </w:r>
      <w:proofErr w:type="spellStart"/>
      <w:r w:rsidRPr="00184560">
        <w:rPr>
          <w:rFonts w:ascii="Bookman Old Style" w:hAnsi="Bookman Old Style"/>
          <w:sz w:val="24"/>
          <w:szCs w:val="24"/>
        </w:rPr>
        <w:t>Peyret</w:t>
      </w:r>
      <w:proofErr w:type="spellEnd"/>
      <w:r w:rsidRPr="00184560">
        <w:rPr>
          <w:rFonts w:ascii="Bookman Old Style" w:hAnsi="Bookman Old Style"/>
          <w:sz w:val="24"/>
          <w:szCs w:val="24"/>
        </w:rPr>
        <w:t xml:space="preserve"> hasta intersección con Calle Bolívar en ambos frentes.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Estos límites establecen los indicadores para el uso del suelo en ambos frentes de calle.</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Podrán efectuarse subdivisiones de no menos de ciento sesenta metros cuadrados (160,00 m2) de superficie y con un frente mínimo de ocho metros (8,00 m) sobre línea municipal. No se permitirá la apertura de calles. No se exige retiro desde la línea municipal ni líneas medianeras.</w:t>
      </w:r>
    </w:p>
    <w:p w:rsidR="004C17AE" w:rsidRPr="00184560" w:rsidRDefault="004C17AE" w:rsidP="003C3A56">
      <w:pPr>
        <w:pBdr>
          <w:top w:val="none" w:sz="0" w:space="0" w:color="000000"/>
          <w:left w:val="none" w:sz="0" w:space="0" w:color="000000"/>
          <w:bottom w:val="none" w:sz="0" w:space="0" w:color="000000"/>
          <w:right w:val="none" w:sz="0" w:space="0" w:color="000000"/>
          <w:between w:val="none" w:sz="0" w:space="0" w:color="000000"/>
        </w:pBdr>
        <w:jc w:val="both"/>
        <w:rPr>
          <w:rFonts w:ascii="Bookman Old Style" w:hAnsi="Bookman Old Style"/>
          <w:sz w:val="24"/>
          <w:szCs w:val="24"/>
        </w:rPr>
      </w:pPr>
      <w:r w:rsidRPr="00184560">
        <w:rPr>
          <w:rFonts w:ascii="Bookman Old Style" w:hAnsi="Bookman Old Style"/>
          <w:sz w:val="24"/>
          <w:szCs w:val="24"/>
        </w:rPr>
        <w:t xml:space="preserve">Los restantes indicadores están detallados en el </w:t>
      </w:r>
      <w:r w:rsidRPr="00184560">
        <w:rPr>
          <w:rFonts w:ascii="Bookman Old Style" w:hAnsi="Bookman Old Style"/>
          <w:b/>
          <w:sz w:val="24"/>
          <w:szCs w:val="24"/>
        </w:rPr>
        <w:t>Anexo V</w:t>
      </w:r>
      <w:r w:rsidRPr="00184560">
        <w:rPr>
          <w:rFonts w:ascii="Bookman Old Style" w:hAnsi="Bookman Old Style"/>
          <w:sz w:val="24"/>
          <w:szCs w:val="24"/>
        </w:rPr>
        <w:t>.</w:t>
      </w:r>
    </w:p>
    <w:p w:rsidR="004C17AE" w:rsidRPr="00184560" w:rsidRDefault="004C17AE" w:rsidP="003C3A56">
      <w:pPr>
        <w:ind w:left="-5"/>
        <w:jc w:val="both"/>
        <w:outlineLvl w:val="1"/>
        <w:rPr>
          <w:rFonts w:ascii="Bookman Old Style" w:eastAsia="Times New Roman" w:hAnsi="Bookman Old Style" w:cs="Times New Roman"/>
          <w:b/>
          <w:bCs/>
          <w:sz w:val="24"/>
          <w:szCs w:val="24"/>
          <w:lang w:eastAsia="es-AR"/>
        </w:rPr>
      </w:pPr>
    </w:p>
    <w:p w:rsidR="004C17AE" w:rsidRPr="00184560" w:rsidRDefault="004C17AE" w:rsidP="004C17AE">
      <w:pPr>
        <w:ind w:left="-5"/>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
          <w:bCs/>
          <w:sz w:val="24"/>
          <w:szCs w:val="24"/>
          <w:lang w:eastAsia="es-AR"/>
        </w:rPr>
        <w:t>Artículo 23°: Núcleo Urbano</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Es la zona urbanizada que resulta de la expansión espontánea de la Planta Urbana original. Requiere el completamiento de infraestructura   y de la prestación de servicios.</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Se admitirán usos residenciales, comerciales, turísticos, recreativos, de servicios, culturales, religiosos y de salud de pequeña y mediana escala.</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Se encuentra prohibida la instalación en este sector de actividades cuya priorización se promueve en el “Sector Productivo” y de aquellas que produzcan ruidos, humos, olores y/o residuos de volumen </w:t>
      </w:r>
      <w:r w:rsidRPr="00184560">
        <w:rPr>
          <w:rFonts w:ascii="Bookman Old Style" w:eastAsia="Times New Roman" w:hAnsi="Bookman Old Style" w:cs="Times New Roman"/>
          <w:bCs/>
          <w:sz w:val="24"/>
          <w:szCs w:val="24"/>
          <w:lang w:eastAsia="es-AR"/>
        </w:rPr>
        <w:lastRenderedPageBreak/>
        <w:t xml:space="preserve">considerables o contaminantes que resulten incompatibles con los usos recomendados. </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Todos estos usos se ajustarán a las regulaciones y reglamentaciones de las Ordenanzas específicas que sean aplicables a cada uno.</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Está determinado por los siguientes límites:</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-NORTE: Calle Batalla de Cepeda, desde Alejo </w:t>
      </w:r>
      <w:proofErr w:type="spellStart"/>
      <w:r w:rsidRPr="00184560">
        <w:rPr>
          <w:rFonts w:ascii="Bookman Old Style" w:eastAsia="Times New Roman" w:hAnsi="Bookman Old Style" w:cs="Times New Roman"/>
          <w:bCs/>
          <w:sz w:val="24"/>
          <w:szCs w:val="24"/>
          <w:lang w:eastAsia="es-AR"/>
        </w:rPr>
        <w:t>Peyret</w:t>
      </w:r>
      <w:proofErr w:type="spellEnd"/>
      <w:r w:rsidRPr="00184560">
        <w:rPr>
          <w:rFonts w:ascii="Bookman Old Style" w:eastAsia="Times New Roman" w:hAnsi="Bookman Old Style" w:cs="Times New Roman"/>
          <w:bCs/>
          <w:sz w:val="24"/>
          <w:szCs w:val="24"/>
          <w:lang w:eastAsia="es-AR"/>
        </w:rPr>
        <w:t xml:space="preserve"> hasta intersección con Pasaje 2 de Noviembre hasta intersección Calle </w:t>
      </w:r>
      <w:proofErr w:type="spellStart"/>
      <w:r w:rsidRPr="00184560">
        <w:rPr>
          <w:rFonts w:ascii="Bookman Old Style" w:eastAsia="Times New Roman" w:hAnsi="Bookman Old Style" w:cs="Times New Roman"/>
          <w:bCs/>
          <w:sz w:val="24"/>
          <w:szCs w:val="24"/>
          <w:lang w:eastAsia="es-AR"/>
        </w:rPr>
        <w:t>Sabatier</w:t>
      </w:r>
      <w:proofErr w:type="spellEnd"/>
      <w:r w:rsidRPr="00184560">
        <w:rPr>
          <w:rFonts w:ascii="Bookman Old Style" w:eastAsia="Times New Roman" w:hAnsi="Bookman Old Style" w:cs="Times New Roman"/>
          <w:bCs/>
          <w:sz w:val="24"/>
          <w:szCs w:val="24"/>
          <w:lang w:eastAsia="es-AR"/>
        </w:rPr>
        <w:t xml:space="preserve">, Calle </w:t>
      </w:r>
      <w:proofErr w:type="spellStart"/>
      <w:r w:rsidRPr="00184560">
        <w:rPr>
          <w:rFonts w:ascii="Bookman Old Style" w:eastAsia="Times New Roman" w:hAnsi="Bookman Old Style" w:cs="Times New Roman"/>
          <w:bCs/>
          <w:sz w:val="24"/>
          <w:szCs w:val="24"/>
          <w:lang w:eastAsia="es-AR"/>
        </w:rPr>
        <w:t>Sabatier</w:t>
      </w:r>
      <w:proofErr w:type="spellEnd"/>
      <w:r w:rsidRPr="00184560">
        <w:rPr>
          <w:rFonts w:ascii="Bookman Old Style" w:eastAsia="Times New Roman" w:hAnsi="Bookman Old Style" w:cs="Times New Roman"/>
          <w:bCs/>
          <w:sz w:val="24"/>
          <w:szCs w:val="24"/>
          <w:lang w:eastAsia="es-AR"/>
        </w:rPr>
        <w:t xml:space="preserve">, hasta intersección con Arroyo </w:t>
      </w:r>
      <w:proofErr w:type="spellStart"/>
      <w:r w:rsidRPr="00184560">
        <w:rPr>
          <w:rFonts w:ascii="Bookman Old Style" w:eastAsia="Times New Roman" w:hAnsi="Bookman Old Style" w:cs="Times New Roman"/>
          <w:bCs/>
          <w:sz w:val="24"/>
          <w:szCs w:val="24"/>
          <w:lang w:eastAsia="es-AR"/>
        </w:rPr>
        <w:t>Artalaz</w:t>
      </w:r>
      <w:proofErr w:type="spellEnd"/>
      <w:r w:rsidRPr="00184560">
        <w:rPr>
          <w:rFonts w:ascii="Bookman Old Style" w:eastAsia="Times New Roman" w:hAnsi="Bookman Old Style" w:cs="Times New Roman"/>
          <w:bCs/>
          <w:sz w:val="24"/>
          <w:szCs w:val="24"/>
          <w:lang w:eastAsia="es-AR"/>
        </w:rPr>
        <w:t xml:space="preserve">, Arroyo </w:t>
      </w:r>
      <w:proofErr w:type="spellStart"/>
      <w:r w:rsidRPr="00184560">
        <w:rPr>
          <w:rFonts w:ascii="Bookman Old Style" w:eastAsia="Times New Roman" w:hAnsi="Bookman Old Style" w:cs="Times New Roman"/>
          <w:bCs/>
          <w:sz w:val="24"/>
          <w:szCs w:val="24"/>
          <w:lang w:eastAsia="es-AR"/>
        </w:rPr>
        <w:t>Artalaz</w:t>
      </w:r>
      <w:proofErr w:type="spellEnd"/>
      <w:r w:rsidRPr="00184560">
        <w:rPr>
          <w:rFonts w:ascii="Bookman Old Style" w:eastAsia="Times New Roman" w:hAnsi="Bookman Old Style" w:cs="Times New Roman"/>
          <w:bCs/>
          <w:sz w:val="24"/>
          <w:szCs w:val="24"/>
          <w:lang w:eastAsia="es-AR"/>
        </w:rPr>
        <w:t xml:space="preserve"> hasta intersección con proyección de Calle Cabo Pereyra.</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-OESTE: Cabo Pereyra hasta Calle 1400, Calle 1400 hasta Calle 2101, Calle 2101 hasta Ruta 135, Ruta 135 hasta Calle López Jordán; Calle López Jordán, hasta Intersección con Arroyo de la Leche.</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-SUR: Arroyo de la Leche hasta Calle 2111, Calle 2111 hasta calle Privada 8200 (Límite Sur de Club Campo Los Bretes), Calle Privada 8200 (Límite Sur Club de Campo Los Bretes) hasta límite de zona de amortiguación ambiental; límite de zona de amortiguación ambiental hasta intersección con arroyo de la leche, Arroyo de la Leche hasta río Uruguay.</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-ESTE: Río Uruguay.</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Podrán efectuarse fraccionamientos y/o subdivisiones de no menos de trescientos metros cuadrados (300,00 m2) de superficie y con un frente mínimo de diez metros (10,00 m)    sobre línea municipal. Los restantes indicadores están detallados en el </w:t>
      </w:r>
      <w:r w:rsidRPr="00184560">
        <w:rPr>
          <w:rFonts w:ascii="Bookman Old Style" w:eastAsia="Times New Roman" w:hAnsi="Bookman Old Style" w:cs="Times New Roman"/>
          <w:b/>
          <w:bCs/>
          <w:sz w:val="24"/>
          <w:szCs w:val="24"/>
          <w:lang w:eastAsia="es-AR"/>
        </w:rPr>
        <w:t>Anexo V</w:t>
      </w:r>
      <w:r w:rsidRPr="00184560">
        <w:rPr>
          <w:rFonts w:ascii="Bookman Old Style" w:eastAsia="Times New Roman" w:hAnsi="Bookman Old Style" w:cs="Times New Roman"/>
          <w:bCs/>
          <w:sz w:val="24"/>
          <w:szCs w:val="24"/>
          <w:lang w:eastAsia="es-AR"/>
        </w:rPr>
        <w:t>.</w:t>
      </w:r>
    </w:p>
    <w:p w:rsidR="004C17AE" w:rsidRPr="00184560" w:rsidRDefault="004C17AE" w:rsidP="004C17AE">
      <w:pPr>
        <w:ind w:left="-5"/>
        <w:outlineLvl w:val="1"/>
        <w:rPr>
          <w:rFonts w:ascii="Bookman Old Style" w:eastAsia="Times New Roman" w:hAnsi="Bookman Old Style" w:cs="Times New Roman"/>
          <w:bCs/>
          <w:sz w:val="24"/>
          <w:szCs w:val="24"/>
          <w:lang w:eastAsia="es-AR"/>
        </w:rPr>
      </w:pPr>
      <w:bookmarkStart w:id="13" w:name="_heading=h.3fwokq0" w:colFirst="0" w:colLast="0"/>
      <w:bookmarkEnd w:id="13"/>
    </w:p>
    <w:p w:rsidR="004C17AE" w:rsidRPr="00184560" w:rsidRDefault="004C17AE" w:rsidP="004C17AE">
      <w:pPr>
        <w:outlineLvl w:val="1"/>
        <w:rPr>
          <w:rFonts w:ascii="Bookman Old Style" w:eastAsia="Times New Roman" w:hAnsi="Bookman Old Style" w:cs="Times New Roman"/>
          <w:b/>
          <w:bCs/>
          <w:sz w:val="24"/>
          <w:szCs w:val="24"/>
          <w:lang w:eastAsia="es-AR"/>
        </w:rPr>
      </w:pPr>
      <w:r w:rsidRPr="00184560">
        <w:rPr>
          <w:rFonts w:ascii="Bookman Old Style" w:eastAsia="Times New Roman" w:hAnsi="Bookman Old Style" w:cs="Times New Roman"/>
          <w:b/>
          <w:bCs/>
          <w:sz w:val="24"/>
          <w:szCs w:val="24"/>
          <w:lang w:eastAsia="es-AR"/>
        </w:rPr>
        <w:t>Artículo 24°: La Zona Periurbana</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Es la zona de transición donde se desarrollan actividades propias tanto de territorios rurales como urbanos, esta mixtura determina la necesidad de prevenir conflictos y propender a la armonización de las diferentes actividades que en él se desarrollan.</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Esta zona es el territorio hacia donde se está planteando el crecimiento de la Ciudad de Colón.</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Se recomiendan los usos residenciales de vivienda propia y turísticos, recreativos, comerciales y de servicios de mayor escala, que supongan </w:t>
      </w:r>
      <w:r w:rsidRPr="00184560">
        <w:rPr>
          <w:rFonts w:ascii="Bookman Old Style" w:eastAsia="Times New Roman" w:hAnsi="Bookman Old Style" w:cs="Times New Roman"/>
          <w:bCs/>
          <w:sz w:val="24"/>
          <w:szCs w:val="24"/>
          <w:lang w:eastAsia="es-AR"/>
        </w:rPr>
        <w:lastRenderedPageBreak/>
        <w:t>circulación intensa de personas o vehículos. Así como culturales, deportivos, religiosos y de salud que requieran uso extensivo del suelo.</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Las actividades primarias preexistentes u otras cuyo uso no sea compatible con los descritos en este artículo, mantendrán su habilitación, pero deberán presentar, en un plazo de 36 meses a partir de la puesta en vigencia de la presente norma, un plan de mitigación de ruidos, olores, efluentes, etc. que de ellos emanan. Los mismos deberán ser aprobados por la autoridad municipal competente.</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Está determinada por los siguientes límites:</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-NORTE: Calle Primeros Colonos hasta intersección con Calle Pública 2001.</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-OESTE: Calle 2001 hasta Calle 1730.</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-SUR: Calle 1730 hasta Calle 2057, Calle 2057 hasta Calle 1726, Calle 1726 hasta Calle </w:t>
      </w:r>
      <w:proofErr w:type="spellStart"/>
      <w:r w:rsidRPr="00184560">
        <w:rPr>
          <w:rFonts w:ascii="Bookman Old Style" w:eastAsia="Times New Roman" w:hAnsi="Bookman Old Style" w:cs="Times New Roman"/>
          <w:bCs/>
          <w:sz w:val="24"/>
          <w:szCs w:val="24"/>
          <w:lang w:eastAsia="es-AR"/>
        </w:rPr>
        <w:t>Seraphin</w:t>
      </w:r>
      <w:proofErr w:type="spellEnd"/>
      <w:r w:rsidRPr="00184560">
        <w:rPr>
          <w:rFonts w:ascii="Bookman Old Style" w:eastAsia="Times New Roman" w:hAnsi="Bookman Old Style" w:cs="Times New Roman"/>
          <w:bCs/>
          <w:sz w:val="24"/>
          <w:szCs w:val="24"/>
          <w:lang w:eastAsia="es-AR"/>
        </w:rPr>
        <w:t xml:space="preserve"> </w:t>
      </w:r>
      <w:proofErr w:type="spellStart"/>
      <w:r w:rsidRPr="00184560">
        <w:rPr>
          <w:rFonts w:ascii="Bookman Old Style" w:eastAsia="Times New Roman" w:hAnsi="Bookman Old Style" w:cs="Times New Roman"/>
          <w:bCs/>
          <w:sz w:val="24"/>
          <w:szCs w:val="24"/>
          <w:lang w:eastAsia="es-AR"/>
        </w:rPr>
        <w:t>Degeneve</w:t>
      </w:r>
      <w:proofErr w:type="spellEnd"/>
      <w:r w:rsidRPr="00184560">
        <w:rPr>
          <w:rFonts w:ascii="Bookman Old Style" w:eastAsia="Times New Roman" w:hAnsi="Bookman Old Style" w:cs="Times New Roman"/>
          <w:bCs/>
          <w:sz w:val="24"/>
          <w:szCs w:val="24"/>
          <w:lang w:eastAsia="es-AR"/>
        </w:rPr>
        <w:t xml:space="preserve"> (2131), Calle </w:t>
      </w:r>
      <w:proofErr w:type="spellStart"/>
      <w:r w:rsidRPr="00184560">
        <w:rPr>
          <w:rFonts w:ascii="Bookman Old Style" w:eastAsia="Times New Roman" w:hAnsi="Bookman Old Style" w:cs="Times New Roman"/>
          <w:bCs/>
          <w:sz w:val="24"/>
          <w:szCs w:val="24"/>
          <w:lang w:eastAsia="es-AR"/>
        </w:rPr>
        <w:t>Seraphin</w:t>
      </w:r>
      <w:proofErr w:type="spellEnd"/>
      <w:r w:rsidRPr="00184560">
        <w:rPr>
          <w:rFonts w:ascii="Bookman Old Style" w:eastAsia="Times New Roman" w:hAnsi="Bookman Old Style" w:cs="Times New Roman"/>
          <w:bCs/>
          <w:sz w:val="24"/>
          <w:szCs w:val="24"/>
          <w:lang w:eastAsia="es-AR"/>
        </w:rPr>
        <w:t xml:space="preserve"> </w:t>
      </w:r>
      <w:proofErr w:type="spellStart"/>
      <w:r w:rsidRPr="00184560">
        <w:rPr>
          <w:rFonts w:ascii="Bookman Old Style" w:eastAsia="Times New Roman" w:hAnsi="Bookman Old Style" w:cs="Times New Roman"/>
          <w:bCs/>
          <w:sz w:val="24"/>
          <w:szCs w:val="24"/>
          <w:lang w:eastAsia="es-AR"/>
        </w:rPr>
        <w:t>Degeneve</w:t>
      </w:r>
      <w:proofErr w:type="spellEnd"/>
      <w:r w:rsidRPr="00184560">
        <w:rPr>
          <w:rFonts w:ascii="Bookman Old Style" w:eastAsia="Times New Roman" w:hAnsi="Bookman Old Style" w:cs="Times New Roman"/>
          <w:bCs/>
          <w:sz w:val="24"/>
          <w:szCs w:val="24"/>
          <w:lang w:eastAsia="es-AR"/>
        </w:rPr>
        <w:t xml:space="preserve"> (2131) hasta Calle 1712, Calle 1712 y su prolongación hasta Ruta 135.</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-ESTE: Ruta 135 Hasta Calle 2111, Calle 2111 Hasta, Arroyo de la Leche y Límite con Núcleo Urbano.</w:t>
      </w:r>
    </w:p>
    <w:p w:rsidR="004C17AE" w:rsidRPr="00184560" w:rsidRDefault="004C17AE" w:rsidP="003C3A56">
      <w:pPr>
        <w:ind w:left="-5"/>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Se permitirán fraccionamientos, loteos o urbanizaciones de acuerdo a lo siguiente:</w:t>
      </w:r>
    </w:p>
    <w:p w:rsidR="004C17AE" w:rsidRPr="00184560" w:rsidRDefault="004C17AE" w:rsidP="00A44E48">
      <w:pPr>
        <w:numPr>
          <w:ilvl w:val="0"/>
          <w:numId w:val="21"/>
        </w:numPr>
        <w:spacing w:after="120" w:line="360" w:lineRule="auto"/>
        <w:ind w:left="709" w:hanging="283"/>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Loteos de ampliación del territorio urbanizado: podrá realizarse en los territorios colindantes donde sea factible la provisión de servicios y el completamiento de la infraestructura Certificada por la dirección de Obras Públicas de la Ciudad de Colón, tomando los requerimientos de los loteos en Núcleo Urbano en lo referente a metros cuadrados y metros lineales de frente a calle pública, es decir, que en estos casos podrán efectuarse fraccionamientos y/o subdivisiones de no menos de trescientos metros cuadrados (300 m2) de superficie y con un frente mínimo de diez metros (10,00 m) sobre Línea Municipal.</w:t>
      </w:r>
    </w:p>
    <w:p w:rsidR="004C17AE" w:rsidRPr="00184560" w:rsidRDefault="004C17AE" w:rsidP="00A44E48">
      <w:pPr>
        <w:numPr>
          <w:ilvl w:val="0"/>
          <w:numId w:val="21"/>
        </w:numPr>
        <w:spacing w:after="120" w:line="360" w:lineRule="auto"/>
        <w:ind w:left="709" w:hanging="283"/>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Para loteos sin colindancia al Núcleo Urbano y sin factibilidad Certificada por la Dirección de Obras Públicas de la Municipalidad de Colón de conexión a la red de cloacas y red de </w:t>
      </w:r>
      <w:r w:rsidRPr="00184560">
        <w:rPr>
          <w:rFonts w:ascii="Bookman Old Style" w:eastAsia="Times New Roman" w:hAnsi="Bookman Old Style" w:cs="Times New Roman"/>
          <w:bCs/>
          <w:sz w:val="24"/>
          <w:szCs w:val="24"/>
          <w:lang w:eastAsia="es-AR"/>
        </w:rPr>
        <w:lastRenderedPageBreak/>
        <w:t>agua potable, se respetarán los indicadores exigidos para los nuevos desarrollos para esta Zona. Para este tipo de loteos, deberán respetarse los indicadores exigidos para los nuevos desarrollos para esta Zona, y que podrán ser de dos tipos:</w:t>
      </w:r>
    </w:p>
    <w:p w:rsidR="004C17AE" w:rsidRPr="00184560" w:rsidRDefault="004C17AE" w:rsidP="00A44E48">
      <w:pPr>
        <w:numPr>
          <w:ilvl w:val="1"/>
          <w:numId w:val="21"/>
        </w:numPr>
        <w:spacing w:after="120" w:line="360" w:lineRule="auto"/>
        <w:ind w:left="1276" w:hanging="283"/>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Podrán efectuarse subdivisiones de lotes de superficie mínima de mil doscientos metros cuadrados</w:t>
      </w:r>
      <w:r w:rsidR="003C3A56">
        <w:rPr>
          <w:rFonts w:ascii="Bookman Old Style" w:eastAsia="Times New Roman" w:hAnsi="Bookman Old Style" w:cs="Times New Roman"/>
          <w:bCs/>
          <w:sz w:val="24"/>
          <w:szCs w:val="24"/>
          <w:lang w:eastAsia="es-AR"/>
        </w:rPr>
        <w:t xml:space="preserve"> </w:t>
      </w:r>
      <w:r w:rsidRPr="00184560">
        <w:rPr>
          <w:rFonts w:ascii="Bookman Old Style" w:eastAsia="Times New Roman" w:hAnsi="Bookman Old Style" w:cs="Times New Roman"/>
          <w:bCs/>
          <w:sz w:val="24"/>
          <w:szCs w:val="24"/>
          <w:lang w:eastAsia="es-AR"/>
        </w:rPr>
        <w:t>(1200m2) y veinte metros (20,00m) de frente, con captación de agua y tratamiento de efluentes individuales.</w:t>
      </w:r>
    </w:p>
    <w:p w:rsidR="004C17AE" w:rsidRPr="00184560" w:rsidRDefault="004C17AE" w:rsidP="00A44E48">
      <w:pPr>
        <w:numPr>
          <w:ilvl w:val="1"/>
          <w:numId w:val="21"/>
        </w:numPr>
        <w:spacing w:after="120" w:line="360" w:lineRule="auto"/>
        <w:ind w:left="1276" w:hanging="283"/>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Se admitirán lotes de seiscientos metros cuadrados (600m2) de superficie mínima y veinte </w:t>
      </w:r>
      <w:r w:rsidR="005D399D" w:rsidRPr="00184560">
        <w:rPr>
          <w:rFonts w:ascii="Bookman Old Style" w:eastAsia="Times New Roman" w:hAnsi="Bookman Old Style" w:cs="Times New Roman"/>
          <w:bCs/>
          <w:sz w:val="24"/>
          <w:szCs w:val="24"/>
          <w:lang w:eastAsia="es-AR"/>
        </w:rPr>
        <w:t>metros (</w:t>
      </w:r>
      <w:r w:rsidRPr="00184560">
        <w:rPr>
          <w:rFonts w:ascii="Bookman Old Style" w:eastAsia="Times New Roman" w:hAnsi="Bookman Old Style" w:cs="Times New Roman"/>
          <w:bCs/>
          <w:sz w:val="24"/>
          <w:szCs w:val="24"/>
          <w:lang w:eastAsia="es-AR"/>
        </w:rPr>
        <w:t>20,00m) de frente con provisión colectiva de: suministro de agua potable y tratamiento de efluentes.</w:t>
      </w:r>
    </w:p>
    <w:p w:rsidR="004C17AE" w:rsidRPr="00184560" w:rsidRDefault="004C17AE" w:rsidP="00A44E48">
      <w:pPr>
        <w:numPr>
          <w:ilvl w:val="0"/>
          <w:numId w:val="21"/>
        </w:numPr>
        <w:spacing w:after="120" w:line="360" w:lineRule="auto"/>
        <w:ind w:left="709" w:hanging="283"/>
        <w:jc w:val="both"/>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Colonia Hughes: Se mantendrá el amanzanamiento original, permitiéndose subdivisiones por manzana en lotes con un frente mínimo requerido de veinte metros (20,00 m) y una superficie mínima de mil doscientos metros cuadrados (1200m2), siempre que se respete la relación de colindancia con las manzanas ya fraccionadas. Con la misma condición se permitirá la prolongación de las calles indicadas en la traza original de la colonia.</w:t>
      </w:r>
    </w:p>
    <w:p w:rsidR="004C17AE" w:rsidRPr="00184560" w:rsidRDefault="004C17AE" w:rsidP="004C17AE">
      <w:pPr>
        <w:ind w:left="-5"/>
        <w:outlineLvl w:val="1"/>
        <w:rPr>
          <w:rFonts w:ascii="Bookman Old Style" w:eastAsia="Times New Roman" w:hAnsi="Bookman Old Style" w:cs="Times New Roman"/>
          <w:bCs/>
          <w:sz w:val="24"/>
          <w:szCs w:val="24"/>
          <w:lang w:eastAsia="es-AR"/>
        </w:rPr>
      </w:pPr>
      <w:r w:rsidRPr="00184560">
        <w:rPr>
          <w:rFonts w:ascii="Bookman Old Style" w:eastAsia="Times New Roman" w:hAnsi="Bookman Old Style" w:cs="Times New Roman"/>
          <w:bCs/>
          <w:sz w:val="24"/>
          <w:szCs w:val="24"/>
          <w:lang w:eastAsia="es-AR"/>
        </w:rPr>
        <w:t xml:space="preserve">Los restantes indicadores están detallados en el </w:t>
      </w:r>
      <w:r w:rsidRPr="00184560">
        <w:rPr>
          <w:rFonts w:ascii="Bookman Old Style" w:eastAsia="Times New Roman" w:hAnsi="Bookman Old Style" w:cs="Times New Roman"/>
          <w:b/>
          <w:bCs/>
          <w:sz w:val="24"/>
          <w:szCs w:val="24"/>
          <w:lang w:eastAsia="es-AR"/>
        </w:rPr>
        <w:t>Anexo V</w:t>
      </w:r>
      <w:r w:rsidRPr="00184560">
        <w:rPr>
          <w:rFonts w:ascii="Bookman Old Style" w:eastAsia="Times New Roman" w:hAnsi="Bookman Old Style" w:cs="Times New Roman"/>
          <w:bCs/>
          <w:sz w:val="24"/>
          <w:szCs w:val="24"/>
          <w:lang w:eastAsia="es-AR"/>
        </w:rPr>
        <w:t>.</w:t>
      </w:r>
    </w:p>
    <w:p w:rsidR="004C17AE" w:rsidRDefault="004C17AE" w:rsidP="004C17AE">
      <w:pPr>
        <w:ind w:left="-5"/>
        <w:outlineLvl w:val="1"/>
        <w:rPr>
          <w:rFonts w:ascii="Bookman Old Style" w:eastAsia="Times New Roman" w:hAnsi="Bookman Old Style" w:cs="Times New Roman"/>
          <w:b/>
          <w:bCs/>
          <w:sz w:val="24"/>
          <w:szCs w:val="24"/>
          <w:lang w:eastAsia="es-AR"/>
        </w:rPr>
      </w:pPr>
    </w:p>
    <w:p w:rsidR="003C3A56" w:rsidRDefault="003C3A56" w:rsidP="004C17AE">
      <w:pPr>
        <w:ind w:left="-5"/>
        <w:outlineLvl w:val="1"/>
        <w:rPr>
          <w:rFonts w:ascii="Bookman Old Style" w:eastAsia="Times New Roman" w:hAnsi="Bookman Old Style" w:cs="Times New Roman"/>
          <w:b/>
          <w:bCs/>
          <w:sz w:val="24"/>
          <w:szCs w:val="24"/>
          <w:lang w:eastAsia="es-AR"/>
        </w:rPr>
      </w:pPr>
    </w:p>
    <w:p w:rsidR="003C3A56" w:rsidRDefault="003C3A56" w:rsidP="004C17AE">
      <w:pPr>
        <w:ind w:left="-5"/>
        <w:outlineLvl w:val="1"/>
        <w:rPr>
          <w:rFonts w:ascii="Bookman Old Style" w:eastAsia="Times New Roman" w:hAnsi="Bookman Old Style" w:cs="Times New Roman"/>
          <w:b/>
          <w:bCs/>
          <w:sz w:val="24"/>
          <w:szCs w:val="24"/>
          <w:lang w:eastAsia="es-AR"/>
        </w:rPr>
      </w:pPr>
    </w:p>
    <w:p w:rsidR="003C3A56" w:rsidRDefault="003C3A56" w:rsidP="004C17AE">
      <w:pPr>
        <w:ind w:left="-5"/>
        <w:outlineLvl w:val="1"/>
        <w:rPr>
          <w:rFonts w:ascii="Bookman Old Style" w:eastAsia="Times New Roman" w:hAnsi="Bookman Old Style" w:cs="Times New Roman"/>
          <w:b/>
          <w:bCs/>
          <w:sz w:val="24"/>
          <w:szCs w:val="24"/>
          <w:lang w:eastAsia="es-AR"/>
        </w:rPr>
      </w:pPr>
    </w:p>
    <w:p w:rsidR="003C3A56" w:rsidRDefault="003C3A56" w:rsidP="004C17AE">
      <w:pPr>
        <w:ind w:left="-5"/>
        <w:outlineLvl w:val="1"/>
        <w:rPr>
          <w:rFonts w:ascii="Bookman Old Style" w:eastAsia="Times New Roman" w:hAnsi="Bookman Old Style" w:cs="Times New Roman"/>
          <w:b/>
          <w:bCs/>
          <w:sz w:val="24"/>
          <w:szCs w:val="24"/>
          <w:lang w:eastAsia="es-AR"/>
        </w:rPr>
      </w:pPr>
    </w:p>
    <w:p w:rsidR="003C3A56" w:rsidRDefault="003C3A56" w:rsidP="004C17AE">
      <w:pPr>
        <w:ind w:left="-5"/>
        <w:outlineLvl w:val="1"/>
        <w:rPr>
          <w:rFonts w:ascii="Bookman Old Style" w:eastAsia="Times New Roman" w:hAnsi="Bookman Old Style" w:cs="Times New Roman"/>
          <w:b/>
          <w:bCs/>
          <w:sz w:val="24"/>
          <w:szCs w:val="24"/>
          <w:lang w:eastAsia="es-AR"/>
        </w:rPr>
      </w:pPr>
    </w:p>
    <w:p w:rsidR="003C3A56" w:rsidRDefault="003C3A56" w:rsidP="004C17AE">
      <w:pPr>
        <w:ind w:left="-5"/>
        <w:outlineLvl w:val="1"/>
        <w:rPr>
          <w:rFonts w:ascii="Bookman Old Style" w:eastAsia="Times New Roman" w:hAnsi="Bookman Old Style" w:cs="Times New Roman"/>
          <w:b/>
          <w:bCs/>
          <w:sz w:val="24"/>
          <w:szCs w:val="24"/>
          <w:lang w:eastAsia="es-AR"/>
        </w:rPr>
      </w:pPr>
    </w:p>
    <w:p w:rsidR="004C17AE" w:rsidRPr="00184560" w:rsidRDefault="004C17AE" w:rsidP="004C17AE">
      <w:pPr>
        <w:rPr>
          <w:rFonts w:ascii="Bookman Old Style" w:eastAsia="Times New Roman" w:hAnsi="Bookman Old Style" w:cs="Times New Roman"/>
          <w:b/>
          <w:sz w:val="28"/>
          <w:szCs w:val="24"/>
          <w:lang w:eastAsia="es-AR"/>
        </w:rPr>
      </w:pPr>
      <w:r w:rsidRPr="00184560">
        <w:rPr>
          <w:rFonts w:ascii="Bookman Old Style" w:eastAsia="Times New Roman" w:hAnsi="Bookman Old Style" w:cs="Times New Roman"/>
          <w:b/>
          <w:sz w:val="28"/>
          <w:szCs w:val="24"/>
          <w:lang w:eastAsia="es-AR"/>
        </w:rPr>
        <w:lastRenderedPageBreak/>
        <w:t>SECCIÓN II: SECTOR PRODUCTIVO</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25°: </w:t>
      </w:r>
      <w:r>
        <w:rPr>
          <w:rFonts w:ascii="Bookman Old Style" w:hAnsi="Bookman Old Style"/>
          <w:b/>
          <w:sz w:val="24"/>
          <w:szCs w:val="24"/>
        </w:rPr>
        <w:t>Composición</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 el territorio donde se priorizan las actividades productivas, agropecuarias e industriales. En este sector se localiza el Parque Industrial de la Ciudad de Colón el que tendrá una reglamentación específica.</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Este sector está determinado por los límites que surgen del </w:t>
      </w:r>
      <w:r w:rsidRPr="00184560">
        <w:rPr>
          <w:rFonts w:ascii="Bookman Old Style" w:eastAsia="Times New Roman" w:hAnsi="Bookman Old Style" w:cs="Times New Roman"/>
          <w:b/>
          <w:sz w:val="24"/>
          <w:szCs w:val="24"/>
          <w:lang w:eastAsia="es-AR"/>
        </w:rPr>
        <w:t>Anexo III.</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“Sector Productivo”, se subdivide en las zonas “Quintas”, “Chacras”, “Rural”, “Industrial”, “Mixta de Complemento Industrial”, “Amortiguación Ambiental”, “Protegida Sur”, “Ambiental I” y “Ambiental II”.</w:t>
      </w:r>
    </w:p>
    <w:p w:rsidR="004C17AE" w:rsidRPr="00184560" w:rsidRDefault="004C17AE" w:rsidP="004C17AE">
      <w:pPr>
        <w:rPr>
          <w:rFonts w:ascii="Bookman Old Style" w:eastAsia="Times New Roman" w:hAnsi="Bookman Old Style" w:cs="Times New Roman"/>
          <w:sz w:val="24"/>
          <w:szCs w:val="24"/>
          <w:lang w:eastAsia="es-AR"/>
        </w:rPr>
      </w:pPr>
      <w:bookmarkStart w:id="14" w:name="_heading=h.2u6wntf" w:colFirst="0" w:colLast="0"/>
      <w:bookmarkEnd w:id="14"/>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ZONA DE QUINTAS</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26°:</w:t>
      </w:r>
      <w:bookmarkStart w:id="15" w:name="_heading=h.19c6y18" w:colFirst="0" w:colLast="0"/>
      <w:bookmarkEnd w:id="15"/>
      <w:r w:rsidR="003C3A56">
        <w:rPr>
          <w:rFonts w:ascii="Bookman Old Style" w:eastAsia="Times New Roman" w:hAnsi="Bookman Old Style" w:cs="Times New Roman"/>
          <w:b/>
          <w:sz w:val="24"/>
          <w:szCs w:val="24"/>
          <w:lang w:eastAsia="es-AR"/>
        </w:rPr>
        <w:t xml:space="preserve"> </w:t>
      </w:r>
      <w:r>
        <w:rPr>
          <w:rFonts w:ascii="Bookman Old Style" w:hAnsi="Bookman Old Style"/>
          <w:b/>
          <w:sz w:val="24"/>
          <w:szCs w:val="24"/>
        </w:rPr>
        <w:t>Límites, usos y subdivisiones</w:t>
      </w:r>
    </w:p>
    <w:p w:rsidR="004C17AE" w:rsidRPr="00184560" w:rsidRDefault="004C17AE" w:rsidP="003C3A56">
      <w:pPr>
        <w:jc w:val="both"/>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sz w:val="24"/>
          <w:szCs w:val="24"/>
          <w:lang w:eastAsia="es-AR"/>
        </w:rPr>
        <w:t>En esta zona se promueve el desarrollo de actividades vinculadas a la explotación agropecuaria primaria y sus anexos, no contaminantes; actividades deportivas y/o recreativas; y turísticas residenciales de características rurales.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encuentran PROHIBIDAS las actividades industriales que generen deposiciones peligrosas, contaminantes y la cría intensiva de animales o aves.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Está determinada por los siguientes LÍMITES: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-NORTE: Calle pública Primeros Colonos hasta Calle 1901.</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w:t>
      </w:r>
      <w:r w:rsidR="00C56D78" w:rsidRPr="00184560">
        <w:rPr>
          <w:rFonts w:ascii="Bookman Old Style" w:eastAsia="Times New Roman" w:hAnsi="Bookman Old Style" w:cs="Times New Roman"/>
          <w:sz w:val="24"/>
          <w:szCs w:val="24"/>
          <w:lang w:eastAsia="es-AR"/>
        </w:rPr>
        <w:t>OESTE:</w:t>
      </w:r>
      <w:r w:rsidRPr="00184560">
        <w:rPr>
          <w:rFonts w:ascii="Bookman Old Style" w:eastAsia="Times New Roman" w:hAnsi="Bookman Old Style" w:cs="Times New Roman"/>
          <w:sz w:val="24"/>
          <w:szCs w:val="24"/>
          <w:lang w:eastAsia="es-AR"/>
        </w:rPr>
        <w:t xml:space="preserve"> Calle 1901 hasta Calle Juan Manuel de Rosas (1300), Calle Juan Manuel de Rosas (13</w:t>
      </w:r>
      <w:bookmarkStart w:id="16" w:name="_GoBack"/>
      <w:bookmarkEnd w:id="16"/>
      <w:r w:rsidRPr="00184560">
        <w:rPr>
          <w:rFonts w:ascii="Bookman Old Style" w:eastAsia="Times New Roman" w:hAnsi="Bookman Old Style" w:cs="Times New Roman"/>
          <w:sz w:val="24"/>
          <w:szCs w:val="24"/>
          <w:lang w:eastAsia="es-AR"/>
        </w:rPr>
        <w:t>00) hasta 1881, Calle 1881 hasta Calle 1360, Calle 1360 hasta Calle 1861, Calle 1861 Hasta Calle 1450, Calle 1450, hasta 1841, Calle 1841 hasta Calle 1540.</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-SUR: Calle 1540 hasta Calle 1861, Calle 1861 hasta 1594, Calle 1594 hasta 1901, Calle 1901 hasta 1678, Calle 1678 hasta Cauce de Arroyo de La Leche.</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-ESTE: Cauce de Arroyo de La Leche, hasta Calle Pública 2001, Calle 2001 hasta Primeros Colonos.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Sólo podrán subdividirse superficies que no resulten menores a los cinco mil metros cuadrados (5.000,00 m2), superficie neta una vez descontadas las cesiones correspondientes a ensanches de calles previstas entre concesiones y cincuenta metros (50,00 m) de frente sobre la línea municipal. Condición que deberán reunir los remanentes de los títulos subdivididos.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Deberán indicarse en los planos de mensura de este sector la proyección de calles, las que no serán cedidas hasta que se proceda a amanzanar. Estas proyecciones no podrán ser ocupadas por construcciones permanentes. Los propietarios no podrán reclamar indemnización alguna en caso de haber infringido esta norma.</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restantes indicadores están detallados en el </w:t>
      </w:r>
      <w:r w:rsidRPr="00184560">
        <w:rPr>
          <w:rFonts w:ascii="Bookman Old Style" w:eastAsia="Times New Roman" w:hAnsi="Bookman Old Style" w:cs="Times New Roman"/>
          <w:b/>
          <w:sz w:val="24"/>
          <w:szCs w:val="24"/>
          <w:lang w:eastAsia="es-AR"/>
        </w:rPr>
        <w:t>Anexo V</w:t>
      </w:r>
      <w:r w:rsidRPr="00184560">
        <w:rPr>
          <w:rFonts w:ascii="Bookman Old Style" w:eastAsia="Times New Roman" w:hAnsi="Bookman Old Style" w:cs="Times New Roman"/>
          <w:sz w:val="24"/>
          <w:szCs w:val="24"/>
          <w:lang w:eastAsia="es-AR"/>
        </w:rPr>
        <w:t>.</w:t>
      </w:r>
    </w:p>
    <w:p w:rsidR="004C17AE" w:rsidRPr="00184560" w:rsidRDefault="004C17AE" w:rsidP="004C17AE">
      <w:pPr>
        <w:rPr>
          <w:rFonts w:ascii="Bookman Old Style" w:eastAsia="Times New Roman" w:hAnsi="Bookman Old Style" w:cs="Times New Roman"/>
          <w:sz w:val="24"/>
          <w:szCs w:val="24"/>
          <w:lang w:eastAsia="es-AR"/>
        </w:rPr>
      </w:pPr>
      <w:bookmarkStart w:id="17" w:name="_heading=h.3tbugp1" w:colFirst="0" w:colLast="0"/>
      <w:bookmarkEnd w:id="17"/>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ZONA DE CHACRAS</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27°: </w:t>
      </w:r>
      <w:bookmarkStart w:id="18" w:name="_heading=h.28h4qwu" w:colFirst="0" w:colLast="0"/>
      <w:bookmarkEnd w:id="18"/>
      <w:r>
        <w:rPr>
          <w:rFonts w:ascii="Bookman Old Style" w:hAnsi="Bookman Old Style"/>
          <w:b/>
          <w:sz w:val="24"/>
          <w:szCs w:val="24"/>
        </w:rPr>
        <w:t>Límites, usos y subdivisiones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esta zona se promueve el desarrollo de actividades vinculadas a la explotación agropecuaria primaria, sus anexos no contaminantes, y turísticas recreativas, no residenciales, salvo aquellos establecimientos ya instalados y registrados en el lugar.</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encuentran PROHIBIDAS las actividades industriales que generen deposiciones peligrosas, contaminantes y la cría intensiva de animales o aves.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Está determinada por los siguientes LÍMITES: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-NORTE: Prolongación al Este de Calle 1560 hasta Calle 1821, Calle 1821 hasta 1540, Calle 1540 hasta 1861, Calle 1861 hasta 1594, Calle 1594 hasta 1901, Calle 1901 hasta 1678, Calle 1678 hasta Cauce de Arroyo de La Leche, Cauce de Arroyo de La Leche hasta Calle 2001, Calle 2001 hasta Calle 1730, Calle 1730 hasta Calle 2057, Calle 2057 hasta Calle 1726, Calle 1726 hasta Calle 2131, Calle 2131 hasta Calle 1712, Calle 1712 y su prolongación hasta Ruta 135, Ruta 135 hasta  Calle 2111, Calle 2111 hasta Calle Privada 8200 (Límite Sur Club de Campo Los Bretes) hasta límite de zona de Área Protegida Sur, límite de la zona de Área Protegida Sur hasta Ruta 135, Ruta 135 hasta Río Uruguay.</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-ESTE: Río Uruguay, desde intersección con Ruta Nº 135 (acceso Puente Internacional), hasta intersección con Límite Sur del Ejido Municipal.</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-SUR: Límite Sur del Ejido Municipal, desde intersección con Río Uruguay, hasta intersección con Calle Pública 1738, intersección con Calle Pública y Límite Sureste del Ejido Municipal.</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-OESTE: Límite del Ejido Municipal desde intersección con Calle Pública 1800, Calle Pública 1800 hasta Ruta 14, Ruta 14 hasta Calle 1540.</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Sólo podrán realizarse subdivisiones cuyas superficies no resulten menores a los diez mil metros cuadrados (10.000,00 m2) y con cincuenta metros (50,00 m) de frente sobre la línea municipal, debiendo los remanentes reunir las mismas características. Si por alguna razón se previera la apertura de alguna calle, se mantendrán las dimensiones enunciadas de superficies y frentes mínimos una vez descontadas las superficies de las mismas.</w:t>
      </w:r>
    </w:p>
    <w:p w:rsidR="004C17AE" w:rsidRPr="00184560" w:rsidRDefault="004C17AE" w:rsidP="003C3A5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restantes indicadores están detallados en el </w:t>
      </w:r>
      <w:r w:rsidRPr="00184560">
        <w:rPr>
          <w:rFonts w:ascii="Bookman Old Style" w:eastAsia="Times New Roman" w:hAnsi="Bookman Old Style" w:cs="Times New Roman"/>
          <w:b/>
          <w:sz w:val="24"/>
          <w:szCs w:val="24"/>
          <w:lang w:eastAsia="es-AR"/>
        </w:rPr>
        <w:t>Anexo V</w:t>
      </w:r>
      <w:r w:rsidRPr="00184560">
        <w:rPr>
          <w:rFonts w:ascii="Bookman Old Style" w:eastAsia="Times New Roman" w:hAnsi="Bookman Old Style" w:cs="Times New Roman"/>
          <w:sz w:val="24"/>
          <w:szCs w:val="24"/>
          <w:lang w:eastAsia="es-AR"/>
        </w:rPr>
        <w:t>.</w:t>
      </w:r>
    </w:p>
    <w:p w:rsidR="004C17AE" w:rsidRPr="00184560" w:rsidRDefault="004C17AE" w:rsidP="004C17AE">
      <w:pPr>
        <w:rPr>
          <w:rFonts w:ascii="Bookman Old Style" w:eastAsia="Times New Roman" w:hAnsi="Bookman Old Style" w:cs="Times New Roman"/>
          <w:sz w:val="24"/>
          <w:szCs w:val="24"/>
          <w:lang w:eastAsia="es-AR"/>
        </w:rPr>
      </w:pPr>
      <w:bookmarkStart w:id="19" w:name="_heading=h.nmf14n" w:colFirst="0" w:colLast="0"/>
      <w:bookmarkEnd w:id="19"/>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ZONA RURAL</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28°: </w:t>
      </w:r>
      <w:bookmarkStart w:id="20" w:name="_heading=h.37m2jsg" w:colFirst="0" w:colLast="0"/>
      <w:bookmarkEnd w:id="20"/>
      <w:r>
        <w:rPr>
          <w:rFonts w:ascii="Bookman Old Style" w:hAnsi="Bookman Old Style"/>
          <w:b/>
          <w:sz w:val="24"/>
          <w:szCs w:val="24"/>
        </w:rPr>
        <w:t>Límites, usos y subdivisiones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esta zona se promueve el desarrollo de actividades vinculadas a la explotación agropecuaria primaria y sus anexos, no contaminantes.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encuentran PROHIBIDAS las actividades industriales que generen deposiciones peligrosas o contaminantes.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Está determinada por los siguientes LÍMITES: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-NORTE: Calle Pública Primeros Colonos desde 1761 y hasta 1601.</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-OESTE: Calle 1601 hasta 1540.</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-SUR: Calle 1540 hasta límite con línea de propiedad, límite de propiedad hasta Calle 1641, Calle 1641 hasta Calle 1560, Calle 1560 hasta intersección con Calle 1761.</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-ESTE: Calle Pública Código 1761 desde intersección con Calle 1560 Hasta Primeros Colonos.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Sólo podrán realizarse subdivisiones cuyas superficies no resulten menores a los cincuenta mil metros cuadrados (50.000,00 m2), superficie neta una vez descontada la cedida a ensanche de calle indicada para el final de las concesiones, y cien metros (100,00 m) de frente sobre la línea municipal, debiendo los remanentes reunir las mismas características.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proyección de las calles deberá respetar la traza original que divide las concesiones y deberán ser indicadas en los planos de mensura a fin de permanecer libres de construcciones. Los propietarios no podrán reclamar indemnización alguna en caso de haber infringido esta norma.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restantes indicadores están detallados en el </w:t>
      </w:r>
      <w:r w:rsidRPr="00184560">
        <w:rPr>
          <w:rFonts w:ascii="Bookman Old Style" w:eastAsia="Times New Roman" w:hAnsi="Bookman Old Style" w:cs="Times New Roman"/>
          <w:b/>
          <w:sz w:val="24"/>
          <w:szCs w:val="24"/>
          <w:lang w:eastAsia="es-AR"/>
        </w:rPr>
        <w:t>Anexo V</w:t>
      </w:r>
      <w:r w:rsidRPr="00184560">
        <w:rPr>
          <w:rFonts w:ascii="Bookman Old Style" w:eastAsia="Times New Roman" w:hAnsi="Bookman Old Style" w:cs="Times New Roman"/>
          <w:sz w:val="24"/>
          <w:szCs w:val="24"/>
          <w:lang w:eastAsia="es-AR"/>
        </w:rPr>
        <w:t>.</w:t>
      </w:r>
    </w:p>
    <w:p w:rsidR="004C17AE" w:rsidRPr="00184560" w:rsidRDefault="004C17AE" w:rsidP="004C17AE">
      <w:pPr>
        <w:rPr>
          <w:rFonts w:ascii="Bookman Old Style" w:eastAsia="Times New Roman" w:hAnsi="Bookman Old Style" w:cs="Times New Roman"/>
          <w:sz w:val="24"/>
          <w:szCs w:val="24"/>
          <w:lang w:eastAsia="es-AR"/>
        </w:rPr>
      </w:pPr>
      <w:bookmarkStart w:id="21" w:name="_heading=h.1mrcu09" w:colFirst="0" w:colLast="0"/>
      <w:bookmarkEnd w:id="21"/>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ZONA INDUSTRIAL</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29°: </w:t>
      </w:r>
      <w:bookmarkStart w:id="22" w:name="_heading=h.46r0co2" w:colFirst="0" w:colLast="0"/>
      <w:bookmarkEnd w:id="22"/>
      <w:r>
        <w:rPr>
          <w:rFonts w:ascii="Bookman Old Style" w:hAnsi="Bookman Old Style"/>
          <w:b/>
          <w:sz w:val="24"/>
          <w:szCs w:val="24"/>
        </w:rPr>
        <w:t>Límites, usos y subdivisiones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 el territorio destinado a las explotaciones industriales y sus actividades asociadas.  Dentro de este Área se encuentra incluido el territorio del Parque Industrial Mixto de la Ciudad de Colón.</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esta zona se promueven las actividades destinadas predominantemente a industrias, depósitos y actividades asociadas a las cadenas productivas. Para aquellas actividades que supongan la manipulación de sustancias peligrosas, insalubres y/o tóxicas, deberán presentar un plan de manejo realizado por un profesional con incumbencias. Misma consideración para aquellas actividades cuyos procesos generen sólidos, líquidos, gases, nieblas, polvos, que por sus propiedades físicas y/o químicas, al incorporarse al  suelo,  o  mezclarse con la atmósfera respirable lo contamine, constituyendo un peligro para la salud pública, dentro y fuera del establecimiento industrial; o que por los ruidos, vibraciones o emanaciones (humos, olores, polvos), que de la misma se desprendan o por el movimiento y/o características de sus insumos o productos y el tráfico de vehículos que generen, constituyan molestia o incomodidad para el bienestar y/o salud pública.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encuentran PROHIBIDAS en esta zona, las edificaciones de uso residencial.</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Está determinada por los siguientes LÍMITES: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-NORTE: Calle Primeros Colonos desde Ruta 14 hasta Calle 1801 (Calle Ancha).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-OESTE: Calle 1801 Calle Ancha hasta intersección con Calle 1560, intersección 1560 y Ruta 14, Ruta.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-SUR, ESTE: Ruta 14, desde intersección de Calle 1560 y Ruta 14 hasta Calle Primeros Colonos.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Sólo podrán realizarse subdivisiones cuyas superficies no resulten menores a los tres mil metros cuadrados (3.000,00 m2), superficie neta una vez descontada la cedida a ensanche de calle, y con cincuenta metros (50,00 m) de frente sobre la línea municipal, debiendo los remanentes reunir las mismas características. La proyección de las calles deberá respetar la traza original.</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restantes indicadores están detallados en el </w:t>
      </w:r>
      <w:r w:rsidRPr="00184560">
        <w:rPr>
          <w:rFonts w:ascii="Bookman Old Style" w:eastAsia="Times New Roman" w:hAnsi="Bookman Old Style" w:cs="Times New Roman"/>
          <w:b/>
          <w:sz w:val="24"/>
          <w:szCs w:val="24"/>
          <w:lang w:eastAsia="es-AR"/>
        </w:rPr>
        <w:t>Anexo V</w:t>
      </w:r>
      <w:r w:rsidRPr="00184560">
        <w:rPr>
          <w:rFonts w:ascii="Bookman Old Style" w:eastAsia="Times New Roman" w:hAnsi="Bookman Old Style" w:cs="Times New Roman"/>
          <w:sz w:val="24"/>
          <w:szCs w:val="24"/>
          <w:lang w:eastAsia="es-AR"/>
        </w:rPr>
        <w:t>.</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autoriza al Departamento Ejecutivo Municipal, a efectuar la restricción del acceso vehicular público de las calles que queden comprendidas dentro del Parque Industrial Mixto de la ciudad de Colón, cuando sea el momento oportuno para ello, a fin de garantizar el desarrollo del Parque.</w:t>
      </w:r>
    </w:p>
    <w:p w:rsidR="004C17AE" w:rsidRPr="00184560" w:rsidRDefault="004C17AE" w:rsidP="00DF1C0B">
      <w:pPr>
        <w:jc w:val="both"/>
        <w:rPr>
          <w:rFonts w:ascii="Bookman Old Style" w:eastAsia="Times New Roman" w:hAnsi="Bookman Old Style" w:cs="Times New Roman"/>
          <w:sz w:val="24"/>
          <w:szCs w:val="24"/>
          <w:lang w:eastAsia="es-AR"/>
        </w:rPr>
      </w:pPr>
      <w:bookmarkStart w:id="23" w:name="_heading=h.2lwamvv" w:colFirst="0" w:colLast="0"/>
      <w:bookmarkEnd w:id="23"/>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ZONA MIXTA DE COMPLEMENTO DEL ÁREA INDUSTRIAL</w:t>
      </w:r>
    </w:p>
    <w:p w:rsidR="004C17AE" w:rsidRDefault="004C17AE" w:rsidP="004C17AE">
      <w:pPr>
        <w:rPr>
          <w:rFonts w:ascii="Bookman Old Style" w:eastAsia="Times New Roman" w:hAnsi="Bookman Old Style" w:cs="Times New Roman"/>
          <w:b/>
          <w:sz w:val="24"/>
          <w:szCs w:val="24"/>
          <w:lang w:eastAsia="es-AR"/>
        </w:rPr>
      </w:pPr>
      <w:bookmarkStart w:id="24" w:name="_heading=h.111kx3o" w:colFirst="0" w:colLast="0"/>
      <w:bookmarkEnd w:id="24"/>
      <w:r w:rsidRPr="00184560">
        <w:rPr>
          <w:rFonts w:ascii="Bookman Old Style" w:eastAsia="Times New Roman" w:hAnsi="Bookman Old Style" w:cs="Times New Roman"/>
          <w:b/>
          <w:sz w:val="24"/>
          <w:szCs w:val="24"/>
          <w:lang w:eastAsia="es-AR"/>
        </w:rPr>
        <w:t xml:space="preserve">Artículo 30°: </w:t>
      </w:r>
      <w:r>
        <w:rPr>
          <w:rFonts w:ascii="Bookman Old Style" w:hAnsi="Bookman Old Style"/>
          <w:b/>
          <w:sz w:val="24"/>
          <w:szCs w:val="24"/>
        </w:rPr>
        <w:t>Límites, usos y subdivisiones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esta zona se prioriza la localización de actividades metalmecánicas, industrias pequeñas, depósitos y comercios que demandan grandes superficies o requerimientos especiales o que sirvan de complemento o apoyo a la industria.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encuentran PROHIBIDAS en esta zona, las edificaciones de uso residencial.</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Está determinada por los siguientes LÍMITES: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-NORTE: Calle Primeros Colonos Hasta Calle 1761.</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-OESTE: Calle 1761 hasta Calle 1560, Calle 1560 hasta cauce de Arroyo el Pelado.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-SUR, ESTE: Calle 1800 desde Cauce de Arroyo de La Leche hasta Ruta 14, Ruta 14 hasta Prolongación de 1560, hasta Calle 1821, Calle 1821 hasta Calle 1540, Calle 1540 hasta 1841, Calle 1841 hasta 1540, Calle 1540 hasta 1861, Calle 1861 hasta Calle 1360, Calle 1360 hasta 1881, Calle 1881 hasta Calle 1300, Calle 1300 hasta 1901, Calle 1901 hasta Calle Primeros Colonos.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-NORTE ESTE: Ruta 14 desde Calle Primeros Colonos hasta prolongación de Calle 1560.</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-NORTE OESTE: Calle 1801 (Calle Ancha) desde prolongación de Calle 1560 hasta Primeros Colonos.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SURESTE: Calle Pública (cod.1540), desde intersección con Calle Pública (cód.1921) y hasta intersección con Ruta Nacional N° 14.</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-SUROESTE: Ruta Nacional N° 14, desde intersección con Calle Pública (cod.1540) y hasta Calle Pública (cod.1450).</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-NOROESTE: Calle Pública (cod.1450), desde intersección con Ruta Nacional N° 14 y hasta Calle Pública (cód.1921).</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subdivisiones de esta zona, podrán realizarse de la siguiente manera:</w:t>
      </w:r>
    </w:p>
    <w:p w:rsidR="004C17AE" w:rsidRPr="00184560" w:rsidRDefault="004C17AE" w:rsidP="00A44E48">
      <w:pPr>
        <w:numPr>
          <w:ilvl w:val="0"/>
          <w:numId w:val="22"/>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 xml:space="preserve">Trazado Coincidente con Concesiones de la Colonia San José: </w:t>
      </w:r>
      <w:r w:rsidRPr="00184560">
        <w:rPr>
          <w:rFonts w:ascii="Bookman Old Style" w:eastAsia="Times New Roman" w:hAnsi="Bookman Old Style" w:cs="Times New Roman"/>
          <w:sz w:val="24"/>
          <w:szCs w:val="24"/>
          <w:lang w:eastAsia="es-AR"/>
        </w:rPr>
        <w:t>Superficies no menores a los cinco mil metros cuadrados (5.000,00 m2), superficie neta una vez descontada la cedida a ensanche de calle, y con cincuenta metros (50,00 m) de frente sobre la línea municipal, debiendo los remanentes reunir las mismas características. La proyección de las calles deberá respetar la traza original.</w:t>
      </w:r>
    </w:p>
    <w:p w:rsidR="004C17AE" w:rsidRPr="00184560" w:rsidRDefault="004C17AE" w:rsidP="00A44E48">
      <w:pPr>
        <w:numPr>
          <w:ilvl w:val="0"/>
          <w:numId w:val="22"/>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 xml:space="preserve">Trazado con Lotes Irregulares: </w:t>
      </w:r>
      <w:r w:rsidRPr="00184560">
        <w:rPr>
          <w:rFonts w:ascii="Bookman Old Style" w:eastAsia="Times New Roman" w:hAnsi="Bookman Old Style" w:cs="Times New Roman"/>
          <w:sz w:val="24"/>
          <w:szCs w:val="24"/>
          <w:lang w:eastAsia="es-AR"/>
        </w:rPr>
        <w:t>Superficies no menores a los diez mil metros cuadrados (10.000,00 m2), superficie neta una vez descontada la cedida a ensanche de calle, y con cincuenta metros (50,00 m) de frente sobre la línea municipal, debiendo los remanentes reunir las mismas características.</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restantes indicadores están detallados en el </w:t>
      </w:r>
      <w:r w:rsidRPr="00184560">
        <w:rPr>
          <w:rFonts w:ascii="Bookman Old Style" w:eastAsia="Times New Roman" w:hAnsi="Bookman Old Style" w:cs="Times New Roman"/>
          <w:b/>
          <w:sz w:val="24"/>
          <w:szCs w:val="24"/>
          <w:lang w:eastAsia="es-AR"/>
        </w:rPr>
        <w:t>Anexo V</w:t>
      </w:r>
      <w:r w:rsidRPr="00184560">
        <w:rPr>
          <w:rFonts w:ascii="Bookman Old Style" w:eastAsia="Times New Roman" w:hAnsi="Bookman Old Style" w:cs="Times New Roman"/>
          <w:sz w:val="24"/>
          <w:szCs w:val="24"/>
          <w:lang w:eastAsia="es-AR"/>
        </w:rPr>
        <w:t>.</w:t>
      </w:r>
    </w:p>
    <w:p w:rsidR="004C17AE" w:rsidRPr="00184560" w:rsidRDefault="004C17AE" w:rsidP="004C17AE">
      <w:pPr>
        <w:rPr>
          <w:rFonts w:ascii="Bookman Old Style" w:eastAsia="Times New Roman" w:hAnsi="Bookman Old Style" w:cs="Times New Roman"/>
          <w:b/>
          <w:sz w:val="28"/>
          <w:szCs w:val="24"/>
          <w:lang w:eastAsia="es-AR"/>
        </w:rPr>
      </w:pPr>
      <w:r w:rsidRPr="00184560">
        <w:rPr>
          <w:rFonts w:ascii="Bookman Old Style" w:eastAsia="Times New Roman" w:hAnsi="Bookman Old Style" w:cs="Times New Roman"/>
          <w:b/>
          <w:sz w:val="28"/>
          <w:szCs w:val="24"/>
          <w:lang w:eastAsia="es-AR"/>
        </w:rPr>
        <w:lastRenderedPageBreak/>
        <w:t>SECCIÓN III – ZONAS ESPECIALES</w:t>
      </w:r>
    </w:p>
    <w:p w:rsidR="004C17AE" w:rsidRPr="00184560" w:rsidRDefault="004C17AE" w:rsidP="004C17AE">
      <w:pPr>
        <w:rPr>
          <w:rFonts w:ascii="Bookman Old Style" w:eastAsia="Times New Roman" w:hAnsi="Bookman Old Style" w:cs="Times New Roman"/>
          <w:b/>
          <w:sz w:val="24"/>
          <w:szCs w:val="24"/>
          <w:lang w:eastAsia="es-AR"/>
        </w:rPr>
      </w:pPr>
      <w:bookmarkStart w:id="25" w:name="_heading=h.206ipza" w:colFirst="0" w:colLast="0"/>
      <w:bookmarkEnd w:id="25"/>
      <w:r w:rsidRPr="00184560">
        <w:rPr>
          <w:rFonts w:ascii="Bookman Old Style" w:eastAsia="Times New Roman" w:hAnsi="Bookman Old Style" w:cs="Times New Roman"/>
          <w:b/>
          <w:sz w:val="24"/>
          <w:szCs w:val="24"/>
          <w:lang w:eastAsia="es-AR"/>
        </w:rPr>
        <w:t xml:space="preserve">ZONA DE VULNERABILIDAD AMBIENTAL  </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 xml:space="preserve">Artículo 31°: </w:t>
      </w:r>
      <w:bookmarkStart w:id="26" w:name="_heading=h.4k668n3" w:colFirst="0" w:colLast="0"/>
      <w:bookmarkEnd w:id="26"/>
      <w:r w:rsidRPr="00184560">
        <w:rPr>
          <w:rFonts w:ascii="Bookman Old Style" w:eastAsia="Times New Roman" w:hAnsi="Bookman Old Style" w:cs="Times New Roman"/>
          <w:sz w:val="24"/>
          <w:szCs w:val="24"/>
          <w:lang w:eastAsia="es-AR"/>
        </w:rPr>
        <w:t>Esta zona está comprendida por los bordes de bañados, cañadas y arroyos, el perímetro de las lagunas, las zonas de recuperación territorial, y zonas de futuros trazados para canalización de pluviales o reservadas a usos específicos.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Está determinada por una franja de treinta metros (30,00 m) en ambas márgenes de los arroyos </w:t>
      </w:r>
      <w:proofErr w:type="spellStart"/>
      <w:r w:rsidRPr="00184560">
        <w:rPr>
          <w:rFonts w:ascii="Bookman Old Style" w:eastAsia="Times New Roman" w:hAnsi="Bookman Old Style" w:cs="Times New Roman"/>
          <w:sz w:val="24"/>
          <w:szCs w:val="24"/>
          <w:lang w:eastAsia="es-AR"/>
        </w:rPr>
        <w:t>Artalaz</w:t>
      </w:r>
      <w:proofErr w:type="spellEnd"/>
      <w:r w:rsidRPr="00184560">
        <w:rPr>
          <w:rFonts w:ascii="Bookman Old Style" w:eastAsia="Times New Roman" w:hAnsi="Bookman Old Style" w:cs="Times New Roman"/>
          <w:sz w:val="24"/>
          <w:szCs w:val="24"/>
          <w:lang w:eastAsia="es-AR"/>
        </w:rPr>
        <w:t>, de La Leche, El Pelado, afluentes menores y río Uruguay comprendidos dentro de los límites jurisdiccionales del municipio.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esta zona de reserva, no se permitirán otros usos que los naturales y específicos ya existentes. Se restringe en la zona el establecimiento de viviendas.</w:t>
      </w:r>
    </w:p>
    <w:p w:rsidR="004C17AE" w:rsidRPr="00184560" w:rsidRDefault="004C17AE" w:rsidP="004C17AE">
      <w:pPr>
        <w:rPr>
          <w:rFonts w:ascii="Bookman Old Style" w:eastAsia="Times New Roman" w:hAnsi="Bookman Old Style" w:cs="Times New Roman"/>
          <w:sz w:val="24"/>
          <w:szCs w:val="24"/>
          <w:lang w:eastAsia="es-AR"/>
        </w:rPr>
      </w:pPr>
      <w:bookmarkStart w:id="27" w:name="_heading=h.2zbgiuw" w:colFirst="0" w:colLast="0"/>
      <w:bookmarkEnd w:id="27"/>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ÁREA PROTEGIDA SUR</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32°: </w:t>
      </w:r>
      <w:bookmarkStart w:id="28" w:name="_heading=h.1egqt2p" w:colFirst="0" w:colLast="0"/>
      <w:bookmarkEnd w:id="28"/>
      <w:r>
        <w:rPr>
          <w:rFonts w:ascii="Bookman Old Style" w:eastAsia="Times New Roman" w:hAnsi="Bookman Old Style" w:cs="Times New Roman"/>
          <w:b/>
          <w:sz w:val="24"/>
          <w:szCs w:val="24"/>
          <w:lang w:eastAsia="es-AR"/>
        </w:rPr>
        <w:t>Límites y usos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Está compuesta por una franja costera de treinta y cinco metros (35,00 m) paralela a la cota de nivel cinco metros (5,00 m) del Río Uruguay medida en el hidrómetro del puerto local de la Ciudad de Colón, y desde el Arroyo de la Leche y hacia el Sur.</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 esta zona se le asigna el carácter de parque natural y reserva ecológica, y se destinará exclusivamente a actividades de esparcimiento en contacto pleno con la naturaleza del lugar, de manera tal que se garantice su conservación y uso sostenible.</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Dentro de esta Zona sólo podrá promoverse el ecoturismo, el manejo y recuperación de los suelos, de la flora, de la fauna, la investigación, así como la educación ambiental. Se autorizan las construcciones </w:t>
      </w:r>
      <w:proofErr w:type="spellStart"/>
      <w:r w:rsidRPr="00184560">
        <w:rPr>
          <w:rFonts w:ascii="Bookman Old Style" w:eastAsia="Times New Roman" w:hAnsi="Bookman Old Style" w:cs="Times New Roman"/>
          <w:sz w:val="24"/>
          <w:szCs w:val="24"/>
          <w:lang w:eastAsia="es-AR"/>
        </w:rPr>
        <w:t>palafíticas</w:t>
      </w:r>
      <w:proofErr w:type="spellEnd"/>
      <w:r w:rsidRPr="00184560">
        <w:rPr>
          <w:rFonts w:ascii="Bookman Old Style" w:eastAsia="Times New Roman" w:hAnsi="Bookman Old Style" w:cs="Times New Roman"/>
          <w:sz w:val="24"/>
          <w:szCs w:val="24"/>
          <w:lang w:eastAsia="es-AR"/>
        </w:rPr>
        <w:t xml:space="preserve">  que sirvan a los usos anteriormente descriptos.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Sobre dicha zona se construirá el futuro camino costero sur, por lo cual se faculta al Departamento Ejecutivo a realizar convenios con vecinos afectados por la traza del mismo con intervención del Honorable Concejo Deliberante y en caso de que los mismos no sean factibles, se declarará de utilidad pública y sujeta a expropiación.</w:t>
      </w:r>
    </w:p>
    <w:p w:rsidR="004C17AE" w:rsidRPr="00184560" w:rsidRDefault="004C17AE" w:rsidP="004C17AE">
      <w:pPr>
        <w:rPr>
          <w:rFonts w:ascii="Bookman Old Style" w:eastAsia="Times New Roman" w:hAnsi="Bookman Old Style" w:cs="Times New Roman"/>
          <w:b/>
          <w:sz w:val="24"/>
          <w:szCs w:val="24"/>
          <w:lang w:eastAsia="es-AR"/>
        </w:rPr>
      </w:pPr>
      <w:bookmarkStart w:id="29" w:name="_heading=h.3ygebqi" w:colFirst="0" w:colLast="0"/>
      <w:bookmarkEnd w:id="29"/>
      <w:r w:rsidRPr="00184560">
        <w:rPr>
          <w:rFonts w:ascii="Bookman Old Style" w:eastAsia="Times New Roman" w:hAnsi="Bookman Old Style" w:cs="Times New Roman"/>
          <w:b/>
          <w:sz w:val="24"/>
          <w:szCs w:val="24"/>
          <w:lang w:eastAsia="es-AR"/>
        </w:rPr>
        <w:lastRenderedPageBreak/>
        <w:t>ZO</w:t>
      </w:r>
      <w:r>
        <w:rPr>
          <w:rFonts w:ascii="Bookman Old Style" w:eastAsia="Times New Roman" w:hAnsi="Bookman Old Style" w:cs="Times New Roman"/>
          <w:b/>
          <w:sz w:val="24"/>
          <w:szCs w:val="24"/>
          <w:lang w:eastAsia="es-AR"/>
        </w:rPr>
        <w:t>NA DE AMORTIGUACIÓN AMBIENTAL I</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33°: </w:t>
      </w:r>
      <w:bookmarkStart w:id="30" w:name="_heading=h.2dlolyb" w:colFirst="0" w:colLast="0"/>
      <w:bookmarkEnd w:id="30"/>
      <w:r>
        <w:rPr>
          <w:rFonts w:ascii="Bookman Old Style" w:eastAsia="Times New Roman" w:hAnsi="Bookman Old Style" w:cs="Times New Roman"/>
          <w:b/>
          <w:sz w:val="24"/>
          <w:szCs w:val="24"/>
          <w:lang w:eastAsia="es-AR"/>
        </w:rPr>
        <w:t>Límites y usos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 el área que actúa como zona “buffer” o de contención ante el impacto directo entre la zona donde se proyecta la instalación de Planta de Tratamiento de Efluentes Cloacales y el Área Urbanizable. La misma comprende una franja de trescientos metros lineales (300,00 m), en todos los rumbos circundantes a los límites perimetrales externos de donde se establezca el complejo ambiental. En este espacio de amortiguación, no se permitirán otros usos que los naturales y específicos ya existentes. Se restringe en la zona el establecimiento de viviendas.</w:t>
      </w:r>
    </w:p>
    <w:p w:rsidR="004C17AE" w:rsidRPr="00184560" w:rsidRDefault="004C17AE" w:rsidP="004C17AE">
      <w:pPr>
        <w:rPr>
          <w:rFonts w:ascii="Bookman Old Style" w:eastAsia="Times New Roman" w:hAnsi="Bookman Old Style" w:cs="Times New Roman"/>
          <w:sz w:val="24"/>
          <w:szCs w:val="24"/>
          <w:lang w:eastAsia="es-AR"/>
        </w:rPr>
      </w:pPr>
      <w:bookmarkStart w:id="31" w:name="_heading=h.sqyw64" w:colFirst="0" w:colLast="0"/>
      <w:bookmarkEnd w:id="31"/>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ZONA DE AMO</w:t>
      </w:r>
      <w:r>
        <w:rPr>
          <w:rFonts w:ascii="Bookman Old Style" w:eastAsia="Times New Roman" w:hAnsi="Bookman Old Style" w:cs="Times New Roman"/>
          <w:b/>
          <w:sz w:val="24"/>
          <w:szCs w:val="24"/>
          <w:lang w:eastAsia="es-AR"/>
        </w:rPr>
        <w:t>RTIGUACIÓN AMBIENTAL II</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34°: </w:t>
      </w:r>
      <w:bookmarkStart w:id="32" w:name="_heading=h.3cqmetx" w:colFirst="0" w:colLast="0"/>
      <w:bookmarkEnd w:id="32"/>
      <w:r>
        <w:rPr>
          <w:rFonts w:ascii="Bookman Old Style" w:hAnsi="Bookman Old Style"/>
          <w:b/>
          <w:sz w:val="24"/>
          <w:szCs w:val="24"/>
        </w:rPr>
        <w:t>Límites y usos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Establézcase como “Zona de Amortiguación Ambiental II”, al área dispuesta a actuar como zona de “buffer” o de contención ante el impacto directo entre las zonas donde se proyecta la instalación del Parque Industrial Mixto respecto del territorio circundante.</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Esta Zona estará comprendida por un área de quinientos metros lineales (500,00 m), en todos los rumbos circundantes a los límites perimetrales externos del Parque Industrial Mixto de la ciudad de Colón.</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esta Zona sólo podrá autorizarse el desarrollo de actividades relacionadas directamente al Parque Industrial Mixto, entendiendo que las mismas no generen conflictos con las funciones que se realicen en el Parque.</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restringe el uso residencial con excepción de las preexistentes.</w:t>
      </w:r>
    </w:p>
    <w:p w:rsidR="004C17AE" w:rsidRPr="00184560" w:rsidRDefault="004C17AE" w:rsidP="004C17AE">
      <w:pPr>
        <w:rPr>
          <w:rFonts w:ascii="Bookman Old Style" w:eastAsia="Times New Roman" w:hAnsi="Bookman Old Style" w:cs="Times New Roman"/>
          <w:sz w:val="24"/>
          <w:szCs w:val="24"/>
          <w:lang w:eastAsia="es-AR"/>
        </w:rPr>
      </w:pPr>
    </w:p>
    <w:p w:rsidR="00DF1C0B" w:rsidRDefault="00DF1C0B" w:rsidP="004C17AE">
      <w:pPr>
        <w:rPr>
          <w:rFonts w:ascii="Bookman Old Style" w:eastAsia="Times New Roman" w:hAnsi="Bookman Old Style" w:cs="Times New Roman"/>
          <w:b/>
          <w:sz w:val="32"/>
          <w:szCs w:val="24"/>
          <w:u w:val="single"/>
          <w:lang w:eastAsia="es-AR"/>
        </w:rPr>
      </w:pPr>
    </w:p>
    <w:p w:rsidR="00DF1C0B" w:rsidRDefault="00DF1C0B" w:rsidP="004C17AE">
      <w:pPr>
        <w:rPr>
          <w:rFonts w:ascii="Bookman Old Style" w:eastAsia="Times New Roman" w:hAnsi="Bookman Old Style" w:cs="Times New Roman"/>
          <w:b/>
          <w:sz w:val="32"/>
          <w:szCs w:val="24"/>
          <w:u w:val="single"/>
          <w:lang w:eastAsia="es-AR"/>
        </w:rPr>
      </w:pPr>
    </w:p>
    <w:p w:rsidR="004C17AE" w:rsidRPr="00184560" w:rsidRDefault="004C17AE" w:rsidP="004C17AE">
      <w:pPr>
        <w:rPr>
          <w:rFonts w:ascii="Bookman Old Style" w:eastAsia="Times New Roman" w:hAnsi="Bookman Old Style" w:cs="Times New Roman"/>
          <w:b/>
          <w:sz w:val="32"/>
          <w:szCs w:val="24"/>
          <w:u w:val="single"/>
          <w:lang w:eastAsia="es-AR"/>
        </w:rPr>
      </w:pPr>
      <w:r w:rsidRPr="00184560">
        <w:rPr>
          <w:rFonts w:ascii="Bookman Old Style" w:eastAsia="Times New Roman" w:hAnsi="Bookman Old Style" w:cs="Times New Roman"/>
          <w:b/>
          <w:sz w:val="32"/>
          <w:szCs w:val="24"/>
          <w:u w:val="single"/>
          <w:lang w:eastAsia="es-AR"/>
        </w:rPr>
        <w:lastRenderedPageBreak/>
        <w:t>CAPÍTULO III - DE LOS NUEVOS LOTEOS y/o URBANIZACIONES</w:t>
      </w:r>
    </w:p>
    <w:p w:rsidR="004C17AE" w:rsidRPr="00184560" w:rsidRDefault="004C17AE" w:rsidP="004C17AE">
      <w:pPr>
        <w:rPr>
          <w:rFonts w:ascii="Bookman Old Style" w:eastAsia="Times New Roman" w:hAnsi="Bookman Old Style" w:cs="Times New Roman"/>
          <w:b/>
          <w:sz w:val="28"/>
          <w:szCs w:val="24"/>
          <w:lang w:eastAsia="es-AR"/>
        </w:rPr>
      </w:pPr>
      <w:bookmarkStart w:id="33" w:name="_heading=h.4bvk7pj" w:colFirst="0" w:colLast="0"/>
      <w:bookmarkEnd w:id="33"/>
      <w:r w:rsidRPr="00184560">
        <w:rPr>
          <w:rFonts w:ascii="Bookman Old Style" w:eastAsia="Times New Roman" w:hAnsi="Bookman Old Style" w:cs="Times New Roman"/>
          <w:b/>
          <w:sz w:val="28"/>
          <w:szCs w:val="24"/>
          <w:lang w:eastAsia="es-AR"/>
        </w:rPr>
        <w:t>SECCIÓN I: GENERALIDADES</w:t>
      </w:r>
    </w:p>
    <w:p w:rsidR="004C17AE" w:rsidRDefault="004C17AE" w:rsidP="004C17AE">
      <w:pPr>
        <w:rPr>
          <w:rFonts w:ascii="Bookman Old Style" w:eastAsia="Times New Roman" w:hAnsi="Bookman Old Style" w:cs="Times New Roman"/>
          <w:b/>
          <w:sz w:val="24"/>
          <w:szCs w:val="24"/>
          <w:lang w:eastAsia="es-AR"/>
        </w:rPr>
      </w:pPr>
      <w:bookmarkStart w:id="34" w:name="_heading=h.2r0uhxc" w:colFirst="0" w:colLast="0"/>
      <w:bookmarkEnd w:id="34"/>
      <w:r w:rsidRPr="00184560">
        <w:rPr>
          <w:rFonts w:ascii="Bookman Old Style" w:eastAsia="Times New Roman" w:hAnsi="Bookman Old Style" w:cs="Times New Roman"/>
          <w:b/>
          <w:sz w:val="24"/>
          <w:szCs w:val="24"/>
          <w:lang w:eastAsia="es-AR"/>
        </w:rPr>
        <w:t xml:space="preserve">Artículo 35°: </w:t>
      </w:r>
      <w:r>
        <w:rPr>
          <w:rFonts w:ascii="Bookman Old Style" w:eastAsia="Times New Roman" w:hAnsi="Bookman Old Style" w:cs="Times New Roman"/>
          <w:b/>
          <w:sz w:val="24"/>
          <w:szCs w:val="24"/>
          <w:lang w:eastAsia="es-AR"/>
        </w:rPr>
        <w:t>Definición</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entiende por proyecto de loteo, todo proyecto de subdivisión que implique la apertura de calles y formación de dos o más nuevas manzanas, con fines de un futuro fraccionamiento en lotes de las dimensiones establecidas en la presente ordenanza para cada una de las zonas previstas y que exija la incorporación de alguna superficie al uso o dominio público, como ser la donación de calles, plazas y/o reservas fiscales.</w:t>
      </w:r>
    </w:p>
    <w:p w:rsidR="004C17AE" w:rsidRPr="00184560" w:rsidRDefault="004C17AE" w:rsidP="004C17AE">
      <w:pPr>
        <w:rPr>
          <w:rFonts w:ascii="Bookman Old Style" w:eastAsia="Times New Roman" w:hAnsi="Bookman Old Style" w:cs="Times New Roman"/>
          <w:sz w:val="24"/>
          <w:szCs w:val="24"/>
          <w:lang w:eastAsia="es-AR"/>
        </w:rPr>
      </w:pP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36°: </w:t>
      </w:r>
      <w:bookmarkStart w:id="35" w:name="_heading=h.1664s55" w:colFirst="0" w:colLast="0"/>
      <w:bookmarkEnd w:id="35"/>
      <w:r>
        <w:rPr>
          <w:rFonts w:ascii="Bookman Old Style" w:eastAsia="Times New Roman" w:hAnsi="Bookman Old Style" w:cs="Times New Roman"/>
          <w:b/>
          <w:sz w:val="24"/>
          <w:szCs w:val="24"/>
          <w:lang w:eastAsia="es-AR"/>
        </w:rPr>
        <w:t>Subdivisiones menores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Sólo se permitirán subdivisiones menores a las establecidas cuando sean desgloses para ser anexados a un lote lindero, debiendo quedar el lote remanente con las medidas de frente y superficies mínimas establecidas para cada zona. El plano de subdivisión deberá obligatoriamente llevar la nota “Para ser Anexado al Lindero ___ Plano”.</w:t>
      </w:r>
    </w:p>
    <w:p w:rsidR="004C17AE" w:rsidRPr="00184560" w:rsidRDefault="004C17AE" w:rsidP="004C17AE">
      <w:pPr>
        <w:rPr>
          <w:rFonts w:ascii="Bookman Old Style" w:eastAsia="Times New Roman" w:hAnsi="Bookman Old Style" w:cs="Times New Roman"/>
          <w:sz w:val="24"/>
          <w:szCs w:val="24"/>
          <w:lang w:eastAsia="es-AR"/>
        </w:rPr>
      </w:pP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37°: </w:t>
      </w:r>
      <w:bookmarkStart w:id="36" w:name="_heading=h.3q5sasy" w:colFirst="0" w:colLast="0"/>
      <w:bookmarkEnd w:id="36"/>
      <w:r>
        <w:rPr>
          <w:rFonts w:ascii="Bookman Old Style" w:eastAsia="Times New Roman" w:hAnsi="Bookman Old Style" w:cs="Times New Roman"/>
          <w:b/>
          <w:sz w:val="24"/>
          <w:szCs w:val="24"/>
          <w:lang w:eastAsia="es-AR"/>
        </w:rPr>
        <w:t>Barrios cerrados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 se autorizará el establecimiento y formación de barrios privados cerrados, en cualquiera de sus formas. Entendiéndose como todo emprendimiento urbanístico regido por un plan especial de urbanización destinado a uso residencial con perímetro restringido al paso público general, compuesto de unidades parcelarias independientes y áreas de uso común, unidas en forma indisoluble por su destino funcional y jurídico, que cuenten en el plan de urbanización que establezca la responsabilidad de su mantenimiento, organización y prestaciones esenciales, ya sea de los titulares actuales y/o futuros de las parcelas y/o de una entidad jurídica constituida con tal objeto y en el que no se permita la integración urbana del mismo a la ciudad.</w:t>
      </w:r>
    </w:p>
    <w:p w:rsidR="004C17AE" w:rsidRPr="00184560" w:rsidRDefault="004C17AE" w:rsidP="004C17AE">
      <w:pPr>
        <w:rPr>
          <w:rFonts w:ascii="Bookman Old Style" w:eastAsia="Times New Roman" w:hAnsi="Bookman Old Style" w:cs="Times New Roman"/>
          <w:sz w:val="24"/>
          <w:szCs w:val="24"/>
          <w:lang w:eastAsia="es-AR"/>
        </w:rPr>
      </w:pPr>
      <w:bookmarkStart w:id="37" w:name="_heading=h.25b2l0r" w:colFirst="0" w:colLast="0"/>
      <w:bookmarkEnd w:id="37"/>
    </w:p>
    <w:p w:rsidR="00DF1C0B" w:rsidRDefault="00DF1C0B"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lastRenderedPageBreak/>
        <w:t>Artículo 38°: Amanzanamiento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el trazado de las manzanas se continuará con la proyección del damero, y la continuación de calles según el mismo manteniendo preferentemente la forma rectangular, aceptándose otras formas siempre que así lo justifique la topografía, orientación, fundados en casos de utilidad pública, límites del inmueble, objeto del amanzanamiento, y trazado de sectores colindantes que hagan una clara y correcta legibilidad de la urbanización.</w:t>
      </w:r>
    </w:p>
    <w:p w:rsidR="004C17AE" w:rsidRPr="00184560" w:rsidRDefault="004C17AE" w:rsidP="004C17AE">
      <w:pPr>
        <w:rPr>
          <w:rFonts w:ascii="Bookman Old Style" w:eastAsia="Times New Roman" w:hAnsi="Bookman Old Style" w:cs="Times New Roman"/>
          <w:sz w:val="24"/>
          <w:szCs w:val="24"/>
          <w:lang w:eastAsia="es-AR"/>
        </w:rPr>
      </w:pPr>
      <w:bookmarkStart w:id="38" w:name="_heading=h.kgcv8k" w:colFirst="0" w:colLast="0"/>
      <w:bookmarkEnd w:id="38"/>
    </w:p>
    <w:p w:rsidR="004C17AE" w:rsidRPr="00184560" w:rsidRDefault="004C17AE" w:rsidP="004C17AE">
      <w:pPr>
        <w:rPr>
          <w:rFonts w:ascii="Bookman Old Style" w:eastAsia="Times New Roman" w:hAnsi="Bookman Old Style" w:cs="Times New Roman"/>
          <w:b/>
          <w:sz w:val="28"/>
          <w:szCs w:val="24"/>
          <w:lang w:eastAsia="es-AR"/>
        </w:rPr>
      </w:pPr>
      <w:r w:rsidRPr="00184560">
        <w:rPr>
          <w:rFonts w:ascii="Bookman Old Style" w:eastAsia="Times New Roman" w:hAnsi="Bookman Old Style" w:cs="Times New Roman"/>
          <w:b/>
          <w:sz w:val="28"/>
          <w:szCs w:val="24"/>
          <w:lang w:eastAsia="es-AR"/>
        </w:rPr>
        <w:t>SECCIÓN II: DE LOS SERVICIOS E INFORMACIÓN DEL LOTEO</w:t>
      </w:r>
    </w:p>
    <w:p w:rsidR="004C17AE"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39°: </w:t>
      </w:r>
      <w:r>
        <w:rPr>
          <w:rFonts w:ascii="Bookman Old Style" w:eastAsia="Times New Roman" w:hAnsi="Bookman Old Style" w:cs="Times New Roman"/>
          <w:b/>
          <w:sz w:val="24"/>
          <w:szCs w:val="24"/>
          <w:lang w:eastAsia="es-AR"/>
        </w:rPr>
        <w:t>Condiciones</w:t>
      </w:r>
    </w:p>
    <w:p w:rsidR="004C17AE" w:rsidRPr="00184560" w:rsidRDefault="004C17AE" w:rsidP="00DF1C0B">
      <w:pPr>
        <w:jc w:val="both"/>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sz w:val="24"/>
          <w:szCs w:val="24"/>
          <w:lang w:eastAsia="es-AR"/>
        </w:rPr>
        <w:t>La conformación de nuevos loteos implica una transformación de tierra productiva en territorio urbanizado, por lo que se debe prever la convivencia de actividades preexistentes con otras nuevas, que serán el resultado de los nuevos usos del territorio.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Por lo tanto, se deberán presentar los proyectos correspondientes, ajustándose a las nuevas reglamentaciones referidas al tratamiento de efluentes en loteos, y adjuntar la siguiente información:</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 existiendo relación de colindancia física con el núcleo urbano ni con sistemas de efluentes cloacales de la ciudad de Colón, se deberá solicitar al Municipio, y en la Secretaría de Obras y Servicios Públicos la factibilidad de ampliación de red cloacal y factibilidad de conexión a la misma.</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 siendo susceptible de conexión, el Loteador deberá hacer los trabajos de infraestructura necesarios para el tratamiento de efluentes cloacales y el abastecimiento de agua potable.</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anteproyectos serán elaborados, desarrollados y presentados para su evaluación por un Profesional con incumbencia en el tema matriculado y habilitado, ante la Secretaría de Obras y Servicios Públicos y la Dirección de Ambiente, quienes emitirán el certificado de factibilidad para su desarrollo. Dichos Planos </w:t>
      </w:r>
      <w:r w:rsidRPr="00184560">
        <w:rPr>
          <w:rFonts w:ascii="Bookman Old Style" w:eastAsia="Times New Roman" w:hAnsi="Bookman Old Style" w:cs="Times New Roman"/>
          <w:sz w:val="24"/>
          <w:szCs w:val="24"/>
          <w:lang w:eastAsia="es-AR"/>
        </w:rPr>
        <w:lastRenderedPageBreak/>
        <w:t>deberán contar con las firmas del Propietario/a, Profesional. Estos trabajos deberán contar con el visado correspondiente del/de los Colegio/s Profesional/es habilitante/s.</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Empresas Constructoras que lleven a cabo trabajos de Infraestructura, deberán encontrarse inscriptas en el Registro Municipal y habilitadas, contando con las tasas y cánones correspondientes, sin deudas.</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Todos los servicios exigidos serán realizados por cuenta y orden del Loteador, con la Dirección de Obra realizada por el Profesional Matriculado y habilitado, bajo inspección de Personal Municipal y en base a proyecto o especificaciones técnicas aprobadas por el Municipio de la Ciudad de Colón y sus Secretarías. Una vez finalizada la obra, deberá presentarse el “Plano conforme a Obra”, donde quedarán asentadas todas las particularidades y/o modificaciones al Plano visado, surgidas durante la obra. Dicho Plano deberá estar firmado por el Profesional responsable de los trabajos y visado por el Colegio Profesional correspondiente.</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Respecto del alumbrado público, se deberá cumplir con lo establecido en el </w:t>
      </w:r>
      <w:r w:rsidRPr="00184560">
        <w:rPr>
          <w:rFonts w:ascii="Bookman Old Style" w:eastAsia="Times New Roman" w:hAnsi="Bookman Old Style" w:cs="Times New Roman"/>
          <w:b/>
          <w:sz w:val="24"/>
          <w:szCs w:val="24"/>
          <w:lang w:eastAsia="es-AR"/>
        </w:rPr>
        <w:t xml:space="preserve">ANEXO REQUERIMIENTOS MÍNIMOS DE ALUMBRADO PÚBLICO </w:t>
      </w:r>
      <w:r w:rsidRPr="00184560">
        <w:rPr>
          <w:rFonts w:ascii="Bookman Old Style" w:eastAsia="Times New Roman" w:hAnsi="Bookman Old Style" w:cs="Times New Roman"/>
          <w:sz w:val="24"/>
          <w:szCs w:val="24"/>
          <w:lang w:eastAsia="es-AR"/>
        </w:rPr>
        <w:t>para loteos que forma parte de la presente ordenanza.</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Sistema de Tratamiento de Efluentes Cloacales de la propuesta para el desarrollo de los loteos es determinante para el tamaño de los lotes permitidos, estableciéndose dos categorías:</w:t>
      </w:r>
    </w:p>
    <w:p w:rsidR="004C17AE" w:rsidRPr="00184560" w:rsidRDefault="004C17AE" w:rsidP="00A44E48">
      <w:pPr>
        <w:numPr>
          <w:ilvl w:val="1"/>
          <w:numId w:val="23"/>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Lotes con una superficie mínima de seiscientos metros cuadrados (600,00m2), que deberán cumplir con los siguientes requisitos:</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Estos deberán tener un sistema de tratamiento de líquidos cloacales y provisión de agua colectivos. Estos </w:t>
      </w:r>
      <w:r w:rsidRPr="00184560">
        <w:rPr>
          <w:rFonts w:ascii="Bookman Old Style" w:eastAsia="Times New Roman" w:hAnsi="Bookman Old Style" w:cs="Times New Roman"/>
          <w:sz w:val="24"/>
          <w:szCs w:val="24"/>
          <w:lang w:eastAsia="es-AR"/>
        </w:rPr>
        <w:lastRenderedPageBreak/>
        <w:t>sistemas de tratamiento se deberán desarrollar en un lote destinado a tal efecto, que formará parte del mismo loteo.</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Red Alumbrado Público: Se especificarán los requisitos mínimos de diseño que deben cumplir las nuevas instalaciones de Alumbrado Público en Proyectos de Loteo.</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Sistema de canalización y/o escorrentías pluviales (Cordón Cuneta u obra similar que asegure la correcta escorrentía de aguas pluviales), según proyecto del profesional actuante.</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Calles consolidadas. Deberá efectuarse el paquete estructural de la siguiente manera: compactación de sub-base; ejecución de base calcárea; y ejecución de carpeta de rodamiento. Todo de acuerdo a los siguientes valores:</w:t>
      </w:r>
    </w:p>
    <w:tbl>
      <w:tblPr>
        <w:tblW w:w="0" w:type="auto"/>
        <w:tblInd w:w="2122" w:type="dxa"/>
        <w:tblLook w:val="04A0"/>
      </w:tblPr>
      <w:tblGrid>
        <w:gridCol w:w="5616"/>
        <w:gridCol w:w="982"/>
      </w:tblGrid>
      <w:tr w:rsidR="00DF1C0B" w:rsidRPr="00184560" w:rsidTr="005B42AE">
        <w:tc>
          <w:tcPr>
            <w:tcW w:w="3034" w:type="dxa"/>
          </w:tcPr>
          <w:p w:rsidR="00DF1C0B" w:rsidRDefault="00DF1C0B">
            <w:r>
              <w:rPr>
                <w:noProof/>
                <w:lang w:val="en-US"/>
              </w:rPr>
              <w:drawing>
                <wp:anchor distT="0" distB="0" distL="114300" distR="114300" simplePos="0" relativeHeight="251664384" behindDoc="0" locked="0" layoutInCell="1" allowOverlap="1">
                  <wp:simplePos x="0" y="0"/>
                  <wp:positionH relativeFrom="column">
                    <wp:posOffset>96520</wp:posOffset>
                  </wp:positionH>
                  <wp:positionV relativeFrom="paragraph">
                    <wp:posOffset>443865</wp:posOffset>
                  </wp:positionV>
                  <wp:extent cx="3400425" cy="1019175"/>
                  <wp:effectExtent l="1905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400425" cy="1019175"/>
                          </a:xfrm>
                          <a:prstGeom prst="rect">
                            <a:avLst/>
                          </a:prstGeom>
                          <a:noFill/>
                          <a:ln w="9525">
                            <a:noFill/>
                            <a:miter lim="800000"/>
                            <a:headEnd/>
                            <a:tailEnd/>
                          </a:ln>
                        </pic:spPr>
                      </pic:pic>
                    </a:graphicData>
                  </a:graphic>
                </wp:anchor>
              </w:drawing>
            </w:r>
          </w:p>
        </w:tc>
        <w:tc>
          <w:tcPr>
            <w:tcW w:w="1927" w:type="dxa"/>
          </w:tcPr>
          <w:p w:rsidR="00DF1C0B" w:rsidRDefault="00DF1C0B"/>
        </w:tc>
      </w:tr>
      <w:tr w:rsidR="00DF1C0B" w:rsidRPr="00184560" w:rsidTr="005B42AE">
        <w:tc>
          <w:tcPr>
            <w:tcW w:w="3034" w:type="dxa"/>
          </w:tcPr>
          <w:p w:rsidR="00DF1C0B" w:rsidRDefault="00DF1C0B"/>
        </w:tc>
        <w:tc>
          <w:tcPr>
            <w:tcW w:w="1927" w:type="dxa"/>
          </w:tcPr>
          <w:p w:rsidR="00DF1C0B" w:rsidRDefault="00DF1C0B"/>
        </w:tc>
      </w:tr>
      <w:tr w:rsidR="00DF1C0B" w:rsidRPr="00184560" w:rsidTr="005B42AE">
        <w:tc>
          <w:tcPr>
            <w:tcW w:w="3034" w:type="dxa"/>
          </w:tcPr>
          <w:p w:rsidR="00DF1C0B" w:rsidRDefault="00DF1C0B"/>
        </w:tc>
        <w:tc>
          <w:tcPr>
            <w:tcW w:w="1927" w:type="dxa"/>
          </w:tcPr>
          <w:p w:rsidR="00DF1C0B" w:rsidRDefault="00DF1C0B"/>
        </w:tc>
      </w:tr>
    </w:tbl>
    <w:p w:rsidR="004C17AE" w:rsidRPr="00184560" w:rsidRDefault="004C17AE" w:rsidP="004C17AE">
      <w:pPr>
        <w:spacing w:before="120"/>
        <w:ind w:left="1701"/>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Estos valores son mínimos y podrán ser incrementados en función de lo determinado por el estudio de suelo correspondiente.</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Arbolado público, de acuerdo a la normativa vigente.</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Deberá constituirse un consorcio de propietarios encargado del control y manejo de la prestación de servicios de agua potable y tratamiento de efluentes, los que podrán ser auditados por la autoridad municipal </w:t>
      </w:r>
      <w:r w:rsidRPr="00184560">
        <w:rPr>
          <w:rFonts w:ascii="Bookman Old Style" w:eastAsia="Times New Roman" w:hAnsi="Bookman Old Style" w:cs="Times New Roman"/>
          <w:sz w:val="24"/>
          <w:szCs w:val="24"/>
          <w:lang w:eastAsia="es-AR"/>
        </w:rPr>
        <w:lastRenderedPageBreak/>
        <w:t>correspondiente, dejándose constancia que los mismos no se deberán donar instalaciones al municipio por ser administradas por un Consorcio.</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restantes indicadores están detallados en el </w:t>
      </w:r>
      <w:r w:rsidRPr="00184560">
        <w:rPr>
          <w:rFonts w:ascii="Bookman Old Style" w:eastAsia="Times New Roman" w:hAnsi="Bookman Old Style" w:cs="Times New Roman"/>
          <w:b/>
          <w:sz w:val="24"/>
          <w:szCs w:val="24"/>
          <w:lang w:eastAsia="es-AR"/>
        </w:rPr>
        <w:t>Anexo V</w:t>
      </w:r>
      <w:r w:rsidRPr="00184560">
        <w:rPr>
          <w:rFonts w:ascii="Bookman Old Style" w:eastAsia="Times New Roman" w:hAnsi="Bookman Old Style" w:cs="Times New Roman"/>
          <w:sz w:val="24"/>
          <w:szCs w:val="24"/>
          <w:lang w:eastAsia="es-AR"/>
        </w:rPr>
        <w:t>.</w:t>
      </w:r>
    </w:p>
    <w:p w:rsidR="004C17AE" w:rsidRPr="00184560" w:rsidRDefault="004C17AE" w:rsidP="00A44E48">
      <w:pPr>
        <w:numPr>
          <w:ilvl w:val="1"/>
          <w:numId w:val="23"/>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Lotes con una superficie mínima de mil doscientos metros cuadrados (1.200,00m), que deberán cumplir con los siguientes requisitos:</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Estos podrán tener tratamiento de efluentes cloacales en el mismo lote y de acuerdo a la Ordenanza vigente.</w:t>
      </w:r>
    </w:p>
    <w:p w:rsidR="004C17AE" w:rsidRPr="00184560" w:rsidRDefault="004C17AE" w:rsidP="00A44E48">
      <w:pPr>
        <w:numPr>
          <w:ilvl w:val="2"/>
          <w:numId w:val="23"/>
        </w:numPr>
        <w:spacing w:after="120" w:line="360" w:lineRule="auto"/>
        <w:ind w:left="1701" w:hanging="141"/>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provisión de agua potable podrá ser a través de un sistema colectivo o de manera individual con pozos propios.  El suministro de agua colectivo obliga al Loteador a la formación de un consorcio de propietarios que será el encargado del control y mantenimiento del sistema, el que podrá ser auditado por la autoridad municipal correspondiente, dejándose constancia que los mismos no se deberán donar instalaciones al municipio por ser administradas por un Consorcio.</w:t>
      </w:r>
    </w:p>
    <w:p w:rsidR="004C17AE" w:rsidRPr="00184560" w:rsidRDefault="004C17AE" w:rsidP="00A44E48">
      <w:pPr>
        <w:numPr>
          <w:ilvl w:val="0"/>
          <w:numId w:val="23"/>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Red Eléctrica domiciliaria: será aprobada por la Empresa proveedora de energía.</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Los restantes indicadores están detallados en el </w:t>
      </w:r>
      <w:r w:rsidRPr="00184560">
        <w:rPr>
          <w:rFonts w:ascii="Bookman Old Style" w:eastAsia="Times New Roman" w:hAnsi="Bookman Old Style" w:cs="Times New Roman"/>
          <w:b/>
          <w:sz w:val="24"/>
          <w:szCs w:val="24"/>
          <w:lang w:eastAsia="es-AR"/>
        </w:rPr>
        <w:t>Anexo V</w:t>
      </w:r>
      <w:r w:rsidRPr="00184560">
        <w:rPr>
          <w:rFonts w:ascii="Bookman Old Style" w:eastAsia="Times New Roman" w:hAnsi="Bookman Old Style" w:cs="Times New Roman"/>
          <w:sz w:val="24"/>
          <w:szCs w:val="24"/>
          <w:lang w:eastAsia="es-AR"/>
        </w:rPr>
        <w:t>.</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totalidad de las obras, incluyendo ejecución de movimiento de suelos, perforaciones, sistema de tratamiento, tanques de reserva y provisión de agua potable, tendido de cañerías, conexiones domiciliarias y toda otra tarea u obra necesaria para cumplimentar con los requerimientos de esta Ordenanza, son a costa y cargo del Loteador, salvo que se encuentre previsto de otra manera.</w:t>
      </w:r>
    </w:p>
    <w:p w:rsidR="004C17AE" w:rsidRPr="00184560" w:rsidRDefault="004C17AE" w:rsidP="004C17AE">
      <w:pPr>
        <w:rPr>
          <w:rFonts w:ascii="Bookman Old Style" w:eastAsia="Times New Roman" w:hAnsi="Bookman Old Style" w:cs="Times New Roman"/>
          <w:sz w:val="24"/>
          <w:szCs w:val="24"/>
          <w:lang w:eastAsia="es-AR"/>
        </w:rPr>
      </w:pPr>
    </w:p>
    <w:p w:rsidR="00DF1C0B" w:rsidRDefault="00DF1C0B" w:rsidP="004C17AE">
      <w:pPr>
        <w:rPr>
          <w:rFonts w:ascii="Bookman Old Style" w:eastAsia="Times New Roman" w:hAnsi="Bookman Old Style" w:cs="Times New Roman"/>
          <w:b/>
          <w:sz w:val="28"/>
          <w:szCs w:val="24"/>
          <w:lang w:eastAsia="es-AR"/>
        </w:rPr>
      </w:pPr>
    </w:p>
    <w:p w:rsidR="00DF1C0B" w:rsidRDefault="00DF1C0B" w:rsidP="004C17AE">
      <w:pPr>
        <w:rPr>
          <w:rFonts w:ascii="Bookman Old Style" w:eastAsia="Times New Roman" w:hAnsi="Bookman Old Style" w:cs="Times New Roman"/>
          <w:b/>
          <w:sz w:val="28"/>
          <w:szCs w:val="24"/>
          <w:lang w:eastAsia="es-AR"/>
        </w:rPr>
      </w:pPr>
    </w:p>
    <w:p w:rsidR="004C17AE" w:rsidRPr="00184560" w:rsidRDefault="004C17AE" w:rsidP="004C17AE">
      <w:pPr>
        <w:rPr>
          <w:rFonts w:ascii="Bookman Old Style" w:eastAsia="Times New Roman" w:hAnsi="Bookman Old Style" w:cs="Times New Roman"/>
          <w:b/>
          <w:sz w:val="28"/>
          <w:szCs w:val="24"/>
          <w:lang w:eastAsia="es-AR"/>
        </w:rPr>
      </w:pPr>
      <w:r w:rsidRPr="00184560">
        <w:rPr>
          <w:rFonts w:ascii="Bookman Old Style" w:eastAsia="Times New Roman" w:hAnsi="Bookman Old Style" w:cs="Times New Roman"/>
          <w:b/>
          <w:sz w:val="28"/>
          <w:szCs w:val="24"/>
          <w:lang w:eastAsia="es-AR"/>
        </w:rPr>
        <w:lastRenderedPageBreak/>
        <w:t>SECCIÓN III: PROCEDIMIENTO</w:t>
      </w: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40: Etapas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procedimiento reconoce tres (3) etapas o instancias. La primera de ella es la “Pre-Factibilidad”, siendo esta la única facultativa para el interesado. Las otras dos instancias son la “Autorización” y la “Aprobación”, siendo estas 2 (dos), obligatorias para todos los casos.</w:t>
      </w:r>
    </w:p>
    <w:p w:rsidR="004C17AE" w:rsidRPr="00184560" w:rsidRDefault="004C17AE" w:rsidP="004C17AE">
      <w:pPr>
        <w:rPr>
          <w:rFonts w:ascii="Bookman Old Style" w:eastAsia="Times New Roman" w:hAnsi="Bookman Old Style" w:cs="Times New Roman"/>
          <w:sz w:val="24"/>
          <w:szCs w:val="24"/>
          <w:lang w:eastAsia="es-AR"/>
        </w:rPr>
      </w:pPr>
      <w:bookmarkStart w:id="39" w:name="_heading=h.2iq8gzs" w:colFirst="0" w:colLast="0"/>
      <w:bookmarkEnd w:id="39"/>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41°: Pre-Factibilidad</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Esta es una etapa de consulta, de carácter opcional, que permite a los solicitantes poder conocer con antelación la viabilidad de su proyecto, reduciendo los gastos operativos. Para ello, se deberá presentar lo siguiente:</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Nota dirigida al Presidente Municipal solicitando la Pre factibilidad del Anteproyecto de Loteo la que deberá acompañarse con una Memoria descriptiva del proyecto.</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Acreditación de titularidad del dominio del inmueble a fraccionar. Quien obrare por representación o mandato, deberá probar tal carácter en forma legal.</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Croquis de Anteproyecto general de loteo.</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Croquis de ubicación en relación a las urbanizaciones vecinas, indicando calles, existentes y demás características del inmueble a fraccionar y su entorno inmediato, especificando las dimensiones.</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Fotografías del lugar e imagen satelital georreferenciada.*</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Factibilidad de provisión de energía eléctrica emitido por la empresa prestadora del servicio.</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Memoria descriptiva del sistema de provisión de agua potable y de tratamiento de efluentes según la zona en que se localice el título a subdividir.</w:t>
      </w:r>
    </w:p>
    <w:p w:rsidR="004C17AE" w:rsidRPr="00184560" w:rsidRDefault="004C17AE" w:rsidP="00A44E48">
      <w:pPr>
        <w:numPr>
          <w:ilvl w:val="0"/>
          <w:numId w:val="24"/>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Las escalas, detalles o especificaciones serán acordes al anteproyecto, y la autoridad de aplicación podrá solicitar la incorporación de documentación adicional cuando así lo considere necesario para la correcta interpretación del anteproyecto presentado.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Efectuada la presentación, la Secretaría de Obras y Servicios Públicos a través del área correspondiente, tendrá un plazo improrrogable de treinta (30) días hábiles para expedirse. Dicha Secretaría podrá conceder o negar la emisión del correspondiente certificado, en atención a la viabilidad del anteproyecto. En caso de negativa, la Secretaría deberá fundamentar los motivos técnicos que impiden el desarrollo del proyecto, indicando las obras necesarias para sanear dichas limitaciones. Los desarrolladores interesados podrán proponer, a la Secretaría de Obras y Servicios Públicos, un proyecto de desarrollo de la infraestructura necesaria para superar las limitaciones técnicas, las que en caso de resultar aprobadas podrán serán realizadas a cargo del desarrollador solicitante, de conformidad a las pautas que se establezcan en el respectivo acuerdo con el Departamento Ejecutivo para el desarrollo mixto (público-privado) de dichas obras.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Vencido el mencionado plazo, en caso de no haber recibido respuesta por parte de la Administración Municipal, se considerará como respuesta afirmativa.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Pre-Factibilidad, sin importar la vía por la que fuera concedida, tendrá una validez de dieciocho (18) meses, que podrá ser prorrogada por una única vez y por igual plazo de ser ello necesario.</w:t>
      </w:r>
    </w:p>
    <w:p w:rsidR="004C17AE" w:rsidRPr="00184560" w:rsidRDefault="004C17AE" w:rsidP="004C17AE">
      <w:pPr>
        <w:rPr>
          <w:rFonts w:ascii="Bookman Old Style" w:eastAsia="Times New Roman" w:hAnsi="Bookman Old Style" w:cs="Times New Roman"/>
          <w:sz w:val="24"/>
          <w:szCs w:val="24"/>
          <w:lang w:eastAsia="es-AR"/>
        </w:rPr>
      </w:pPr>
      <w:bookmarkStart w:id="40" w:name="_heading=h.xvir7l" w:colFirst="0" w:colLast="0"/>
      <w:bookmarkEnd w:id="40"/>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42°: Autorización</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La autorización implica la </w:t>
      </w:r>
      <w:proofErr w:type="spellStart"/>
      <w:r w:rsidRPr="00184560">
        <w:rPr>
          <w:rFonts w:ascii="Bookman Old Style" w:eastAsia="Times New Roman" w:hAnsi="Bookman Old Style" w:cs="Times New Roman"/>
          <w:sz w:val="24"/>
          <w:szCs w:val="24"/>
          <w:lang w:eastAsia="es-AR"/>
        </w:rPr>
        <w:t>visación</w:t>
      </w:r>
      <w:proofErr w:type="spellEnd"/>
      <w:r w:rsidRPr="00184560">
        <w:rPr>
          <w:rFonts w:ascii="Bookman Old Style" w:eastAsia="Times New Roman" w:hAnsi="Bookman Old Style" w:cs="Times New Roman"/>
          <w:sz w:val="24"/>
          <w:szCs w:val="24"/>
          <w:lang w:eastAsia="es-AR"/>
        </w:rPr>
        <w:t xml:space="preserve"> del proyecto, y la posibilidad de inicio de las obras de infraestructura.</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su solicitud, deberá presentarse lo siguiente:</w:t>
      </w:r>
    </w:p>
    <w:p w:rsidR="008F5C0E"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8F5C0E">
        <w:rPr>
          <w:rFonts w:ascii="Bookman Old Style" w:eastAsia="Times New Roman" w:hAnsi="Bookman Old Style" w:cs="Times New Roman"/>
          <w:sz w:val="24"/>
          <w:szCs w:val="24"/>
          <w:lang w:eastAsia="es-AR"/>
        </w:rPr>
        <w:t>Informe de Dominio.</w:t>
      </w:r>
    </w:p>
    <w:p w:rsidR="004C17AE" w:rsidRPr="008F5C0E"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8F5C0E">
        <w:rPr>
          <w:rFonts w:ascii="Bookman Old Style" w:eastAsia="Times New Roman" w:hAnsi="Bookman Old Style" w:cs="Times New Roman"/>
          <w:sz w:val="24"/>
          <w:szCs w:val="24"/>
          <w:lang w:eastAsia="es-AR"/>
        </w:rPr>
        <w:lastRenderedPageBreak/>
        <w:t xml:space="preserve">Certificado de no </w:t>
      </w:r>
      <w:proofErr w:type="spellStart"/>
      <w:r w:rsidRPr="008F5C0E">
        <w:rPr>
          <w:rFonts w:ascii="Bookman Old Style" w:eastAsia="Times New Roman" w:hAnsi="Bookman Old Style" w:cs="Times New Roman"/>
          <w:sz w:val="24"/>
          <w:szCs w:val="24"/>
          <w:lang w:eastAsia="es-AR"/>
        </w:rPr>
        <w:t>Inundabilidad</w:t>
      </w:r>
      <w:proofErr w:type="spellEnd"/>
      <w:r w:rsidRPr="008F5C0E">
        <w:rPr>
          <w:rFonts w:ascii="Bookman Old Style" w:eastAsia="Times New Roman" w:hAnsi="Bookman Old Style" w:cs="Times New Roman"/>
          <w:sz w:val="24"/>
          <w:szCs w:val="24"/>
          <w:lang w:eastAsia="es-AR"/>
        </w:rPr>
        <w:t xml:space="preserve"> otorgado por Secretaría de Obras y Servicios Públicos a través del área correspondiente de la Municipalidad de Colón.</w:t>
      </w:r>
    </w:p>
    <w:p w:rsidR="004C17AE" w:rsidRPr="00184560"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Factibilidad de acceso a los servicios requeridos y no provistos por el municipio (Esto es de carácter opcional)</w:t>
      </w:r>
    </w:p>
    <w:p w:rsidR="004C17AE" w:rsidRPr="00184560"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Certificado de Aptitud Ambiental, en caso de ser requerido por la Normativa Provincial, según Decreto N°4977/09, o norma que la reemplace.</w:t>
      </w:r>
    </w:p>
    <w:p w:rsidR="004C17AE" w:rsidRPr="00184560"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Proyecto de redes de infraestructura a ejecutar por el solicitante, esto incluye todos aquellos servicios exigidos por el artículo 41°.</w:t>
      </w:r>
    </w:p>
    <w:p w:rsidR="004C17AE" w:rsidRPr="00184560"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Proyecto y memoria técnica descriptiva del sistema de provisión de agua potable, el que contará mínimamente con: </w:t>
      </w:r>
    </w:p>
    <w:p w:rsidR="004C17AE" w:rsidRPr="00184560" w:rsidRDefault="004C17AE" w:rsidP="00A44E48">
      <w:pPr>
        <w:numPr>
          <w:ilvl w:val="1"/>
          <w:numId w:val="25"/>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Ubicación georreferenciada del pozo de extracción de agua a ejecutar. *</w:t>
      </w:r>
    </w:p>
    <w:p w:rsidR="004C17AE" w:rsidRPr="00184560" w:rsidRDefault="004C17AE" w:rsidP="00A44E48">
      <w:pPr>
        <w:numPr>
          <w:ilvl w:val="1"/>
          <w:numId w:val="25"/>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Factibilidad de provisión de agua potable emitido por persona registrada y habilitada por este Municipio. Dicho certificado deberá incluir la asunción de parte del propietario de la responsabilidad de la provisión del servicio de agua en los términos descriptos por el certificado.</w:t>
      </w:r>
    </w:p>
    <w:p w:rsidR="004C17AE" w:rsidRPr="00184560" w:rsidRDefault="004C17AE" w:rsidP="00A44E48">
      <w:pPr>
        <w:numPr>
          <w:ilvl w:val="1"/>
          <w:numId w:val="25"/>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de la red de distribución de agua.</w:t>
      </w:r>
    </w:p>
    <w:p w:rsidR="004C17AE" w:rsidRPr="00184560" w:rsidRDefault="004C17AE" w:rsidP="00A44E48">
      <w:pPr>
        <w:numPr>
          <w:ilvl w:val="1"/>
          <w:numId w:val="25"/>
        </w:numPr>
        <w:spacing w:after="120" w:line="360" w:lineRule="auto"/>
        <w:ind w:left="1276"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del Tanque de Reserva de agua potable comunitario del loteo, debiendo detallarse la capacidad y cubicación del mismo, lo que deberá dar cumplimiento al Reglamento de Obras Sanitarias de la Nación.</w:t>
      </w:r>
    </w:p>
    <w:p w:rsidR="004C17AE" w:rsidRPr="00184560"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Proyecto y memoria técnica descriptiva del sistema de tratamiento de efluentes cloacales firmado por profesional con título habilitante y visado por el colegio profesional correspondiente.</w:t>
      </w:r>
    </w:p>
    <w:p w:rsidR="004C17AE" w:rsidRPr="00184560"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Proyecto de red de alumbrado público, incluyendo la ubicación de farolas de alumbrado público y arbolado. En aquellos proyectos </w:t>
      </w:r>
      <w:r w:rsidRPr="00184560">
        <w:rPr>
          <w:rFonts w:ascii="Bookman Old Style" w:eastAsia="Times New Roman" w:hAnsi="Bookman Old Style" w:cs="Times New Roman"/>
          <w:sz w:val="24"/>
          <w:szCs w:val="24"/>
          <w:lang w:eastAsia="es-AR"/>
        </w:rPr>
        <w:lastRenderedPageBreak/>
        <w:t>en que se prevea la ejecución por etapas, las mismas deberán ser descriptas.</w:t>
      </w:r>
    </w:p>
    <w:p w:rsidR="004C17AE" w:rsidRPr="00184560" w:rsidRDefault="004C17AE" w:rsidP="00A44E48">
      <w:pPr>
        <w:numPr>
          <w:ilvl w:val="0"/>
          <w:numId w:val="25"/>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Descripción de la conformación del consorcio que administrará estos sistemas cuando corresponda. El Reglamento a adjuntarse en dicho caso, deberá contener una cláusula de eximición de responsabilidad del Municipio por los servicios a cargo del Consorcio.</w:t>
      </w:r>
    </w:p>
    <w:p w:rsidR="004C17AE" w:rsidRPr="00184560" w:rsidRDefault="004C17AE" w:rsidP="00A44E48">
      <w:pPr>
        <w:numPr>
          <w:ilvl w:val="0"/>
          <w:numId w:val="25"/>
        </w:numPr>
        <w:spacing w:after="120" w:line="360" w:lineRule="auto"/>
        <w:ind w:left="709" w:hanging="425"/>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de altimetrías y curvas de nivel, con niveles de escurrimientos naturales de cursos de agua y desagües pluviales. No se podrá alterar el escurrimiento natural (Zanjones, cursos de aguas) mediante cambios que ocasionen inconvenientes a predios vecinos o a calles vecinales.</w:t>
      </w:r>
    </w:p>
    <w:p w:rsidR="004C17AE" w:rsidRPr="00184560" w:rsidRDefault="004C17AE" w:rsidP="00A44E48">
      <w:pPr>
        <w:numPr>
          <w:ilvl w:val="0"/>
          <w:numId w:val="25"/>
        </w:numPr>
        <w:spacing w:after="120" w:line="360" w:lineRule="auto"/>
        <w:ind w:left="709" w:hanging="425"/>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de distribución de arbolado público, con aclaración de cantidad de especies por cuadra, identificación de ejemplares, distancia entre ellos y toda aquella especificación que solicite el área municipal interviniente, conforme a la Ordenanza vigente sobre el tema.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En caso de no haber solicitado la </w:t>
      </w:r>
      <w:proofErr w:type="spellStart"/>
      <w:r w:rsidRPr="00184560">
        <w:rPr>
          <w:rFonts w:ascii="Bookman Old Style" w:eastAsia="Times New Roman" w:hAnsi="Bookman Old Style" w:cs="Times New Roman"/>
          <w:sz w:val="24"/>
          <w:szCs w:val="24"/>
          <w:lang w:eastAsia="es-AR"/>
        </w:rPr>
        <w:t>Prefactibilidad</w:t>
      </w:r>
      <w:proofErr w:type="spellEnd"/>
      <w:r w:rsidRPr="00184560">
        <w:rPr>
          <w:rFonts w:ascii="Bookman Old Style" w:eastAsia="Times New Roman" w:hAnsi="Bookman Old Style" w:cs="Times New Roman"/>
          <w:sz w:val="24"/>
          <w:szCs w:val="24"/>
          <w:lang w:eastAsia="es-AR"/>
        </w:rPr>
        <w:t xml:space="preserve"> deberá adjuntar lo solicitado en los puntos I y II del artículo precedente.</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La presentación de la solicitud de autorización debe efectuarse ante la Secretaría de Obras y Servicios Públicos, pero deberá contar con la </w:t>
      </w:r>
      <w:proofErr w:type="spellStart"/>
      <w:r w:rsidRPr="00184560">
        <w:rPr>
          <w:rFonts w:ascii="Bookman Old Style" w:eastAsia="Times New Roman" w:hAnsi="Bookman Old Style" w:cs="Times New Roman"/>
          <w:sz w:val="24"/>
          <w:szCs w:val="24"/>
          <w:lang w:eastAsia="es-AR"/>
        </w:rPr>
        <w:t>visación</w:t>
      </w:r>
      <w:proofErr w:type="spellEnd"/>
      <w:r w:rsidRPr="00184560">
        <w:rPr>
          <w:rFonts w:ascii="Bookman Old Style" w:eastAsia="Times New Roman" w:hAnsi="Bookman Old Style" w:cs="Times New Roman"/>
          <w:sz w:val="24"/>
          <w:szCs w:val="24"/>
          <w:lang w:eastAsia="es-AR"/>
        </w:rPr>
        <w:t xml:space="preserve"> de todas las áreas intervinientes que sean necesarias de acuerdo a las características del loteo que se proyecta, debiendo contar necesariamente con la autorización final de la Secretaría de Obras y Servicios Públicos.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solicitud será respondida en un plazo de sesenta (60) días hábiles los que podrán ser renovados por igual período si así se requiriese. Para el caso de contar con Pre-Factibilidad, el plazo será de treinta (30) días hábiles.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Cumplidas las exigencias precedentemente descritas, y una vez que se haya verificado que el proyecto de loteo reúne las condiciones necesarias para su desarrollo, se emitirá la Resolución correspondiente </w:t>
      </w:r>
      <w:r w:rsidRPr="00184560">
        <w:rPr>
          <w:rFonts w:ascii="Bookman Old Style" w:eastAsia="Times New Roman" w:hAnsi="Bookman Old Style" w:cs="Times New Roman"/>
          <w:sz w:val="24"/>
          <w:szCs w:val="24"/>
          <w:lang w:eastAsia="es-AR"/>
        </w:rPr>
        <w:lastRenderedPageBreak/>
        <w:t>Autorizando a dicho loteo, lo que permitirá que el Loteador comience a realizar las obras de infraestructura necesarias.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Durante el desarrollo de las obras mencionadas, el propietario deberá informar el grado de avance y solicitar la inspección final por parte de la Secretaría de Obras Públicas. Sin perjuicio de ello, dicha Secretaría, podrá efectuar inspecciones parciales de oficio para verificar el grado de avance y cumplimiento a los parámetros del proyecto autorizado.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Toda la documentación técnica a presentar, deberá estar firmada por el Propietario, el Constructor o Empresa Constructora y por el o los Profesionales que intervengan en el cálculo y/o el diseño de cada proyecto de infraestructura y/o servicios que sean necesarios presentar, documentación que deberá, además, estar visada por el/los</w:t>
      </w:r>
      <w:r w:rsidR="00DF1C0B">
        <w:rPr>
          <w:rFonts w:ascii="Bookman Old Style" w:eastAsia="Times New Roman" w:hAnsi="Bookman Old Style" w:cs="Times New Roman"/>
          <w:sz w:val="24"/>
          <w:szCs w:val="24"/>
          <w:lang w:eastAsia="es-AR"/>
        </w:rPr>
        <w:t xml:space="preserve"> </w:t>
      </w:r>
      <w:r w:rsidRPr="00184560">
        <w:rPr>
          <w:rFonts w:ascii="Bookman Old Style" w:eastAsia="Times New Roman" w:hAnsi="Bookman Old Style" w:cs="Times New Roman"/>
          <w:sz w:val="24"/>
          <w:szCs w:val="24"/>
          <w:lang w:eastAsia="es-AR"/>
        </w:rPr>
        <w:t>Colegio/s</w:t>
      </w:r>
      <w:r w:rsidR="00DF1C0B">
        <w:rPr>
          <w:rFonts w:ascii="Bookman Old Style" w:eastAsia="Times New Roman" w:hAnsi="Bookman Old Style" w:cs="Times New Roman"/>
          <w:sz w:val="24"/>
          <w:szCs w:val="24"/>
          <w:lang w:eastAsia="es-AR"/>
        </w:rPr>
        <w:t xml:space="preserve"> </w:t>
      </w:r>
      <w:r w:rsidRPr="00184560">
        <w:rPr>
          <w:rFonts w:ascii="Bookman Old Style" w:eastAsia="Times New Roman" w:hAnsi="Bookman Old Style" w:cs="Times New Roman"/>
          <w:sz w:val="24"/>
          <w:szCs w:val="24"/>
          <w:lang w:eastAsia="es-AR"/>
        </w:rPr>
        <w:t>Profesional/es correspondiente/s.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 hace saber que las obras y tareas antes mencionadas, están sujetas al cumplimiento y aplicación del Código de Edificación de la Ciudad, y/o a toda otra Ordenanza pertinente o que lo modifique, complemente y/o amplíe.</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43°: Aprobación</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aprobación de un loteo implica la ejecución y recepción definitiva de las obras de infraestructura, y la donación y cesión de todas las superficies indicadas en la presente Ordenanza, con excepción de las que se encuentren bajo la responsabilidad de un Consorcio. Recién una vez obtenida la misma, el Loteador podrá proceder a la mensura y venta de los respectivos lotes.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obtener dicha aprobación, respecto de las obras ejecutadas, deberá presentarse la siguiente documentación la que deberá estar firmada por el Propietario y en los casos correspondientes, por el Profesional matriculado y habilitado para tal fin, con incumbencia en la materia:</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Certificación del caudal del pozo de agua.</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Análisis fisicoquímicos y </w:t>
      </w:r>
      <w:r w:rsidR="00DF1C0B" w:rsidRPr="00184560">
        <w:rPr>
          <w:rFonts w:ascii="Bookman Old Style" w:eastAsia="Times New Roman" w:hAnsi="Bookman Old Style" w:cs="Times New Roman"/>
          <w:sz w:val="24"/>
          <w:szCs w:val="24"/>
          <w:lang w:eastAsia="es-AR"/>
        </w:rPr>
        <w:t>bacteriológicos</w:t>
      </w:r>
      <w:r w:rsidRPr="00184560">
        <w:rPr>
          <w:rFonts w:ascii="Bookman Old Style" w:eastAsia="Times New Roman" w:hAnsi="Bookman Old Style" w:cs="Times New Roman"/>
          <w:sz w:val="24"/>
          <w:szCs w:val="24"/>
          <w:lang w:eastAsia="es-AR"/>
        </w:rPr>
        <w:t xml:space="preserve"> del agua obtenida del pozo.</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“Conforme a Obra” de la red de distribución de agua.</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lastRenderedPageBreak/>
        <w:t>Planos “Conforme a Obra” del tanque de reserva de agua potable comunitario del loteo.</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“Conforme a Obra” del sistema de tratamiento de líquidos cloacales.</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“Conforme a Obra” de la red alumbrado público.</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“Conforme a Obra” de altimetrías y curvas de nivel definitivas, con niveles de escurrimientos naturales de cursos de agua y desagües pluviales.</w:t>
      </w:r>
    </w:p>
    <w:p w:rsidR="004C17AE" w:rsidRPr="00184560" w:rsidRDefault="004C17AE" w:rsidP="00A44E48">
      <w:pPr>
        <w:pStyle w:val="Prrafodelista"/>
        <w:numPr>
          <w:ilvl w:val="0"/>
          <w:numId w:val="26"/>
        </w:numPr>
        <w:spacing w:after="120" w:line="360" w:lineRule="auto"/>
        <w:ind w:left="709" w:hanging="283"/>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Planos “Conforme a Obra” del arbolado público, identificando las especies plantadas y la distancia entre ellas.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Una vez obtenida la autorización del artículo precedente, y habiendo dado cumplimiento a un 100% del desarrollo de las obras de infraestructura, el loteo se encuentra en condiciones de ser aprobado, lo que será certificado por la Secretaría de Obras y Servicios Públicos, a través de sus áreas correspondientes.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Aprobación del Loteo se realizará mediante Resolución emitida por la Secretaría de Obras y Servicios Públicos, contra presentación del Legajo correspondiente, en un plazo máximo de treinta (30) días hábiles.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los casos que corresponda, la aprobación del loteo, implica la dinamización y la modificación automática de los límites de los sectores pertinentes.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el caso de loteos urbanos, podrán efectuarse aprobaciones parciales del loteo, siempre y cuando el sector sobre el que se efectúe la aprobación parcial guarde relación de colindancia con una zona urbanizada y cuente con un 100% del desarrollo de las obras de infraestructura y el 100 % de las cesiones de terrenos públicos previstas en la ordenanza efectivizada.</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Cuando se trate de loteos que no supongan la modificación de los límites del núcleo urbano, podrán efectuarse aprobaciones parciales siempre que la Administración Municipal lo considere pertinente.</w:t>
      </w:r>
    </w:p>
    <w:p w:rsidR="004C17AE" w:rsidRPr="00184560" w:rsidRDefault="004C17AE" w:rsidP="004C17AE">
      <w:pPr>
        <w:rPr>
          <w:rFonts w:ascii="Bookman Old Style" w:eastAsia="Times New Roman" w:hAnsi="Bookman Old Style" w:cs="Times New Roman"/>
          <w:sz w:val="24"/>
          <w:szCs w:val="24"/>
          <w:lang w:eastAsia="es-AR"/>
        </w:rPr>
      </w:pPr>
    </w:p>
    <w:p w:rsidR="00DF1C0B" w:rsidRDefault="00DF1C0B" w:rsidP="004C17AE">
      <w:pPr>
        <w:rPr>
          <w:rFonts w:ascii="Bookman Old Style" w:eastAsia="Times New Roman" w:hAnsi="Bookman Old Style" w:cs="Times New Roman"/>
          <w:b/>
          <w:sz w:val="24"/>
          <w:szCs w:val="24"/>
          <w:lang w:eastAsia="es-AR"/>
        </w:rPr>
      </w:pPr>
    </w:p>
    <w:p w:rsidR="00DF1C0B" w:rsidRDefault="00DF1C0B"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lastRenderedPageBreak/>
        <w:t>Artículo 44°: Carga de las obras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Todos los servicios exigidos serán realizados por cuenta y orden del Loteador, con dirección de obra Profesional y bajo inspección de personal municipal y en base a proyecto o especificaciones técnicas aprobadas por la Municipalidad a través de las áreas correspondientes.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Deberán cumplirse los requisitos anteriormente mencionados para la presentación de Planos “Conforme a Obra” e inspecciones, tanto de los Profesionales como de las Empresas Constructoras involucradas en el proyecto y ejecución de los trabajos.</w:t>
      </w:r>
    </w:p>
    <w:p w:rsidR="004C17AE" w:rsidRPr="00184560" w:rsidRDefault="004C17AE" w:rsidP="00DF1C0B">
      <w:pPr>
        <w:jc w:val="both"/>
        <w:rPr>
          <w:rFonts w:ascii="Bookman Old Style" w:eastAsia="Times New Roman" w:hAnsi="Bookman Old Style" w:cs="Times New Roman"/>
          <w:sz w:val="24"/>
          <w:szCs w:val="24"/>
          <w:lang w:eastAsia="es-AR"/>
        </w:rPr>
      </w:pPr>
      <w:bookmarkStart w:id="41" w:name="_heading=h.4h042r0" w:colFirst="0" w:colLast="0"/>
      <w:bookmarkEnd w:id="41"/>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45°: Niveles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relieve topográfico del conjunto y de cada una de las manzanas deberá tener pendientes suficientes que permitan la normal evacuación de las aguas pluviales hacia la vía pública.</w:t>
      </w:r>
    </w:p>
    <w:p w:rsidR="004C17AE" w:rsidRPr="00184560" w:rsidRDefault="004C17AE" w:rsidP="004C17AE">
      <w:pPr>
        <w:rPr>
          <w:rFonts w:ascii="Bookman Old Style" w:eastAsia="Times New Roman" w:hAnsi="Bookman Old Style" w:cs="Times New Roman"/>
          <w:sz w:val="24"/>
          <w:szCs w:val="24"/>
          <w:lang w:eastAsia="es-AR"/>
        </w:rPr>
      </w:pPr>
      <w:bookmarkStart w:id="42" w:name="_heading=h.2w5ecyt" w:colFirst="0" w:colLast="0"/>
      <w:bookmarkEnd w:id="42"/>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46°: Higiene</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propietario de la urbanización está siempre obligado a mantener las parcelas en condiciones de higiene y libres de maleza, mientras las mismas no hayan sido transferidas.</w:t>
      </w:r>
    </w:p>
    <w:p w:rsidR="004C17AE" w:rsidRPr="00184560" w:rsidRDefault="004C17AE" w:rsidP="004C17AE">
      <w:pPr>
        <w:rPr>
          <w:rFonts w:ascii="Bookman Old Style" w:eastAsia="Times New Roman" w:hAnsi="Bookman Old Style" w:cs="Times New Roman"/>
          <w:sz w:val="24"/>
          <w:szCs w:val="24"/>
          <w:lang w:eastAsia="es-AR"/>
        </w:rPr>
      </w:pPr>
      <w:bookmarkStart w:id="43" w:name="_heading=h.1baon6m" w:colFirst="0" w:colLast="0"/>
      <w:bookmarkEnd w:id="43"/>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47°: De la mensura y amojonamiento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Será obligación la presentación del plano de nivelación de la urbanización con indicación de los escurrimientos de las aguas naturales. Deberá constar también en dicho plano el escurrimiento de las zonas colindantes compatibilizando el aporte de caudal a la urbanización y de ésta -si lo hubiere- a los linderos.</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48°: </w:t>
      </w:r>
      <w:bookmarkStart w:id="44" w:name="_heading=h.3vac5uf" w:colFirst="0" w:colLast="0"/>
      <w:bookmarkEnd w:id="44"/>
      <w:r w:rsidRPr="00184560">
        <w:rPr>
          <w:rFonts w:ascii="Bookman Old Style" w:eastAsia="Times New Roman" w:hAnsi="Bookman Old Style" w:cs="Times New Roman"/>
          <w:b/>
          <w:sz w:val="24"/>
          <w:szCs w:val="24"/>
          <w:lang w:eastAsia="es-AR"/>
        </w:rPr>
        <w:t>Vértices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nivelación y demarcación deberá quedar materializada obligatoriamente en los vértices de la poligonal de la urbanización y en los vértices de las manzanas mediante el amojonamiento   correspondiente.</w:t>
      </w: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lastRenderedPageBreak/>
        <w:t xml:space="preserve">Artículo 49°: </w:t>
      </w:r>
      <w:bookmarkStart w:id="45" w:name="_heading=h.2afmg28" w:colFirst="0" w:colLast="0"/>
      <w:bookmarkEnd w:id="45"/>
      <w:r w:rsidRPr="00184560">
        <w:rPr>
          <w:rFonts w:ascii="Bookman Old Style" w:eastAsia="Times New Roman" w:hAnsi="Bookman Old Style" w:cs="Times New Roman"/>
          <w:b/>
          <w:sz w:val="24"/>
          <w:szCs w:val="24"/>
          <w:lang w:eastAsia="es-AR"/>
        </w:rPr>
        <w:t>Estacas</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Será obligación del interesado entregar estaqueada la parcela a cada comprador como así mismo cualquier terreno que el Loteador ceda a la Municipalidad, en este último caso, sin cargo alguno.</w:t>
      </w:r>
    </w:p>
    <w:p w:rsidR="004C17AE" w:rsidRPr="00184560" w:rsidRDefault="004C17AE" w:rsidP="004C17AE">
      <w:pPr>
        <w:rPr>
          <w:rFonts w:ascii="Bookman Old Style" w:eastAsia="Times New Roman" w:hAnsi="Bookman Old Style" w:cs="Times New Roman"/>
          <w:sz w:val="24"/>
          <w:szCs w:val="24"/>
          <w:lang w:eastAsia="es-AR"/>
        </w:rPr>
      </w:pPr>
      <w:bookmarkStart w:id="46" w:name="_heading=h.pkwqa1" w:colFirst="0" w:colLast="0"/>
      <w:bookmarkEnd w:id="46"/>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50°: De la responsabilidad del amojonamiento</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Con el fin de facilitar la ejecución de obras de infraestructura, replanteos para edificación, mensuras, etc., los mojones correspondientes a la poligonal y a los vértices de manzanas serán ejecutados en hormigón, mientras que las estacas de cada parcela podrán ser ejecutadas en maderas fijadas a suelo natural.</w:t>
      </w:r>
    </w:p>
    <w:p w:rsidR="004C17AE" w:rsidRPr="00184560" w:rsidRDefault="004C17AE" w:rsidP="00DF1C0B">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los casos donde el paso del tiempo u otros factores adversos haya producido la desaparición total o parcial de alguno de estos mojones, será responsabilidad del propietario efectuar el nuevo amojonamiento.</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51°: </w:t>
      </w:r>
      <w:bookmarkStart w:id="47" w:name="_heading=h.39kk8xu" w:colFirst="0" w:colLast="0"/>
      <w:bookmarkEnd w:id="47"/>
      <w:r w:rsidRPr="00184560">
        <w:rPr>
          <w:rFonts w:ascii="Bookman Old Style" w:eastAsia="Times New Roman" w:hAnsi="Bookman Old Style" w:cs="Times New Roman"/>
          <w:b/>
          <w:sz w:val="24"/>
          <w:szCs w:val="24"/>
          <w:lang w:eastAsia="es-AR"/>
        </w:rPr>
        <w:t>Conservación de estacas</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Loteador está obligado a mantener en perfecto estado de conservación las estacas aún después de aprobado el loteo y hasta tanto las parcelas hayan sido transferidas.</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52°:</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los fraccionamientos localizados en el “Núcleo Urbano”, de aquellos títulos cuyas superficies sean mayor o igual a seis mil cuatrocientos metros cuadrados (6.400,00 m2), serán considerados como proyectos de loteo con todas las consideraciones y exigencias que rigen para los mismos, con excepción de la donación de la Reserva Fiscal, la que no será exigida en estos supuestos.</w:t>
      </w:r>
    </w:p>
    <w:p w:rsidR="004C17AE" w:rsidRPr="00184560" w:rsidRDefault="004C17AE" w:rsidP="004C17AE">
      <w:pPr>
        <w:rPr>
          <w:rFonts w:ascii="Bookman Old Style" w:eastAsia="Times New Roman" w:hAnsi="Bookman Old Style" w:cs="Times New Roman"/>
          <w:sz w:val="24"/>
          <w:szCs w:val="24"/>
          <w:lang w:eastAsia="es-AR"/>
        </w:rPr>
      </w:pPr>
    </w:p>
    <w:p w:rsidR="003C73E0" w:rsidRDefault="003C73E0" w:rsidP="004C17AE">
      <w:pPr>
        <w:rPr>
          <w:rFonts w:ascii="Bookman Old Style" w:eastAsia="Times New Roman" w:hAnsi="Bookman Old Style" w:cs="Times New Roman"/>
          <w:b/>
          <w:sz w:val="28"/>
          <w:szCs w:val="24"/>
          <w:lang w:eastAsia="es-AR"/>
        </w:rPr>
      </w:pPr>
    </w:p>
    <w:p w:rsidR="003C73E0" w:rsidRDefault="003C73E0" w:rsidP="004C17AE">
      <w:pPr>
        <w:rPr>
          <w:rFonts w:ascii="Bookman Old Style" w:eastAsia="Times New Roman" w:hAnsi="Bookman Old Style" w:cs="Times New Roman"/>
          <w:b/>
          <w:sz w:val="28"/>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8"/>
          <w:szCs w:val="24"/>
          <w:lang w:eastAsia="es-AR"/>
        </w:rPr>
        <w:lastRenderedPageBreak/>
        <w:t>SECCIÓN IV: DE LA DONACIÓN DE ESPACIOS AL ESTADO MUNICIPAL</w:t>
      </w: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53°: </w:t>
      </w:r>
      <w:r>
        <w:rPr>
          <w:rFonts w:ascii="Bookman Old Style" w:eastAsia="Times New Roman" w:hAnsi="Bookman Old Style" w:cs="Times New Roman"/>
          <w:b/>
          <w:sz w:val="24"/>
          <w:szCs w:val="24"/>
          <w:lang w:eastAsia="es-AR"/>
        </w:rPr>
        <w:t>Tipos de donaciones</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todo fraccionamiento considerado como loteo será obligatoria la donación al Estado Municipal la superficie correspondiente a calles, ochavas, reservas fiscales y plazas, de acuerdo a lo establecido en el presente Código, debiéndose realizar mediante mensura y escritura pública o el procedimiento o acto administrativo que corresponda, con las excepciones previstas en este mismo Código.</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8011B5">
      <w:pPr>
        <w:jc w:val="both"/>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54°: Reserva Fiscal</w:t>
      </w:r>
      <w:bookmarkStart w:id="48" w:name="_heading=h.1302m92" w:colFirst="0" w:colLast="0"/>
      <w:bookmarkEnd w:id="48"/>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la aprobación de los nuevos fraccionamientos o loteos ubicados en radio de la Jurisdicción Municipal, además se exigirá la do</w:t>
      </w:r>
      <w:r w:rsidR="003C73E0">
        <w:rPr>
          <w:rFonts w:ascii="Bookman Old Style" w:eastAsia="Times New Roman" w:hAnsi="Bookman Old Style" w:cs="Times New Roman"/>
          <w:sz w:val="24"/>
          <w:szCs w:val="24"/>
          <w:lang w:eastAsia="es-AR"/>
        </w:rPr>
        <w:t xml:space="preserve">nación sin cargo al Municipio </w:t>
      </w:r>
      <w:r w:rsidRPr="00184560">
        <w:rPr>
          <w:rFonts w:ascii="Bookman Old Style" w:eastAsia="Times New Roman" w:hAnsi="Bookman Old Style" w:cs="Times New Roman"/>
          <w:sz w:val="24"/>
          <w:szCs w:val="24"/>
          <w:lang w:eastAsia="es-AR"/>
        </w:rPr>
        <w:t>de una superficie equivalente a un diez por ciento (10%) de la superficie total del proyecto una vez descontada la superficie destinada a calles y ochavas, la que se considerará Reserva Fiscal y tendrá como destino incorporarse al Banco de Tierras Municipal.</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8011B5">
      <w:pPr>
        <w:jc w:val="both"/>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55°: </w:t>
      </w:r>
      <w:bookmarkStart w:id="49" w:name="_heading=h.3mzq4wv" w:colFirst="0" w:colLast="0"/>
      <w:bookmarkEnd w:id="49"/>
      <w:r w:rsidRPr="00184560">
        <w:rPr>
          <w:rFonts w:ascii="Bookman Old Style" w:eastAsia="Times New Roman" w:hAnsi="Bookman Old Style" w:cs="Times New Roman"/>
          <w:b/>
          <w:sz w:val="24"/>
          <w:szCs w:val="24"/>
          <w:lang w:eastAsia="es-AR"/>
        </w:rPr>
        <w:t>Donación de manzanas</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Sin perjuicio de lo establecido en el artículo anterior, cuando del fraccionamiento resulten diez (10) manzanas, el Loteador deberá donar una manzana tipo que se destinará a plaza pública.</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56°: </w:t>
      </w:r>
      <w:bookmarkStart w:id="50" w:name="_heading=h.2250f4o" w:colFirst="0" w:colLast="0"/>
      <w:bookmarkEnd w:id="50"/>
      <w:r w:rsidRPr="00184560">
        <w:rPr>
          <w:rFonts w:ascii="Bookman Old Style" w:eastAsia="Times New Roman" w:hAnsi="Bookman Old Style" w:cs="Times New Roman"/>
          <w:b/>
          <w:sz w:val="24"/>
          <w:szCs w:val="24"/>
          <w:lang w:eastAsia="es-AR"/>
        </w:rPr>
        <w:t>Superficie mínima de Reserva Fiscal</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superficies emergentes de los porcentajes establecidos para las reservas fiscales a donar, deberán considerarse mínimas, integradas por un número entero de lotes y estar ubicadas con frente a dos calles por lo menos. En caso que el porcentaje de la donación arroje una superficie o fracción menor a la correspondiente para lotes enteros, deberá aumentarse la superficie a donar hasta que el resultado arroje superficie equivalente a lotes completos.</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lastRenderedPageBreak/>
        <w:t xml:space="preserve">Artículo 57°: </w:t>
      </w:r>
      <w:bookmarkStart w:id="51" w:name="_heading=h.319y80a" w:colFirst="0" w:colLast="0"/>
      <w:bookmarkEnd w:id="51"/>
      <w:r w:rsidRPr="00184560">
        <w:rPr>
          <w:rFonts w:ascii="Bookman Old Style" w:eastAsia="Times New Roman" w:hAnsi="Bookman Old Style" w:cs="Times New Roman"/>
          <w:b/>
          <w:sz w:val="24"/>
          <w:szCs w:val="24"/>
          <w:lang w:eastAsia="es-AR"/>
        </w:rPr>
        <w:t>Características de Reserva Fiscal</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Las reservas fiscales no podrán ser ubicadas en terrenos escarpados con o sin </w:t>
      </w:r>
      <w:proofErr w:type="spellStart"/>
      <w:r w:rsidRPr="00184560">
        <w:rPr>
          <w:rFonts w:ascii="Bookman Old Style" w:eastAsia="Times New Roman" w:hAnsi="Bookman Old Style" w:cs="Times New Roman"/>
          <w:sz w:val="24"/>
          <w:szCs w:val="24"/>
          <w:lang w:eastAsia="es-AR"/>
        </w:rPr>
        <w:t>afloraciones</w:t>
      </w:r>
      <w:proofErr w:type="spellEnd"/>
      <w:r w:rsidRPr="00184560">
        <w:rPr>
          <w:rFonts w:ascii="Bookman Old Style" w:eastAsia="Times New Roman" w:hAnsi="Bookman Old Style" w:cs="Times New Roman"/>
          <w:sz w:val="24"/>
          <w:szCs w:val="24"/>
          <w:lang w:eastAsia="es-AR"/>
        </w:rPr>
        <w:t xml:space="preserve"> de rocas, laderas, médanos, dunas, cuestas, barrancas, zanjones, lagunas, cañadas, aguadas, arroyos o terrenos anegadizos, debiendo ubicarse con frente a la Plaza Pública, en su caso.</w:t>
      </w:r>
    </w:p>
    <w:p w:rsidR="004C17AE" w:rsidRPr="00184560" w:rsidRDefault="004C17AE" w:rsidP="008011B5">
      <w:pPr>
        <w:jc w:val="both"/>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58°: </w:t>
      </w:r>
      <w:bookmarkStart w:id="52" w:name="_heading=h.1gf8i83" w:colFirst="0" w:colLast="0"/>
      <w:bookmarkEnd w:id="52"/>
      <w:r w:rsidRPr="00184560">
        <w:rPr>
          <w:rFonts w:ascii="Bookman Old Style" w:eastAsia="Times New Roman" w:hAnsi="Bookman Old Style" w:cs="Times New Roman"/>
          <w:b/>
          <w:sz w:val="24"/>
          <w:szCs w:val="24"/>
          <w:lang w:eastAsia="es-AR"/>
        </w:rPr>
        <w:t>Reserva Natural o Corredor Biológico</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Las superficies destinadas a Zona de Reserva Natural o Corredores Biológicos serán esencialmente una restricción al dominio, no perdiendo el propietario la titularidad sobre el mismo, en cuyo caso gozarán, respecto de la superficie afectada, de beneficios tributarios que deberán ser regulados en el Código Tributario Municipal.</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59°: </w:t>
      </w:r>
      <w:bookmarkStart w:id="53" w:name="_heading=h.40ew0vw" w:colFirst="0" w:colLast="0"/>
      <w:bookmarkEnd w:id="53"/>
      <w:r w:rsidRPr="00184560">
        <w:rPr>
          <w:rFonts w:ascii="Bookman Old Style" w:eastAsia="Times New Roman" w:hAnsi="Bookman Old Style" w:cs="Times New Roman"/>
          <w:b/>
          <w:sz w:val="24"/>
          <w:szCs w:val="24"/>
          <w:lang w:eastAsia="es-AR"/>
        </w:rPr>
        <w:t>Cómputo de Reserva Fiscal</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aquellos casos de Zona de Reservas Naturales factibles de ser aceptadas como donación y que el propietario desee hacerlo, esta no podrá ser computadas como parte de las donaciones obligatorias, plazas, reservas fiscales, calles y ochavas.</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60°: </w:t>
      </w:r>
      <w:bookmarkStart w:id="54" w:name="_heading=h.upglbi" w:colFirst="0" w:colLast="0"/>
      <w:bookmarkEnd w:id="54"/>
      <w:r w:rsidRPr="00184560">
        <w:rPr>
          <w:rFonts w:ascii="Bookman Old Style" w:eastAsia="Times New Roman" w:hAnsi="Bookman Old Style" w:cs="Times New Roman"/>
          <w:b/>
          <w:sz w:val="24"/>
          <w:szCs w:val="24"/>
          <w:lang w:eastAsia="es-AR"/>
        </w:rPr>
        <w:t>Donación de servicios y obras complementarias</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tendido de servicios y de las obras complementarias que fueran proyectadas para el loteo, serán a costa del Loteador y podrán ser iniciadas inmediatamente al otorgamiento de la autorización del loteo.</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Una vez concluidas dichas obras, serán donadas a la Municipalidad.</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61°: </w:t>
      </w:r>
      <w:bookmarkStart w:id="55" w:name="_heading=h.2fk6b3p" w:colFirst="0" w:colLast="0"/>
      <w:bookmarkEnd w:id="55"/>
      <w:r w:rsidRPr="00184560">
        <w:rPr>
          <w:rFonts w:ascii="Bookman Old Style" w:eastAsia="Times New Roman" w:hAnsi="Bookman Old Style" w:cs="Times New Roman"/>
          <w:b/>
          <w:sz w:val="24"/>
          <w:szCs w:val="24"/>
          <w:lang w:eastAsia="es-AR"/>
        </w:rPr>
        <w:t>Forma de las donaciones</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Todas las donaciones al Municipio de Colón deberán realizarse mediante Compromiso de Donación firmado por él o los propietarios y debidamente autenticados o mediante Acta de Donación firmada por él o los propietarios ante Escribano público, con los correspondientes Planos de Mensura cuyos gastos serán a cargo del donante, para luego ser aceptadas por el Honorable Concejo Deliberante.</w:t>
      </w: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lastRenderedPageBreak/>
        <w:t>Artículo 62°: Donaciones parciales</w:t>
      </w:r>
    </w:p>
    <w:p w:rsidR="004C17AE" w:rsidRPr="00184560" w:rsidRDefault="004C17AE" w:rsidP="008011B5">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caso de que se procedan a efectuar aprobaciones parciales del Loteo, se exigirá la donación de las calles</w:t>
      </w:r>
      <w:r w:rsidR="008011B5">
        <w:rPr>
          <w:rFonts w:ascii="Bookman Old Style" w:eastAsia="Times New Roman" w:hAnsi="Bookman Old Style" w:cs="Times New Roman"/>
          <w:sz w:val="24"/>
          <w:szCs w:val="24"/>
          <w:lang w:eastAsia="es-AR"/>
        </w:rPr>
        <w:t>,</w:t>
      </w:r>
      <w:r w:rsidRPr="00184560">
        <w:rPr>
          <w:rFonts w:ascii="Bookman Old Style" w:eastAsia="Times New Roman" w:hAnsi="Bookman Old Style" w:cs="Times New Roman"/>
          <w:sz w:val="24"/>
          <w:szCs w:val="24"/>
          <w:lang w:eastAsia="es-AR"/>
        </w:rPr>
        <w:t xml:space="preserve"> plazas y reservas fiscales en función de la fracción aprobada.</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8"/>
          <w:szCs w:val="24"/>
          <w:lang w:eastAsia="es-AR"/>
        </w:rPr>
      </w:pPr>
      <w:r w:rsidRPr="00184560">
        <w:rPr>
          <w:rFonts w:ascii="Bookman Old Style" w:eastAsia="Times New Roman" w:hAnsi="Bookman Old Style" w:cs="Times New Roman"/>
          <w:b/>
          <w:sz w:val="28"/>
          <w:szCs w:val="24"/>
          <w:lang w:eastAsia="es-AR"/>
        </w:rPr>
        <w:t>SECCIÓN V: DE LA PUBLICIDAD, VENTA Y/U OFERTA DE LOTES</w:t>
      </w: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63°: Multa por oferta no autorizada</w:t>
      </w:r>
    </w:p>
    <w:p w:rsidR="004C17AE" w:rsidRPr="00184560" w:rsidRDefault="004C17AE" w:rsidP="005B42AE">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Todo propietario, rematador, comisionista y/o inmobiliaria que por cuenta propia o de terceros oferte al público o publicite por cualquier medio oral, escrito, televiso, radial y/o de internet u otros medios digitales, la venta o remate al contado o a plazos, de terrenos cuya aprobación de urbanización o subdivisión o fraccionamiento no haya sido obtenida, se harán pasibles de manera solidaria, de una multa de quinientos (500) a mil (1000) litros de nafta súper.</w:t>
      </w:r>
    </w:p>
    <w:p w:rsidR="004C17AE" w:rsidRPr="00184560" w:rsidRDefault="004C17AE" w:rsidP="005B42AE">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caso de reincidencia, conforme lo establecido en el Código de Faltas, se duplicarán las multas.</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64°: Multa por venta no autorizada</w:t>
      </w:r>
      <w:bookmarkStart w:id="56" w:name="_heading=h.4du1wux" w:colFirst="0" w:colLast="0"/>
      <w:bookmarkEnd w:id="56"/>
    </w:p>
    <w:p w:rsidR="004C17AE" w:rsidRPr="00184560" w:rsidRDefault="004C17AE" w:rsidP="005B42AE">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Todo propietario, rematador, comisionista o apoderado que por cuenta propia </w:t>
      </w:r>
      <w:r w:rsidR="005B42AE">
        <w:rPr>
          <w:rFonts w:ascii="Bookman Old Style" w:eastAsia="Times New Roman" w:hAnsi="Bookman Old Style" w:cs="Times New Roman"/>
          <w:sz w:val="24"/>
          <w:szCs w:val="24"/>
          <w:lang w:eastAsia="es-AR"/>
        </w:rPr>
        <w:t>o de terceros concrete la venta</w:t>
      </w:r>
      <w:r w:rsidRPr="00184560">
        <w:rPr>
          <w:rFonts w:ascii="Bookman Old Style" w:eastAsia="Times New Roman" w:hAnsi="Bookman Old Style" w:cs="Times New Roman"/>
          <w:sz w:val="24"/>
          <w:szCs w:val="24"/>
          <w:lang w:eastAsia="es-AR"/>
        </w:rPr>
        <w:t>, de terrenos cuya aprobación de urbanización o subdivisión o fraccionamiento aún no haya sido obtenida, serán pasibles de una multa de dos mil (2000) a cinco mil (5000) litros de nafta súper, siendo todos solidariamente responsables conjuntamente con los profesionales intervinientes.</w:t>
      </w:r>
    </w:p>
    <w:p w:rsidR="004C17AE" w:rsidRPr="00184560" w:rsidRDefault="004C17AE" w:rsidP="005B42AE">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caso de reincidencia, conforme lo establecido en el Código de Faltas, se duplicarán las multas.</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65°: </w:t>
      </w:r>
      <w:bookmarkStart w:id="57" w:name="_heading=h.2szc72q" w:colFirst="0" w:colLast="0"/>
      <w:bookmarkEnd w:id="57"/>
      <w:r w:rsidRPr="00184560">
        <w:rPr>
          <w:rFonts w:ascii="Bookman Old Style" w:eastAsia="Times New Roman" w:hAnsi="Bookman Old Style" w:cs="Times New Roman"/>
          <w:b/>
          <w:sz w:val="24"/>
          <w:szCs w:val="24"/>
          <w:lang w:eastAsia="es-AR"/>
        </w:rPr>
        <w:t>Publicidad</w:t>
      </w:r>
    </w:p>
    <w:p w:rsidR="004C17AE" w:rsidRPr="00184560" w:rsidRDefault="004C17AE" w:rsidP="005B42AE">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Toda publicidad que se realice destinada a ofrecer lotes, manzanas, chacras</w:t>
      </w:r>
      <w:r w:rsidR="005B42AE">
        <w:rPr>
          <w:rFonts w:ascii="Bookman Old Style" w:eastAsia="Times New Roman" w:hAnsi="Bookman Old Style" w:cs="Times New Roman"/>
          <w:sz w:val="24"/>
          <w:szCs w:val="24"/>
          <w:lang w:eastAsia="es-AR"/>
        </w:rPr>
        <w:t xml:space="preserve"> o quintas, en venta o permuta </w:t>
      </w:r>
      <w:r w:rsidRPr="00184560">
        <w:rPr>
          <w:rFonts w:ascii="Bookman Old Style" w:eastAsia="Times New Roman" w:hAnsi="Bookman Old Style" w:cs="Times New Roman"/>
          <w:sz w:val="24"/>
          <w:szCs w:val="24"/>
          <w:lang w:eastAsia="es-AR"/>
        </w:rPr>
        <w:t xml:space="preserve">y mediante subdivisión de dichas fracciones, deberá especificar en la publicidad que por cualquier </w:t>
      </w:r>
      <w:r w:rsidRPr="00184560">
        <w:rPr>
          <w:rFonts w:ascii="Bookman Old Style" w:eastAsia="Times New Roman" w:hAnsi="Bookman Old Style" w:cs="Times New Roman"/>
          <w:sz w:val="24"/>
          <w:szCs w:val="24"/>
          <w:lang w:eastAsia="es-AR"/>
        </w:rPr>
        <w:lastRenderedPageBreak/>
        <w:t>medio se efectuare, deberá consignar la leyenda: “Con aprobación Municipal”, consignando el número de la norma respectiva o bien del expediente del trámite.</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66°: </w:t>
      </w:r>
      <w:bookmarkStart w:id="58" w:name="_heading=h.184mhaj" w:colFirst="0" w:colLast="0"/>
      <w:bookmarkEnd w:id="58"/>
      <w:r w:rsidRPr="00184560">
        <w:rPr>
          <w:rFonts w:ascii="Bookman Old Style" w:eastAsia="Times New Roman" w:hAnsi="Bookman Old Style" w:cs="Times New Roman"/>
          <w:b/>
          <w:sz w:val="24"/>
          <w:szCs w:val="24"/>
          <w:lang w:eastAsia="es-AR"/>
        </w:rPr>
        <w:t>Publicidad en cartelería</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los casos que la publicidad se efectuará mediante carteles o similares, emplazados en lugares a la vista del público en general, y los mismos no especificaren lo determinado en los artículos precedentes o lo hicieran en forma defectuosa, dará lugar a que la autoridad de aplicación podrá intimar al oferente y/o titular del inmueble, al retiro de dicha publicidad, bajo apercibimiento de hacer pasible al infractor de las sanciones previstas por el Art. 75º y el Código Básico de Faltas y sus normas complementarias, la Ordenanza N° 37/2003, así como toda otra ordenanza referente al tema.</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3549F6">
      <w:pPr>
        <w:jc w:val="both"/>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67°: </w:t>
      </w:r>
      <w:bookmarkStart w:id="59" w:name="_heading=h.3s49zyc" w:colFirst="0" w:colLast="0"/>
      <w:bookmarkEnd w:id="59"/>
      <w:r w:rsidRPr="00184560">
        <w:rPr>
          <w:rFonts w:ascii="Bookman Old Style" w:eastAsia="Times New Roman" w:hAnsi="Bookman Old Style" w:cs="Times New Roman"/>
          <w:b/>
          <w:sz w:val="24"/>
          <w:szCs w:val="24"/>
          <w:lang w:eastAsia="es-AR"/>
        </w:rPr>
        <w:t>Publicidad en medios de prensa</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En los casos que la publicidad se efectuare por medio de la prensa oral, escrita, televisiva y/o por internet u otros medios digitales, y no se diere cumplimiento en la misma a las previsiones de la presente Ordenanza, la autoridad de aplicación intimará al titular u oferente a dar cumplimiento a la normativa de la presente en plazo que no exceda de cuarenta y ocho (48) horas, bajo apercibimiento de hacer pasible al infractor de las sanciones previstas por el art. 74 y el Código Básico de Faltas y sus normas complementarias.</w:t>
      </w:r>
    </w:p>
    <w:p w:rsidR="003549F6" w:rsidRDefault="003549F6"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68°: </w:t>
      </w:r>
      <w:bookmarkStart w:id="60" w:name="_heading=h.279ka65" w:colFirst="0" w:colLast="0"/>
      <w:bookmarkEnd w:id="60"/>
      <w:r w:rsidRPr="00184560">
        <w:rPr>
          <w:rFonts w:ascii="Bookman Old Style" w:eastAsia="Times New Roman" w:hAnsi="Bookman Old Style" w:cs="Times New Roman"/>
          <w:b/>
          <w:sz w:val="24"/>
          <w:szCs w:val="24"/>
          <w:lang w:eastAsia="es-AR"/>
        </w:rPr>
        <w:t>Destino de las multas</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El importe que se recaude por las infracciones a la presente ordenanza deberá ser incorporado al presupuesto y afectado a un fondo destinado al Banco Municipal de Tierras.</w:t>
      </w:r>
    </w:p>
    <w:p w:rsidR="004C17AE" w:rsidRPr="00184560" w:rsidRDefault="004C17AE" w:rsidP="004C17AE">
      <w:pPr>
        <w:rPr>
          <w:rFonts w:ascii="Bookman Old Style" w:eastAsia="Times New Roman" w:hAnsi="Bookman Old Style" w:cs="Times New Roman"/>
          <w:sz w:val="24"/>
          <w:szCs w:val="24"/>
          <w:lang w:eastAsia="es-AR"/>
        </w:rPr>
      </w:pPr>
    </w:p>
    <w:p w:rsidR="003C73E0" w:rsidRDefault="003C73E0" w:rsidP="004C17AE">
      <w:pPr>
        <w:rPr>
          <w:rFonts w:ascii="Bookman Old Style" w:eastAsia="Times New Roman" w:hAnsi="Bookman Old Style" w:cs="Times New Roman"/>
          <w:b/>
          <w:sz w:val="32"/>
          <w:szCs w:val="24"/>
          <w:u w:val="single"/>
          <w:lang w:eastAsia="es-AR"/>
        </w:rPr>
      </w:pPr>
    </w:p>
    <w:p w:rsidR="004C17AE" w:rsidRPr="00184560" w:rsidRDefault="004C17AE" w:rsidP="004C17AE">
      <w:pPr>
        <w:rPr>
          <w:rFonts w:ascii="Bookman Old Style" w:eastAsia="Times New Roman" w:hAnsi="Bookman Old Style" w:cs="Times New Roman"/>
          <w:b/>
          <w:sz w:val="32"/>
          <w:szCs w:val="24"/>
          <w:u w:val="single"/>
          <w:lang w:eastAsia="es-AR"/>
        </w:rPr>
      </w:pPr>
      <w:r w:rsidRPr="00184560">
        <w:rPr>
          <w:rFonts w:ascii="Bookman Old Style" w:eastAsia="Times New Roman" w:hAnsi="Bookman Old Style" w:cs="Times New Roman"/>
          <w:b/>
          <w:sz w:val="32"/>
          <w:szCs w:val="24"/>
          <w:u w:val="single"/>
          <w:lang w:eastAsia="es-AR"/>
        </w:rPr>
        <w:lastRenderedPageBreak/>
        <w:t>CAPÍTULO IV – DE LA COMISIÓN REVISORA Y DE ACTUALIZACIÓN</w:t>
      </w: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69°: Creación</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Créasela Comisión Revisora y de Actualización, la que será integrada por el Presidente del Honorable Concejo Deliberante; más un miembro designado por cada uno de los bloques; más representantes de los Colegios de Profesionales con incumbencia en la materia y que tengan domicilio en la ciudad de Colón, hasta cinco (5) miembros; y dos de los profesionales integrantes del Equipo Técnico responsable de Obras Privadas, Públicas y/o Planeamiento, que sean designados por el Departamento Ejecutivo Municipal y un representante del área de Catastro. Los miembros designados durarán dos años en sus funciones y/o hasta la finalización de su mandato o designación en su caso por la entidad que represente. En todos los casos, los cargos serán ad honorem.</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 xml:space="preserve">Artículo 70°: </w:t>
      </w:r>
      <w:bookmarkStart w:id="61" w:name="_heading=h.1ljsd9k" w:colFirst="0" w:colLast="0"/>
      <w:bookmarkEnd w:id="61"/>
      <w:r w:rsidRPr="00184560">
        <w:rPr>
          <w:rFonts w:ascii="Bookman Old Style" w:eastAsia="Times New Roman" w:hAnsi="Bookman Old Style" w:cs="Times New Roman"/>
          <w:b/>
          <w:sz w:val="24"/>
          <w:szCs w:val="24"/>
          <w:lang w:eastAsia="es-AR"/>
        </w:rPr>
        <w:t>Funciones</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La Comisión Revisora y de Actualización tendrá las siguientes funciones:</w:t>
      </w:r>
    </w:p>
    <w:p w:rsidR="004C17AE" w:rsidRPr="00184560" w:rsidRDefault="004C17AE" w:rsidP="00A44E48">
      <w:pPr>
        <w:pStyle w:val="Prrafodelista"/>
        <w:numPr>
          <w:ilvl w:val="0"/>
          <w:numId w:val="27"/>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Monitorear el cumplimiento de las normas incluidas en el presente Código.</w:t>
      </w:r>
    </w:p>
    <w:p w:rsidR="004C17AE" w:rsidRPr="00184560" w:rsidRDefault="004C17AE" w:rsidP="00A44E48">
      <w:pPr>
        <w:pStyle w:val="Prrafodelista"/>
        <w:numPr>
          <w:ilvl w:val="0"/>
          <w:numId w:val="27"/>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Proponer reformas que resulten necesarias en la Ordenanza.</w:t>
      </w:r>
    </w:p>
    <w:p w:rsidR="004C17AE" w:rsidRPr="00184560" w:rsidRDefault="004C17AE" w:rsidP="00A44E48">
      <w:pPr>
        <w:pStyle w:val="Prrafodelista"/>
        <w:numPr>
          <w:ilvl w:val="0"/>
          <w:numId w:val="27"/>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Podrá participar y/o tener carácter consultivo en el Honorable Concejo Deliberante cada vez que sea necesario por tratarse temas vinculados a la materia que en el presente se regula.</w:t>
      </w:r>
    </w:p>
    <w:p w:rsidR="004C17AE" w:rsidRPr="00184560" w:rsidRDefault="004C17AE" w:rsidP="00A44E48">
      <w:pPr>
        <w:pStyle w:val="Prrafodelista"/>
        <w:numPr>
          <w:ilvl w:val="0"/>
          <w:numId w:val="27"/>
        </w:numPr>
        <w:spacing w:after="120" w:line="360" w:lineRule="auto"/>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Brindar dictamen cuando sea requerido por el Departamento Ejecutivo Municipal, en los casos en que ello se considere necesario.</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Para dar cumplimiento a las funciones precedentemente descriptas, la Comisión deberá reunirse con la periodicidad exigida por las mismas, pudiendo ser también convocada a reunión por el Departamento Ejecutivo Municipal.</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lastRenderedPageBreak/>
        <w:t xml:space="preserve">Artículo 71°: </w:t>
      </w:r>
      <w:bookmarkStart w:id="62" w:name="_heading=h.45jfvxd" w:colFirst="0" w:colLast="0"/>
      <w:bookmarkEnd w:id="62"/>
      <w:r w:rsidRPr="00184560">
        <w:rPr>
          <w:rFonts w:ascii="Bookman Old Style" w:eastAsia="Times New Roman" w:hAnsi="Bookman Old Style" w:cs="Times New Roman"/>
          <w:b/>
          <w:sz w:val="24"/>
          <w:szCs w:val="24"/>
          <w:lang w:eastAsia="es-AR"/>
        </w:rPr>
        <w:t>Autorización presupuestaria</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Autorizase al Departamento Ejecutivo Municipal realizar las modificaciones presupuestarias necesarias para el cumplimiento de la presente ordenanza.</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sz w:val="32"/>
          <w:szCs w:val="24"/>
          <w:lang w:eastAsia="es-AR"/>
        </w:rPr>
      </w:pPr>
      <w:r w:rsidRPr="00184560">
        <w:rPr>
          <w:rFonts w:ascii="Bookman Old Style" w:eastAsia="Times New Roman" w:hAnsi="Bookman Old Style" w:cs="Times New Roman"/>
          <w:b/>
          <w:sz w:val="32"/>
          <w:szCs w:val="24"/>
          <w:u w:val="single"/>
          <w:lang w:eastAsia="es-AR"/>
        </w:rPr>
        <w:t>CAPÍTULO V – DISPOSICIONES ESPECIALES</w:t>
      </w: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72°: Autorización discrecional</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Autorícese al Departamento Ejecutivo Municipal para que a través de la Dirección de Obras Privadas, la Secretaría de Obras y Servicios Públicos y/o al área que corresponda, autorice y/o apruebe trámites relacionados con las materias reguladas por la presente Ordenanza, con hasta una tolerancia de un 10% de los valores aquí previstos para todos los casos, siempre y cuando se acrediten las razones debidamente fundadas de los excesos y/o la imposibilidad de cumplimiento a las reglas dispuestas por este Código, dentro del rango mencionado.</w:t>
      </w:r>
    </w:p>
    <w:p w:rsidR="003549F6" w:rsidRDefault="003549F6"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Artículo 73°: Excepciones</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ESTABLÉZCASE</w:t>
      </w:r>
      <w:r w:rsidRPr="00184560">
        <w:rPr>
          <w:rFonts w:ascii="Bookman Old Style" w:eastAsia="Times New Roman" w:hAnsi="Bookman Old Style" w:cs="Times New Roman"/>
          <w:sz w:val="24"/>
          <w:szCs w:val="24"/>
          <w:lang w:eastAsia="es-AR"/>
        </w:rPr>
        <w:t xml:space="preserve"> que para la presentación de excepciones a la presente Ordenanza por parte de cualquier </w:t>
      </w:r>
      <w:proofErr w:type="spellStart"/>
      <w:r w:rsidRPr="00184560">
        <w:rPr>
          <w:rFonts w:ascii="Bookman Old Style" w:eastAsia="Times New Roman" w:hAnsi="Bookman Old Style" w:cs="Times New Roman"/>
          <w:sz w:val="24"/>
          <w:szCs w:val="24"/>
          <w:lang w:eastAsia="es-AR"/>
        </w:rPr>
        <w:t>peticionante</w:t>
      </w:r>
      <w:proofErr w:type="spellEnd"/>
      <w:r w:rsidRPr="00184560">
        <w:rPr>
          <w:rFonts w:ascii="Bookman Old Style" w:eastAsia="Times New Roman" w:hAnsi="Bookman Old Style" w:cs="Times New Roman"/>
          <w:sz w:val="24"/>
          <w:szCs w:val="24"/>
          <w:lang w:eastAsia="es-AR"/>
        </w:rPr>
        <w:t>, sin perjuicio de las demás formalidades exigidas por la normativa vigente, a fin de que el Honorable Concejo Deliberante pueda darle trámite a la solicitud interesada, deberá acreditarse haber agotado la instancia administrativa previa por ante el Poder Ejecutivo Municipal.</w:t>
      </w:r>
    </w:p>
    <w:p w:rsidR="004C17AE" w:rsidRPr="00184560" w:rsidRDefault="004C17AE" w:rsidP="004C17AE">
      <w:pPr>
        <w:rPr>
          <w:rFonts w:ascii="Bookman Old Style" w:eastAsia="Times New Roman" w:hAnsi="Bookman Old Style" w:cs="Times New Roman"/>
          <w:b/>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74°: Cambio climático</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Habida cuenta de la ejecución del Proyecto de Adaptación al cambio climático en ciudades y ecosistemas  costeros  vulnerables  del Río Uruguay, cuyo objetivo general es construir resiliencia, tanto en territorio argentino como uruguayo, mediante el desarrollo de instrumentos, herramientas y experiencias para la planificación e implementación de adaptación, así como la gestión de los impactos y riesgos del cambio climático, del cual la Ciudad de Colón es partícipe, establézcase un plazo máximo de tres años de promulgada la presente, para su revisión y en caso de ser necesario se incorporen los resultados </w:t>
      </w:r>
      <w:r w:rsidRPr="00184560">
        <w:rPr>
          <w:rFonts w:ascii="Bookman Old Style" w:eastAsia="Times New Roman" w:hAnsi="Bookman Old Style" w:cs="Times New Roman"/>
          <w:sz w:val="24"/>
          <w:szCs w:val="24"/>
          <w:lang w:eastAsia="es-AR"/>
        </w:rPr>
        <w:lastRenderedPageBreak/>
        <w:t>de los Proyectos de Adaptación al cambio climático en ciudades y ecosistemas costeros vulnerables del Río Uruguay.</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4C17AE">
      <w:pPr>
        <w:rPr>
          <w:rFonts w:ascii="Bookman Old Style" w:eastAsia="Times New Roman" w:hAnsi="Bookman Old Style" w:cs="Times New Roman"/>
          <w:b/>
          <w:sz w:val="24"/>
          <w:szCs w:val="24"/>
          <w:lang w:eastAsia="es-AR"/>
        </w:rPr>
      </w:pPr>
      <w:r w:rsidRPr="00184560">
        <w:rPr>
          <w:rFonts w:ascii="Bookman Old Style" w:eastAsia="Times New Roman" w:hAnsi="Bookman Old Style" w:cs="Times New Roman"/>
          <w:b/>
          <w:sz w:val="24"/>
          <w:szCs w:val="24"/>
          <w:lang w:eastAsia="es-AR"/>
        </w:rPr>
        <w:t>Artículo 75°: Loteos no finalizados</w:t>
      </w: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sz w:val="24"/>
          <w:szCs w:val="24"/>
          <w:lang w:eastAsia="es-AR"/>
        </w:rPr>
        <w:t xml:space="preserve">Para los casos de loteos que se encuentren en un estado total o avanzado de desarrollo por autorizaciones previas a la entrada en vigencia de la presente, pero que aún no han dado cumplimiento a la totalidad de las exigencias para loteos que aquí se establecen, deberán adecuarse a los nuevos parámetros previo a la recepción de las donaciones pertinentes, siendo responsables los </w:t>
      </w:r>
      <w:proofErr w:type="spellStart"/>
      <w:r w:rsidRPr="00184560">
        <w:rPr>
          <w:rFonts w:ascii="Bookman Old Style" w:eastAsia="Times New Roman" w:hAnsi="Bookman Old Style" w:cs="Times New Roman"/>
          <w:sz w:val="24"/>
          <w:szCs w:val="24"/>
          <w:lang w:eastAsia="es-AR"/>
        </w:rPr>
        <w:t>Loteadores</w:t>
      </w:r>
      <w:proofErr w:type="spellEnd"/>
      <w:r w:rsidRPr="00184560">
        <w:rPr>
          <w:rFonts w:ascii="Bookman Old Style" w:eastAsia="Times New Roman" w:hAnsi="Bookman Old Style" w:cs="Times New Roman"/>
          <w:sz w:val="24"/>
          <w:szCs w:val="24"/>
          <w:lang w:eastAsia="es-AR"/>
        </w:rPr>
        <w:t xml:space="preserve"> de la provisión de servicios y/o espacios públicos pendientes de donación.</w:t>
      </w:r>
    </w:p>
    <w:p w:rsidR="004C17AE" w:rsidRPr="00184560" w:rsidRDefault="004C17AE" w:rsidP="004C17AE">
      <w:pPr>
        <w:rPr>
          <w:rFonts w:ascii="Bookman Old Style" w:eastAsia="Times New Roman" w:hAnsi="Bookman Old Style" w:cs="Times New Roman"/>
          <w:sz w:val="24"/>
          <w:szCs w:val="24"/>
          <w:lang w:eastAsia="es-AR"/>
        </w:rPr>
      </w:pPr>
    </w:p>
    <w:p w:rsidR="004C17AE" w:rsidRPr="00184560" w:rsidRDefault="004C17AE" w:rsidP="003549F6">
      <w:pPr>
        <w:jc w:val="both"/>
        <w:rPr>
          <w:rFonts w:ascii="Bookman Old Style" w:eastAsia="Times New Roman" w:hAnsi="Bookman Old Style" w:cs="Times New Roman"/>
          <w:sz w:val="24"/>
          <w:szCs w:val="24"/>
          <w:lang w:eastAsia="es-AR"/>
        </w:rPr>
      </w:pPr>
      <w:r w:rsidRPr="00184560">
        <w:rPr>
          <w:rFonts w:ascii="Bookman Old Style" w:eastAsia="Times New Roman" w:hAnsi="Bookman Old Style" w:cs="Times New Roman"/>
          <w:b/>
          <w:sz w:val="24"/>
          <w:szCs w:val="24"/>
          <w:lang w:eastAsia="es-AR"/>
        </w:rPr>
        <w:t xml:space="preserve">Artículo 76°: DERÓGUESE </w:t>
      </w:r>
      <w:r w:rsidRPr="00184560">
        <w:rPr>
          <w:rFonts w:ascii="Bookman Old Style" w:eastAsia="Times New Roman" w:hAnsi="Bookman Old Style" w:cs="Times New Roman"/>
          <w:sz w:val="24"/>
          <w:szCs w:val="24"/>
          <w:lang w:eastAsia="es-AR"/>
        </w:rPr>
        <w:t>la Ordenanza N° 62/2013.</w:t>
      </w:r>
    </w:p>
    <w:p w:rsidR="004C17AE" w:rsidRPr="00184560" w:rsidRDefault="004C17AE" w:rsidP="004C17AE">
      <w:pPr>
        <w:rPr>
          <w:rFonts w:ascii="Bookman Old Style" w:eastAsia="Times New Roman" w:hAnsi="Bookman Old Style" w:cs="Times New Roman"/>
          <w:b/>
          <w:sz w:val="24"/>
          <w:szCs w:val="24"/>
          <w:lang w:eastAsia="es-AR"/>
        </w:rPr>
      </w:pPr>
    </w:p>
    <w:p w:rsidR="004C17AE" w:rsidRPr="00184560" w:rsidRDefault="004C17AE" w:rsidP="003549F6">
      <w:pPr>
        <w:jc w:val="both"/>
        <w:rPr>
          <w:rFonts w:ascii="Times New Roman" w:eastAsia="Times New Roman" w:hAnsi="Times New Roman" w:cs="Times New Roman"/>
          <w:sz w:val="24"/>
          <w:szCs w:val="24"/>
          <w:lang w:eastAsia="es-AR"/>
        </w:rPr>
      </w:pPr>
      <w:r w:rsidRPr="00184560">
        <w:rPr>
          <w:rFonts w:ascii="Bookman Old Style" w:eastAsia="Times New Roman" w:hAnsi="Bookman Old Style" w:cs="Times New Roman"/>
          <w:b/>
          <w:sz w:val="24"/>
          <w:szCs w:val="24"/>
          <w:lang w:eastAsia="es-AR"/>
        </w:rPr>
        <w:t xml:space="preserve">Artículo 77°: </w:t>
      </w:r>
      <w:r w:rsidRPr="00184560">
        <w:rPr>
          <w:rFonts w:ascii="Bookman Old Style" w:eastAsia="Times New Roman" w:hAnsi="Bookman Old Style" w:cs="Times New Roman"/>
          <w:b/>
          <w:bCs/>
          <w:sz w:val="24"/>
          <w:szCs w:val="24"/>
          <w:lang w:eastAsia="es-AR"/>
        </w:rPr>
        <w:t>REGÍSTRESE</w:t>
      </w:r>
      <w:r w:rsidRPr="00184560">
        <w:rPr>
          <w:rFonts w:ascii="Bookman Old Style" w:eastAsia="Times New Roman" w:hAnsi="Bookman Old Style" w:cs="Times New Roman"/>
          <w:sz w:val="24"/>
          <w:szCs w:val="24"/>
          <w:lang w:eastAsia="es-AR"/>
        </w:rPr>
        <w:t>, comuníquese, dese a conocimiento, y oportunamente archívese. </w:t>
      </w:r>
    </w:p>
    <w:p w:rsidR="009805E1" w:rsidRPr="009805E1" w:rsidRDefault="009805E1" w:rsidP="009805E1">
      <w:pPr>
        <w:rPr>
          <w:rFonts w:ascii="Bookman Old Style" w:hAnsi="Bookman Old Style"/>
          <w:sz w:val="28"/>
          <w:szCs w:val="28"/>
        </w:rPr>
      </w:pPr>
    </w:p>
    <w:sectPr w:rsidR="009805E1" w:rsidRPr="009805E1" w:rsidSect="00A91348">
      <w:headerReference w:type="default" r:id="rId12"/>
      <w:footerReference w:type="default" r:id="rId13"/>
      <w:pgSz w:w="11906" w:h="16838"/>
      <w:pgMar w:top="1417" w:right="1701" w:bottom="1417" w:left="1701" w:header="709" w:footer="26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0A1E" w:rsidRDefault="005C0A1E" w:rsidP="00585AC2">
      <w:pPr>
        <w:spacing w:after="0" w:line="240" w:lineRule="auto"/>
      </w:pPr>
      <w:r>
        <w:separator/>
      </w:r>
    </w:p>
  </w:endnote>
  <w:endnote w:type="continuationSeparator" w:id="0">
    <w:p w:rsidR="005C0A1E" w:rsidRDefault="005C0A1E" w:rsidP="00585A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346541"/>
      <w:docPartObj>
        <w:docPartGallery w:val="Page Numbers (Bottom of Page)"/>
        <w:docPartUnique/>
      </w:docPartObj>
    </w:sdtPr>
    <w:sdtEndPr>
      <w:rPr>
        <w:rFonts w:ascii="Monotype Corsiva" w:hAnsi="Monotype Corsiva"/>
        <w:b/>
        <w:sz w:val="20"/>
        <w:szCs w:val="20"/>
      </w:rPr>
    </w:sdtEndPr>
    <w:sdtContent>
      <w:p w:rsidR="00C56D78" w:rsidRDefault="00C56D78" w:rsidP="00C506F6">
        <w:pPr>
          <w:pStyle w:val="Piedepgina"/>
          <w:pBdr>
            <w:top w:val="thinThickSmallGap" w:sz="24" w:space="1" w:color="622423" w:themeColor="accent2" w:themeShade="7F"/>
          </w:pBdr>
          <w:jc w:val="center"/>
        </w:pPr>
      </w:p>
      <w:p w:rsidR="00C56D78" w:rsidRPr="007C786C" w:rsidRDefault="00C56D78" w:rsidP="00C506F6">
        <w:pPr>
          <w:pStyle w:val="Piedepgina"/>
          <w:pBdr>
            <w:top w:val="thinThickSmallGap" w:sz="24" w:space="1" w:color="622423" w:themeColor="accent2" w:themeShade="7F"/>
          </w:pBdr>
          <w:jc w:val="center"/>
          <w:rPr>
            <w:rFonts w:ascii="Monotype Corsiva" w:hAnsi="Monotype Corsiva"/>
            <w:b/>
            <w:i/>
            <w:sz w:val="20"/>
            <w:szCs w:val="20"/>
          </w:rPr>
        </w:pPr>
        <w:r>
          <w:t xml:space="preserve"> </w:t>
        </w:r>
        <w:sdt>
          <w:sdtPr>
            <w:id w:val="262309839"/>
            <w:docPartObj>
              <w:docPartGallery w:val="Page Numbers (Bottom of Page)"/>
              <w:docPartUnique/>
            </w:docPartObj>
          </w:sdtPr>
          <w:sdtEndPr>
            <w:rPr>
              <w:rFonts w:ascii="Monotype Corsiva" w:hAnsi="Monotype Corsiva"/>
              <w:b/>
              <w:i/>
              <w:sz w:val="20"/>
              <w:szCs w:val="20"/>
            </w:rPr>
          </w:sdtEndPr>
          <w:sdtContent>
            <w:r w:rsidRPr="00DB12AC">
              <w:rPr>
                <w:rFonts w:ascii="Monotype Corsiva" w:hAnsi="Monotype Corsiva"/>
                <w:b/>
                <w:sz w:val="20"/>
                <w:szCs w:val="20"/>
              </w:rPr>
              <w:t xml:space="preserve">Honorable Concejo Deliberante de la Municipalidad de Colón, Entre Ríos </w:t>
            </w:r>
            <w:r>
              <w:rPr>
                <w:rFonts w:ascii="Monotype Corsiva" w:hAnsi="Monotype Corsiva"/>
                <w:b/>
                <w:sz w:val="20"/>
                <w:szCs w:val="20"/>
              </w:rPr>
              <w:t xml:space="preserve">      </w:t>
            </w:r>
            <w:r w:rsidRPr="00DB12AC">
              <w:rPr>
                <w:rFonts w:ascii="Monotype Corsiva" w:hAnsi="Monotype Corsiva"/>
                <w:b/>
                <w:sz w:val="20"/>
                <w:szCs w:val="20"/>
              </w:rPr>
              <w:t xml:space="preserve">  - </w:t>
            </w:r>
            <w:r>
              <w:rPr>
                <w:rFonts w:ascii="Monotype Corsiva" w:hAnsi="Monotype Corsiva"/>
                <w:b/>
                <w:sz w:val="20"/>
                <w:szCs w:val="20"/>
              </w:rPr>
              <w:t xml:space="preserve">       Anexo  Ordenanza  Nº02/2025           </w:t>
            </w:r>
          </w:sdtContent>
        </w:sdt>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0A1E" w:rsidRDefault="005C0A1E" w:rsidP="00585AC2">
      <w:pPr>
        <w:spacing w:after="0" w:line="240" w:lineRule="auto"/>
      </w:pPr>
      <w:r>
        <w:separator/>
      </w:r>
    </w:p>
  </w:footnote>
  <w:footnote w:type="continuationSeparator" w:id="0">
    <w:p w:rsidR="005C0A1E" w:rsidRDefault="005C0A1E" w:rsidP="00585AC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Bookman Old Style" w:eastAsiaTheme="majorEastAsia" w:hAnsi="Bookman Old Style" w:cstheme="majorBidi"/>
        <w:b/>
        <w:sz w:val="44"/>
        <w:szCs w:val="44"/>
      </w:rPr>
      <w:alias w:val="Título"/>
      <w:id w:val="262309822"/>
      <w:placeholder>
        <w:docPart w:val="DB65F9F052F24602BD44854228A54736"/>
      </w:placeholder>
      <w:dataBinding w:prefixMappings="xmlns:ns0='http://schemas.openxmlformats.org/package/2006/metadata/core-properties' xmlns:ns1='http://purl.org/dc/elements/1.1/'" w:xpath="/ns0:coreProperties[1]/ns1:title[1]" w:storeItemID="{6C3C8BC8-F283-45AE-878A-BAB7291924A1}"/>
      <w:text/>
    </w:sdtPr>
    <w:sdtContent>
      <w:p w:rsidR="00C56D78" w:rsidRDefault="00C56D78" w:rsidP="003549F6">
        <w:pPr>
          <w:pStyle w:val="Encabezado"/>
          <w:pBdr>
            <w:bottom w:val="thickThinSmallGap" w:sz="24" w:space="25" w:color="622423" w:themeColor="accent2" w:themeShade="7F"/>
          </w:pBdr>
          <w:jc w:val="center"/>
          <w:rPr>
            <w:rFonts w:asciiTheme="majorHAnsi" w:eastAsiaTheme="majorEastAsia" w:hAnsiTheme="majorHAnsi" w:cstheme="majorBidi"/>
            <w:sz w:val="32"/>
            <w:szCs w:val="32"/>
          </w:rPr>
        </w:pPr>
        <w:r>
          <w:rPr>
            <w:rFonts w:ascii="Bookman Old Style" w:eastAsiaTheme="majorEastAsia" w:hAnsi="Bookman Old Style" w:cstheme="majorBidi"/>
            <w:b/>
            <w:sz w:val="44"/>
            <w:szCs w:val="44"/>
          </w:rPr>
          <w:t>ANEXO ORDENANZA Nº 02</w:t>
        </w:r>
        <w:r w:rsidRPr="003537C3">
          <w:rPr>
            <w:rFonts w:ascii="Bookman Old Style" w:eastAsiaTheme="majorEastAsia" w:hAnsi="Bookman Old Style" w:cstheme="majorBidi"/>
            <w:b/>
            <w:sz w:val="44"/>
            <w:szCs w:val="44"/>
          </w:rPr>
          <w:t>/202</w:t>
        </w:r>
        <w:r>
          <w:rPr>
            <w:rFonts w:ascii="Bookman Old Style" w:eastAsiaTheme="majorEastAsia" w:hAnsi="Bookman Old Style" w:cstheme="majorBidi"/>
            <w:b/>
            <w:sz w:val="44"/>
            <w:szCs w:val="44"/>
          </w:rPr>
          <w:t>5</w:t>
        </w:r>
      </w:p>
    </w:sdtContent>
  </w:sdt>
  <w:p w:rsidR="00C56D78" w:rsidRDefault="00C56D7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multilevel"/>
    <w:tmpl w:val="2D16F08A"/>
    <w:lvl w:ilvl="0">
      <w:start w:val="1"/>
      <w:numFmt w:val="upperLetter"/>
      <w:lvlText w:val="%1."/>
      <w:lvlJc w:val="left"/>
      <w:pPr>
        <w:ind w:left="1728" w:hanging="706"/>
      </w:pPr>
      <w:rPr>
        <w:sz w:val="24"/>
        <w:szCs w:val="24"/>
        <w:vertAlign w:val="baseline"/>
      </w:rPr>
    </w:lvl>
    <w:lvl w:ilvl="1">
      <w:numFmt w:val="bullet"/>
      <w:lvlText w:val="•"/>
      <w:lvlJc w:val="left"/>
      <w:pPr>
        <w:ind w:left="2624" w:hanging="708"/>
      </w:pPr>
      <w:rPr>
        <w:vertAlign w:val="baseline"/>
      </w:rPr>
    </w:lvl>
    <w:lvl w:ilvl="2">
      <w:numFmt w:val="bullet"/>
      <w:lvlText w:val="•"/>
      <w:lvlJc w:val="left"/>
      <w:pPr>
        <w:ind w:left="3529" w:hanging="708"/>
      </w:pPr>
      <w:rPr>
        <w:vertAlign w:val="baseline"/>
      </w:rPr>
    </w:lvl>
    <w:lvl w:ilvl="3">
      <w:numFmt w:val="bullet"/>
      <w:lvlText w:val="•"/>
      <w:lvlJc w:val="left"/>
      <w:pPr>
        <w:ind w:left="4433" w:hanging="708"/>
      </w:pPr>
      <w:rPr>
        <w:vertAlign w:val="baseline"/>
      </w:rPr>
    </w:lvl>
    <w:lvl w:ilvl="4">
      <w:numFmt w:val="bullet"/>
      <w:lvlText w:val="•"/>
      <w:lvlJc w:val="left"/>
      <w:pPr>
        <w:ind w:left="5338" w:hanging="708"/>
      </w:pPr>
      <w:rPr>
        <w:vertAlign w:val="baseline"/>
      </w:rPr>
    </w:lvl>
    <w:lvl w:ilvl="5">
      <w:numFmt w:val="bullet"/>
      <w:lvlText w:val="•"/>
      <w:lvlJc w:val="left"/>
      <w:pPr>
        <w:ind w:left="6243" w:hanging="708"/>
      </w:pPr>
      <w:rPr>
        <w:vertAlign w:val="baseline"/>
      </w:rPr>
    </w:lvl>
    <w:lvl w:ilvl="6">
      <w:numFmt w:val="bullet"/>
      <w:lvlText w:val="•"/>
      <w:lvlJc w:val="left"/>
      <w:pPr>
        <w:ind w:left="7147" w:hanging="707"/>
      </w:pPr>
      <w:rPr>
        <w:vertAlign w:val="baseline"/>
      </w:rPr>
    </w:lvl>
    <w:lvl w:ilvl="7">
      <w:numFmt w:val="bullet"/>
      <w:lvlText w:val="•"/>
      <w:lvlJc w:val="left"/>
      <w:pPr>
        <w:ind w:left="8052" w:hanging="707"/>
      </w:pPr>
      <w:rPr>
        <w:vertAlign w:val="baseline"/>
      </w:rPr>
    </w:lvl>
    <w:lvl w:ilvl="8">
      <w:numFmt w:val="bullet"/>
      <w:lvlText w:val="•"/>
      <w:lvlJc w:val="left"/>
      <w:pPr>
        <w:ind w:left="8957" w:hanging="708"/>
      </w:pPr>
      <w:rPr>
        <w:vertAlign w:val="baseline"/>
      </w:rPr>
    </w:lvl>
  </w:abstractNum>
  <w:abstractNum w:abstractNumId="1">
    <w:nsid w:val="9C8AC8EF"/>
    <w:multiLevelType w:val="multilevel"/>
    <w:tmpl w:val="DED669EC"/>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upperRoman"/>
      <w:lvlText w:val="%3."/>
      <w:lvlJc w:val="righ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
    <w:nsid w:val="B5E306ED"/>
    <w:multiLevelType w:val="multilevel"/>
    <w:tmpl w:val="2934F65A"/>
    <w:lvl w:ilvl="0">
      <w:start w:val="1"/>
      <w:numFmt w:val="upperLetter"/>
      <w:lvlText w:val="%1."/>
      <w:lvlJc w:val="left"/>
      <w:pPr>
        <w:ind w:left="1728" w:hanging="706"/>
      </w:pPr>
      <w:rPr>
        <w:color w:val="111111"/>
        <w:sz w:val="24"/>
        <w:szCs w:val="24"/>
        <w:vertAlign w:val="baseline"/>
      </w:rPr>
    </w:lvl>
    <w:lvl w:ilvl="1">
      <w:numFmt w:val="bullet"/>
      <w:lvlText w:val="•"/>
      <w:lvlJc w:val="left"/>
      <w:pPr>
        <w:ind w:left="2624" w:hanging="708"/>
      </w:pPr>
      <w:rPr>
        <w:vertAlign w:val="baseline"/>
      </w:rPr>
    </w:lvl>
    <w:lvl w:ilvl="2">
      <w:numFmt w:val="bullet"/>
      <w:lvlText w:val="•"/>
      <w:lvlJc w:val="left"/>
      <w:pPr>
        <w:ind w:left="3529" w:hanging="708"/>
      </w:pPr>
      <w:rPr>
        <w:vertAlign w:val="baseline"/>
      </w:rPr>
    </w:lvl>
    <w:lvl w:ilvl="3">
      <w:numFmt w:val="bullet"/>
      <w:lvlText w:val="•"/>
      <w:lvlJc w:val="left"/>
      <w:pPr>
        <w:ind w:left="4433" w:hanging="708"/>
      </w:pPr>
      <w:rPr>
        <w:vertAlign w:val="baseline"/>
      </w:rPr>
    </w:lvl>
    <w:lvl w:ilvl="4">
      <w:numFmt w:val="bullet"/>
      <w:lvlText w:val="•"/>
      <w:lvlJc w:val="left"/>
      <w:pPr>
        <w:ind w:left="5338" w:hanging="708"/>
      </w:pPr>
      <w:rPr>
        <w:vertAlign w:val="baseline"/>
      </w:rPr>
    </w:lvl>
    <w:lvl w:ilvl="5">
      <w:numFmt w:val="bullet"/>
      <w:lvlText w:val="•"/>
      <w:lvlJc w:val="left"/>
      <w:pPr>
        <w:ind w:left="6243" w:hanging="708"/>
      </w:pPr>
      <w:rPr>
        <w:vertAlign w:val="baseline"/>
      </w:rPr>
    </w:lvl>
    <w:lvl w:ilvl="6">
      <w:numFmt w:val="bullet"/>
      <w:lvlText w:val="•"/>
      <w:lvlJc w:val="left"/>
      <w:pPr>
        <w:ind w:left="7147" w:hanging="707"/>
      </w:pPr>
      <w:rPr>
        <w:vertAlign w:val="baseline"/>
      </w:rPr>
    </w:lvl>
    <w:lvl w:ilvl="7">
      <w:numFmt w:val="bullet"/>
      <w:lvlText w:val="•"/>
      <w:lvlJc w:val="left"/>
      <w:pPr>
        <w:ind w:left="8052" w:hanging="707"/>
      </w:pPr>
      <w:rPr>
        <w:vertAlign w:val="baseline"/>
      </w:rPr>
    </w:lvl>
    <w:lvl w:ilvl="8">
      <w:numFmt w:val="bullet"/>
      <w:lvlText w:val="•"/>
      <w:lvlJc w:val="left"/>
      <w:pPr>
        <w:ind w:left="8957" w:hanging="708"/>
      </w:pPr>
      <w:rPr>
        <w:vertAlign w:val="baseline"/>
      </w:rPr>
    </w:lvl>
  </w:abstractNum>
  <w:abstractNum w:abstractNumId="3">
    <w:nsid w:val="BF205925"/>
    <w:multiLevelType w:val="multilevel"/>
    <w:tmpl w:val="F7D07B46"/>
    <w:lvl w:ilvl="0">
      <w:start w:val="1"/>
      <w:numFmt w:val="decimal"/>
      <w:lvlText w:val="%1."/>
      <w:lvlJc w:val="left"/>
      <w:pPr>
        <w:ind w:left="1313" w:hanging="359"/>
      </w:pPr>
      <w:rPr>
        <w:rFonts w:ascii="Cambria" w:eastAsia="Cambria" w:hAnsi="Cambria" w:cs="Cambria"/>
        <w:color w:val="auto"/>
        <w:sz w:val="24"/>
        <w:szCs w:val="24"/>
        <w:vertAlign w:val="baseline"/>
      </w:rPr>
    </w:lvl>
    <w:lvl w:ilvl="1">
      <w:start w:val="1"/>
      <w:numFmt w:val="upperLetter"/>
      <w:lvlText w:val="%2."/>
      <w:lvlJc w:val="left"/>
      <w:pPr>
        <w:ind w:left="2033" w:hanging="360"/>
      </w:pPr>
      <w:rPr>
        <w:color w:val="111111"/>
        <w:sz w:val="24"/>
        <w:szCs w:val="24"/>
        <w:vertAlign w:val="baseline"/>
      </w:rPr>
    </w:lvl>
    <w:lvl w:ilvl="2">
      <w:start w:val="1"/>
      <w:numFmt w:val="upperRoman"/>
      <w:lvlText w:val="%3."/>
      <w:lvlJc w:val="right"/>
      <w:pPr>
        <w:ind w:left="3889" w:hanging="360"/>
      </w:pPr>
      <w:rPr>
        <w:color w:val="111111"/>
        <w:sz w:val="24"/>
        <w:szCs w:val="24"/>
        <w:vertAlign w:val="baseline"/>
      </w:rPr>
    </w:lvl>
    <w:lvl w:ilvl="3">
      <w:start w:val="1"/>
      <w:numFmt w:val="bullet"/>
      <w:lvlText w:val=""/>
      <w:lvlJc w:val="left"/>
      <w:pPr>
        <w:ind w:left="3473" w:hanging="361"/>
      </w:pPr>
      <w:rPr>
        <w:rFonts w:ascii="Symbol" w:hAnsi="Symbol" w:hint="default"/>
        <w:color w:val="111111"/>
        <w:sz w:val="24"/>
        <w:szCs w:val="24"/>
        <w:vertAlign w:val="baseline"/>
      </w:rPr>
    </w:lvl>
    <w:lvl w:ilvl="4">
      <w:numFmt w:val="bullet"/>
      <w:lvlText w:val="•"/>
      <w:lvlJc w:val="left"/>
      <w:pPr>
        <w:ind w:left="3480" w:hanging="361"/>
      </w:pPr>
      <w:rPr>
        <w:vertAlign w:val="baseline"/>
      </w:rPr>
    </w:lvl>
    <w:lvl w:ilvl="5">
      <w:numFmt w:val="bullet"/>
      <w:lvlText w:val="•"/>
      <w:lvlJc w:val="left"/>
      <w:pPr>
        <w:ind w:left="3880" w:hanging="361"/>
      </w:pPr>
      <w:rPr>
        <w:vertAlign w:val="baseline"/>
      </w:rPr>
    </w:lvl>
    <w:lvl w:ilvl="6">
      <w:numFmt w:val="bullet"/>
      <w:lvlText w:val="•"/>
      <w:lvlJc w:val="left"/>
      <w:pPr>
        <w:ind w:left="5257" w:hanging="361"/>
      </w:pPr>
      <w:rPr>
        <w:vertAlign w:val="baseline"/>
      </w:rPr>
    </w:lvl>
    <w:lvl w:ilvl="7">
      <w:numFmt w:val="bullet"/>
      <w:lvlText w:val="•"/>
      <w:lvlJc w:val="left"/>
      <w:pPr>
        <w:ind w:left="6634" w:hanging="361"/>
      </w:pPr>
      <w:rPr>
        <w:vertAlign w:val="baseline"/>
      </w:rPr>
    </w:lvl>
    <w:lvl w:ilvl="8">
      <w:numFmt w:val="bullet"/>
      <w:lvlText w:val="•"/>
      <w:lvlJc w:val="left"/>
      <w:pPr>
        <w:ind w:left="8011" w:hanging="361"/>
      </w:pPr>
      <w:rPr>
        <w:vertAlign w:val="baseline"/>
      </w:rPr>
    </w:lvl>
  </w:abstractNum>
  <w:abstractNum w:abstractNumId="4">
    <w:nsid w:val="C8879AEF"/>
    <w:multiLevelType w:val="multilevel"/>
    <w:tmpl w:val="C8879AEF"/>
    <w:lvl w:ilvl="0">
      <w:start w:val="1"/>
      <w:numFmt w:val="bullet"/>
      <w:lvlText w:val="●"/>
      <w:lvlJc w:val="left"/>
      <w:pPr>
        <w:ind w:left="2501" w:hanging="360"/>
      </w:pPr>
      <w:rPr>
        <w:rFonts w:ascii="Noto Sans Symbols" w:eastAsia="Noto Sans Symbols" w:hAnsi="Noto Sans Symbols" w:cs="Noto Sans Symbols"/>
        <w:vertAlign w:val="baseline"/>
      </w:rPr>
    </w:lvl>
    <w:lvl w:ilvl="1">
      <w:start w:val="1"/>
      <w:numFmt w:val="bullet"/>
      <w:lvlText w:val="o"/>
      <w:lvlJc w:val="left"/>
      <w:pPr>
        <w:ind w:left="3221" w:hanging="360"/>
      </w:pPr>
      <w:rPr>
        <w:rFonts w:ascii="Courier New" w:eastAsia="Courier New" w:hAnsi="Courier New" w:cs="Courier New"/>
        <w:vertAlign w:val="baseline"/>
      </w:rPr>
    </w:lvl>
    <w:lvl w:ilvl="2">
      <w:start w:val="1"/>
      <w:numFmt w:val="bullet"/>
      <w:lvlText w:val="▪"/>
      <w:lvlJc w:val="left"/>
      <w:pPr>
        <w:ind w:left="3941" w:hanging="360"/>
      </w:pPr>
      <w:rPr>
        <w:rFonts w:ascii="Noto Sans Symbols" w:eastAsia="Noto Sans Symbols" w:hAnsi="Noto Sans Symbols" w:cs="Noto Sans Symbols"/>
        <w:vertAlign w:val="baseline"/>
      </w:rPr>
    </w:lvl>
    <w:lvl w:ilvl="3">
      <w:start w:val="1"/>
      <w:numFmt w:val="bullet"/>
      <w:lvlText w:val="●"/>
      <w:lvlJc w:val="left"/>
      <w:pPr>
        <w:ind w:left="4661" w:hanging="360"/>
      </w:pPr>
      <w:rPr>
        <w:rFonts w:ascii="Noto Sans Symbols" w:eastAsia="Noto Sans Symbols" w:hAnsi="Noto Sans Symbols" w:cs="Noto Sans Symbols"/>
        <w:vertAlign w:val="baseline"/>
      </w:rPr>
    </w:lvl>
    <w:lvl w:ilvl="4">
      <w:start w:val="1"/>
      <w:numFmt w:val="bullet"/>
      <w:lvlText w:val="o"/>
      <w:lvlJc w:val="left"/>
      <w:pPr>
        <w:ind w:left="5381" w:hanging="360"/>
      </w:pPr>
      <w:rPr>
        <w:rFonts w:ascii="Courier New" w:eastAsia="Courier New" w:hAnsi="Courier New" w:cs="Courier New"/>
        <w:vertAlign w:val="baseline"/>
      </w:rPr>
    </w:lvl>
    <w:lvl w:ilvl="5">
      <w:start w:val="1"/>
      <w:numFmt w:val="bullet"/>
      <w:lvlText w:val="▪"/>
      <w:lvlJc w:val="left"/>
      <w:pPr>
        <w:ind w:left="6101" w:hanging="360"/>
      </w:pPr>
      <w:rPr>
        <w:rFonts w:ascii="Noto Sans Symbols" w:eastAsia="Noto Sans Symbols" w:hAnsi="Noto Sans Symbols" w:cs="Noto Sans Symbols"/>
        <w:vertAlign w:val="baseline"/>
      </w:rPr>
    </w:lvl>
    <w:lvl w:ilvl="6">
      <w:start w:val="1"/>
      <w:numFmt w:val="bullet"/>
      <w:lvlText w:val="●"/>
      <w:lvlJc w:val="left"/>
      <w:pPr>
        <w:ind w:left="6821" w:hanging="360"/>
      </w:pPr>
      <w:rPr>
        <w:rFonts w:ascii="Noto Sans Symbols" w:eastAsia="Noto Sans Symbols" w:hAnsi="Noto Sans Symbols" w:cs="Noto Sans Symbols"/>
        <w:vertAlign w:val="baseline"/>
      </w:rPr>
    </w:lvl>
    <w:lvl w:ilvl="7">
      <w:start w:val="1"/>
      <w:numFmt w:val="bullet"/>
      <w:lvlText w:val="o"/>
      <w:lvlJc w:val="left"/>
      <w:pPr>
        <w:ind w:left="7541" w:hanging="360"/>
      </w:pPr>
      <w:rPr>
        <w:rFonts w:ascii="Courier New" w:eastAsia="Courier New" w:hAnsi="Courier New" w:cs="Courier New"/>
        <w:vertAlign w:val="baseline"/>
      </w:rPr>
    </w:lvl>
    <w:lvl w:ilvl="8">
      <w:start w:val="1"/>
      <w:numFmt w:val="bullet"/>
      <w:lvlText w:val="▪"/>
      <w:lvlJc w:val="left"/>
      <w:pPr>
        <w:ind w:left="8261" w:hanging="360"/>
      </w:pPr>
      <w:rPr>
        <w:rFonts w:ascii="Noto Sans Symbols" w:eastAsia="Noto Sans Symbols" w:hAnsi="Noto Sans Symbols" w:cs="Noto Sans Symbols"/>
        <w:vertAlign w:val="baseline"/>
      </w:rPr>
    </w:lvl>
  </w:abstractNum>
  <w:abstractNum w:abstractNumId="5">
    <w:nsid w:val="CF092B84"/>
    <w:multiLevelType w:val="multilevel"/>
    <w:tmpl w:val="CF092B84"/>
    <w:lvl w:ilvl="0">
      <w:start w:val="1"/>
      <w:numFmt w:val="lowerLetter"/>
      <w:lvlText w:val="%1."/>
      <w:lvlJc w:val="left"/>
      <w:pPr>
        <w:ind w:left="720" w:hanging="360"/>
      </w:pPr>
      <w:rPr>
        <w:rFonts w:ascii="Cambria" w:eastAsia="Cambria" w:hAnsi="Cambria" w:cs="Cambria"/>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D7F9FE59"/>
    <w:multiLevelType w:val="multilevel"/>
    <w:tmpl w:val="D7F9FE59"/>
    <w:lvl w:ilvl="0">
      <w:start w:val="1"/>
      <w:numFmt w:val="lowerLetter"/>
      <w:lvlText w:val="%1)"/>
      <w:lvlJc w:val="left"/>
      <w:pPr>
        <w:ind w:left="588" w:hanging="335"/>
      </w:pPr>
      <w:rPr>
        <w:rFonts w:ascii="Cambria" w:eastAsia="Cambria" w:hAnsi="Cambria" w:cs="Cambria"/>
        <w:sz w:val="24"/>
        <w:szCs w:val="24"/>
        <w:vertAlign w:val="baseline"/>
      </w:rPr>
    </w:lvl>
    <w:lvl w:ilvl="1">
      <w:numFmt w:val="bullet"/>
      <w:lvlText w:val="•"/>
      <w:lvlJc w:val="left"/>
      <w:pPr>
        <w:ind w:left="1598" w:hanging="335"/>
      </w:pPr>
      <w:rPr>
        <w:vertAlign w:val="baseline"/>
      </w:rPr>
    </w:lvl>
    <w:lvl w:ilvl="2">
      <w:numFmt w:val="bullet"/>
      <w:lvlText w:val="•"/>
      <w:lvlJc w:val="left"/>
      <w:pPr>
        <w:ind w:left="2617" w:hanging="335"/>
      </w:pPr>
      <w:rPr>
        <w:vertAlign w:val="baseline"/>
      </w:rPr>
    </w:lvl>
    <w:lvl w:ilvl="3">
      <w:numFmt w:val="bullet"/>
      <w:lvlText w:val="•"/>
      <w:lvlJc w:val="left"/>
      <w:pPr>
        <w:ind w:left="3635" w:hanging="335"/>
      </w:pPr>
      <w:rPr>
        <w:vertAlign w:val="baseline"/>
      </w:rPr>
    </w:lvl>
    <w:lvl w:ilvl="4">
      <w:numFmt w:val="bullet"/>
      <w:lvlText w:val="•"/>
      <w:lvlJc w:val="left"/>
      <w:pPr>
        <w:ind w:left="4654" w:hanging="335"/>
      </w:pPr>
      <w:rPr>
        <w:vertAlign w:val="baseline"/>
      </w:rPr>
    </w:lvl>
    <w:lvl w:ilvl="5">
      <w:numFmt w:val="bullet"/>
      <w:lvlText w:val="•"/>
      <w:lvlJc w:val="left"/>
      <w:pPr>
        <w:ind w:left="5673" w:hanging="335"/>
      </w:pPr>
      <w:rPr>
        <w:vertAlign w:val="baseline"/>
      </w:rPr>
    </w:lvl>
    <w:lvl w:ilvl="6">
      <w:numFmt w:val="bullet"/>
      <w:lvlText w:val="•"/>
      <w:lvlJc w:val="left"/>
      <w:pPr>
        <w:ind w:left="6691" w:hanging="335"/>
      </w:pPr>
      <w:rPr>
        <w:vertAlign w:val="baseline"/>
      </w:rPr>
    </w:lvl>
    <w:lvl w:ilvl="7">
      <w:numFmt w:val="bullet"/>
      <w:lvlText w:val="•"/>
      <w:lvlJc w:val="left"/>
      <w:pPr>
        <w:ind w:left="7710" w:hanging="335"/>
      </w:pPr>
      <w:rPr>
        <w:vertAlign w:val="baseline"/>
      </w:rPr>
    </w:lvl>
    <w:lvl w:ilvl="8">
      <w:numFmt w:val="bullet"/>
      <w:lvlText w:val="•"/>
      <w:lvlJc w:val="left"/>
      <w:pPr>
        <w:ind w:left="8729" w:hanging="335"/>
      </w:pPr>
      <w:rPr>
        <w:vertAlign w:val="baseline"/>
      </w:rPr>
    </w:lvl>
  </w:abstractNum>
  <w:abstractNum w:abstractNumId="7">
    <w:nsid w:val="DCBA6B53"/>
    <w:multiLevelType w:val="multilevel"/>
    <w:tmpl w:val="42A884B0"/>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8">
    <w:nsid w:val="F4B5D9F5"/>
    <w:multiLevelType w:val="multilevel"/>
    <w:tmpl w:val="53A0B816"/>
    <w:lvl w:ilvl="0">
      <w:start w:val="3"/>
      <w:numFmt w:val="decimal"/>
      <w:lvlText w:val="%1)"/>
      <w:lvlJc w:val="left"/>
      <w:pPr>
        <w:ind w:left="602" w:hanging="642"/>
      </w:pPr>
      <w:rPr>
        <w:b/>
        <w:vertAlign w:val="baseline"/>
      </w:rPr>
    </w:lvl>
    <w:lvl w:ilvl="1">
      <w:start w:val="1"/>
      <w:numFmt w:val="upperRoman"/>
      <w:lvlText w:val="%2."/>
      <w:lvlJc w:val="right"/>
      <w:pPr>
        <w:ind w:left="1723" w:hanging="310"/>
      </w:pPr>
      <w:rPr>
        <w:sz w:val="24"/>
        <w:szCs w:val="24"/>
        <w:vertAlign w:val="baseline"/>
      </w:rPr>
    </w:lvl>
    <w:lvl w:ilvl="2">
      <w:numFmt w:val="bullet"/>
      <w:lvlText w:val="•"/>
      <w:lvlJc w:val="left"/>
      <w:pPr>
        <w:ind w:left="2725" w:hanging="310"/>
      </w:pPr>
      <w:rPr>
        <w:vertAlign w:val="baseline"/>
      </w:rPr>
    </w:lvl>
    <w:lvl w:ilvl="3">
      <w:numFmt w:val="bullet"/>
      <w:lvlText w:val="•"/>
      <w:lvlJc w:val="left"/>
      <w:pPr>
        <w:ind w:left="3730" w:hanging="310"/>
      </w:pPr>
      <w:rPr>
        <w:vertAlign w:val="baseline"/>
      </w:rPr>
    </w:lvl>
    <w:lvl w:ilvl="4">
      <w:numFmt w:val="bullet"/>
      <w:lvlText w:val="•"/>
      <w:lvlJc w:val="left"/>
      <w:pPr>
        <w:ind w:left="4735" w:hanging="310"/>
      </w:pPr>
      <w:rPr>
        <w:vertAlign w:val="baseline"/>
      </w:rPr>
    </w:lvl>
    <w:lvl w:ilvl="5">
      <w:numFmt w:val="bullet"/>
      <w:lvlText w:val="•"/>
      <w:lvlJc w:val="left"/>
      <w:pPr>
        <w:ind w:left="5740" w:hanging="310"/>
      </w:pPr>
      <w:rPr>
        <w:vertAlign w:val="baseline"/>
      </w:rPr>
    </w:lvl>
    <w:lvl w:ilvl="6">
      <w:numFmt w:val="bullet"/>
      <w:lvlText w:val="•"/>
      <w:lvlJc w:val="left"/>
      <w:pPr>
        <w:ind w:left="6745" w:hanging="310"/>
      </w:pPr>
      <w:rPr>
        <w:vertAlign w:val="baseline"/>
      </w:rPr>
    </w:lvl>
    <w:lvl w:ilvl="7">
      <w:numFmt w:val="bullet"/>
      <w:lvlText w:val="•"/>
      <w:lvlJc w:val="left"/>
      <w:pPr>
        <w:ind w:left="7750" w:hanging="310"/>
      </w:pPr>
      <w:rPr>
        <w:vertAlign w:val="baseline"/>
      </w:rPr>
    </w:lvl>
    <w:lvl w:ilvl="8">
      <w:numFmt w:val="bullet"/>
      <w:lvlText w:val="•"/>
      <w:lvlJc w:val="left"/>
      <w:pPr>
        <w:ind w:left="8756" w:hanging="310"/>
      </w:pPr>
      <w:rPr>
        <w:vertAlign w:val="baseline"/>
      </w:rPr>
    </w:lvl>
  </w:abstractNum>
  <w:abstractNum w:abstractNumId="9">
    <w:nsid w:val="00000011"/>
    <w:multiLevelType w:val="singleLevel"/>
    <w:tmpl w:val="00000011"/>
    <w:name w:val="WW8Num16"/>
    <w:lvl w:ilvl="0">
      <w:start w:val="1"/>
      <w:numFmt w:val="lowerLetter"/>
      <w:lvlText w:val="%1)"/>
      <w:lvlJc w:val="left"/>
      <w:pPr>
        <w:tabs>
          <w:tab w:val="num" w:pos="360"/>
        </w:tabs>
        <w:ind w:left="360" w:hanging="360"/>
      </w:pPr>
    </w:lvl>
  </w:abstractNum>
  <w:abstractNum w:abstractNumId="10">
    <w:nsid w:val="0248C179"/>
    <w:multiLevelType w:val="multilevel"/>
    <w:tmpl w:val="E3561506"/>
    <w:lvl w:ilvl="0">
      <w:start w:val="1"/>
      <w:numFmt w:val="decimal"/>
      <w:lvlText w:val="%1)"/>
      <w:lvlJc w:val="left"/>
      <w:pPr>
        <w:ind w:left="900" w:hanging="313"/>
      </w:pPr>
      <w:rPr>
        <w:rFonts w:ascii="Cambria" w:eastAsia="Cambria" w:hAnsi="Cambria" w:cs="Cambria"/>
        <w:b/>
        <w:sz w:val="24"/>
        <w:szCs w:val="24"/>
        <w:vertAlign w:val="baseline"/>
      </w:rPr>
    </w:lvl>
    <w:lvl w:ilvl="1">
      <w:start w:val="1"/>
      <w:numFmt w:val="upperLetter"/>
      <w:lvlText w:val="%2."/>
      <w:lvlJc w:val="left"/>
      <w:pPr>
        <w:ind w:left="1886" w:hanging="313"/>
      </w:pPr>
      <w:rPr>
        <w:vertAlign w:val="baseline"/>
      </w:rPr>
    </w:lvl>
    <w:lvl w:ilvl="2">
      <w:numFmt w:val="bullet"/>
      <w:lvlText w:val="•"/>
      <w:lvlJc w:val="left"/>
      <w:pPr>
        <w:ind w:left="2873" w:hanging="313"/>
      </w:pPr>
      <w:rPr>
        <w:vertAlign w:val="baseline"/>
      </w:rPr>
    </w:lvl>
    <w:lvl w:ilvl="3">
      <w:numFmt w:val="bullet"/>
      <w:lvlText w:val="•"/>
      <w:lvlJc w:val="left"/>
      <w:pPr>
        <w:ind w:left="3859" w:hanging="313"/>
      </w:pPr>
      <w:rPr>
        <w:vertAlign w:val="baseline"/>
      </w:rPr>
    </w:lvl>
    <w:lvl w:ilvl="4">
      <w:numFmt w:val="bullet"/>
      <w:lvlText w:val="•"/>
      <w:lvlJc w:val="left"/>
      <w:pPr>
        <w:ind w:left="4846" w:hanging="313"/>
      </w:pPr>
      <w:rPr>
        <w:vertAlign w:val="baseline"/>
      </w:rPr>
    </w:lvl>
    <w:lvl w:ilvl="5">
      <w:numFmt w:val="bullet"/>
      <w:lvlText w:val="•"/>
      <w:lvlJc w:val="left"/>
      <w:pPr>
        <w:ind w:left="5833" w:hanging="313"/>
      </w:pPr>
      <w:rPr>
        <w:vertAlign w:val="baseline"/>
      </w:rPr>
    </w:lvl>
    <w:lvl w:ilvl="6">
      <w:numFmt w:val="bullet"/>
      <w:lvlText w:val="•"/>
      <w:lvlJc w:val="left"/>
      <w:pPr>
        <w:ind w:left="6819" w:hanging="313"/>
      </w:pPr>
      <w:rPr>
        <w:vertAlign w:val="baseline"/>
      </w:rPr>
    </w:lvl>
    <w:lvl w:ilvl="7">
      <w:numFmt w:val="bullet"/>
      <w:lvlText w:val="•"/>
      <w:lvlJc w:val="left"/>
      <w:pPr>
        <w:ind w:left="7806" w:hanging="312"/>
      </w:pPr>
      <w:rPr>
        <w:vertAlign w:val="baseline"/>
      </w:rPr>
    </w:lvl>
    <w:lvl w:ilvl="8">
      <w:numFmt w:val="bullet"/>
      <w:lvlText w:val="•"/>
      <w:lvlJc w:val="left"/>
      <w:pPr>
        <w:ind w:left="8793" w:hanging="313"/>
      </w:pPr>
      <w:rPr>
        <w:vertAlign w:val="baseline"/>
      </w:rPr>
    </w:lvl>
  </w:abstractNum>
  <w:abstractNum w:abstractNumId="11">
    <w:nsid w:val="03D62ECE"/>
    <w:multiLevelType w:val="multilevel"/>
    <w:tmpl w:val="03D62ECE"/>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nsid w:val="06C970C6"/>
    <w:multiLevelType w:val="multilevel"/>
    <w:tmpl w:val="483CA478"/>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3">
    <w:nsid w:val="1D3C2ECF"/>
    <w:multiLevelType w:val="hybridMultilevel"/>
    <w:tmpl w:val="EAD811EC"/>
    <w:lvl w:ilvl="0" w:tplc="3FC0230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4">
    <w:nsid w:val="21CA7719"/>
    <w:multiLevelType w:val="multilevel"/>
    <w:tmpl w:val="8A1E1526"/>
    <w:lvl w:ilvl="0">
      <w:start w:val="1"/>
      <w:numFmt w:val="decimal"/>
      <w:lvlText w:val="%1."/>
      <w:lvlJc w:val="left"/>
      <w:pPr>
        <w:ind w:left="602" w:hanging="642"/>
      </w:pPr>
      <w:rPr>
        <w:rFonts w:hint="default"/>
        <w:b/>
        <w:vertAlign w:val="baseline"/>
      </w:rPr>
    </w:lvl>
    <w:lvl w:ilvl="1">
      <w:start w:val="4"/>
      <w:numFmt w:val="upperLetter"/>
      <w:lvlText w:val="%2."/>
      <w:lvlJc w:val="left"/>
      <w:pPr>
        <w:ind w:left="1723" w:hanging="310"/>
      </w:pPr>
      <w:rPr>
        <w:rFonts w:hint="default"/>
        <w:sz w:val="24"/>
        <w:szCs w:val="24"/>
        <w:vertAlign w:val="baseline"/>
      </w:rPr>
    </w:lvl>
    <w:lvl w:ilvl="2">
      <w:numFmt w:val="bullet"/>
      <w:lvlText w:val="•"/>
      <w:lvlJc w:val="left"/>
      <w:pPr>
        <w:ind w:left="2725" w:hanging="310"/>
      </w:pPr>
      <w:rPr>
        <w:rFonts w:hint="default"/>
        <w:vertAlign w:val="baseline"/>
      </w:rPr>
    </w:lvl>
    <w:lvl w:ilvl="3">
      <w:numFmt w:val="bullet"/>
      <w:lvlText w:val="•"/>
      <w:lvlJc w:val="left"/>
      <w:pPr>
        <w:ind w:left="3730" w:hanging="310"/>
      </w:pPr>
      <w:rPr>
        <w:rFonts w:hint="default"/>
        <w:vertAlign w:val="baseline"/>
      </w:rPr>
    </w:lvl>
    <w:lvl w:ilvl="4">
      <w:numFmt w:val="bullet"/>
      <w:lvlText w:val="•"/>
      <w:lvlJc w:val="left"/>
      <w:pPr>
        <w:ind w:left="4735" w:hanging="310"/>
      </w:pPr>
      <w:rPr>
        <w:rFonts w:hint="default"/>
        <w:vertAlign w:val="baseline"/>
      </w:rPr>
    </w:lvl>
    <w:lvl w:ilvl="5">
      <w:numFmt w:val="bullet"/>
      <w:lvlText w:val="•"/>
      <w:lvlJc w:val="left"/>
      <w:pPr>
        <w:ind w:left="5740" w:hanging="310"/>
      </w:pPr>
      <w:rPr>
        <w:rFonts w:hint="default"/>
        <w:vertAlign w:val="baseline"/>
      </w:rPr>
    </w:lvl>
    <w:lvl w:ilvl="6">
      <w:numFmt w:val="bullet"/>
      <w:lvlText w:val="•"/>
      <w:lvlJc w:val="left"/>
      <w:pPr>
        <w:ind w:left="6745" w:hanging="310"/>
      </w:pPr>
      <w:rPr>
        <w:rFonts w:hint="default"/>
        <w:vertAlign w:val="baseline"/>
      </w:rPr>
    </w:lvl>
    <w:lvl w:ilvl="7">
      <w:numFmt w:val="bullet"/>
      <w:lvlText w:val="•"/>
      <w:lvlJc w:val="left"/>
      <w:pPr>
        <w:ind w:left="7750" w:hanging="310"/>
      </w:pPr>
      <w:rPr>
        <w:rFonts w:hint="default"/>
        <w:vertAlign w:val="baseline"/>
      </w:rPr>
    </w:lvl>
    <w:lvl w:ilvl="8">
      <w:numFmt w:val="bullet"/>
      <w:lvlText w:val="•"/>
      <w:lvlJc w:val="left"/>
      <w:pPr>
        <w:ind w:left="8756" w:hanging="310"/>
      </w:pPr>
      <w:rPr>
        <w:rFonts w:hint="default"/>
        <w:vertAlign w:val="baseline"/>
      </w:rPr>
    </w:lvl>
  </w:abstractNum>
  <w:abstractNum w:abstractNumId="15">
    <w:nsid w:val="25B654F3"/>
    <w:multiLevelType w:val="multilevel"/>
    <w:tmpl w:val="25B654F3"/>
    <w:lvl w:ilvl="0">
      <w:start w:val="1"/>
      <w:numFmt w:val="decimal"/>
      <w:lvlText w:val="%1)"/>
      <w:lvlJc w:val="left"/>
      <w:pPr>
        <w:ind w:left="900" w:hanging="313"/>
      </w:pPr>
      <w:rPr>
        <w:rFonts w:ascii="Cambria" w:eastAsia="Cambria" w:hAnsi="Cambria" w:cs="Cambria"/>
        <w:b/>
        <w:sz w:val="24"/>
        <w:szCs w:val="24"/>
        <w:vertAlign w:val="baseline"/>
      </w:rPr>
    </w:lvl>
    <w:lvl w:ilvl="1">
      <w:numFmt w:val="bullet"/>
      <w:lvlText w:val="•"/>
      <w:lvlJc w:val="left"/>
      <w:pPr>
        <w:ind w:left="1886" w:hanging="313"/>
      </w:pPr>
      <w:rPr>
        <w:vertAlign w:val="baseline"/>
      </w:rPr>
    </w:lvl>
    <w:lvl w:ilvl="2">
      <w:numFmt w:val="bullet"/>
      <w:lvlText w:val="•"/>
      <w:lvlJc w:val="left"/>
      <w:pPr>
        <w:ind w:left="2873" w:hanging="313"/>
      </w:pPr>
      <w:rPr>
        <w:vertAlign w:val="baseline"/>
      </w:rPr>
    </w:lvl>
    <w:lvl w:ilvl="3">
      <w:numFmt w:val="bullet"/>
      <w:lvlText w:val="•"/>
      <w:lvlJc w:val="left"/>
      <w:pPr>
        <w:ind w:left="3859" w:hanging="313"/>
      </w:pPr>
      <w:rPr>
        <w:vertAlign w:val="baseline"/>
      </w:rPr>
    </w:lvl>
    <w:lvl w:ilvl="4">
      <w:numFmt w:val="bullet"/>
      <w:lvlText w:val="•"/>
      <w:lvlJc w:val="left"/>
      <w:pPr>
        <w:ind w:left="4846" w:hanging="313"/>
      </w:pPr>
      <w:rPr>
        <w:vertAlign w:val="baseline"/>
      </w:rPr>
    </w:lvl>
    <w:lvl w:ilvl="5">
      <w:numFmt w:val="bullet"/>
      <w:lvlText w:val="•"/>
      <w:lvlJc w:val="left"/>
      <w:pPr>
        <w:ind w:left="5833" w:hanging="313"/>
      </w:pPr>
      <w:rPr>
        <w:vertAlign w:val="baseline"/>
      </w:rPr>
    </w:lvl>
    <w:lvl w:ilvl="6">
      <w:numFmt w:val="bullet"/>
      <w:lvlText w:val="•"/>
      <w:lvlJc w:val="left"/>
      <w:pPr>
        <w:ind w:left="6819" w:hanging="313"/>
      </w:pPr>
      <w:rPr>
        <w:vertAlign w:val="baseline"/>
      </w:rPr>
    </w:lvl>
    <w:lvl w:ilvl="7">
      <w:numFmt w:val="bullet"/>
      <w:lvlText w:val="•"/>
      <w:lvlJc w:val="left"/>
      <w:pPr>
        <w:ind w:left="7806" w:hanging="312"/>
      </w:pPr>
      <w:rPr>
        <w:vertAlign w:val="baseline"/>
      </w:rPr>
    </w:lvl>
    <w:lvl w:ilvl="8">
      <w:numFmt w:val="bullet"/>
      <w:lvlText w:val="•"/>
      <w:lvlJc w:val="left"/>
      <w:pPr>
        <w:ind w:left="8793" w:hanging="313"/>
      </w:pPr>
      <w:rPr>
        <w:vertAlign w:val="baseline"/>
      </w:rPr>
    </w:lvl>
  </w:abstractNum>
  <w:abstractNum w:abstractNumId="16">
    <w:nsid w:val="2A8F537B"/>
    <w:multiLevelType w:val="multilevel"/>
    <w:tmpl w:val="2A8F537B"/>
    <w:lvl w:ilvl="0">
      <w:start w:val="1"/>
      <w:numFmt w:val="decimal"/>
      <w:lvlText w:val="%1."/>
      <w:lvlJc w:val="left"/>
      <w:pPr>
        <w:ind w:left="2088" w:hanging="360"/>
      </w:pPr>
      <w:rPr>
        <w:rFonts w:ascii="Cambria" w:eastAsia="Cambria" w:hAnsi="Cambria" w:cs="Cambria"/>
        <w:b/>
        <w:sz w:val="24"/>
        <w:szCs w:val="24"/>
        <w:vertAlign w:val="baseline"/>
      </w:rPr>
    </w:lvl>
    <w:lvl w:ilvl="1">
      <w:numFmt w:val="bullet"/>
      <w:lvlText w:val="•"/>
      <w:lvlJc w:val="left"/>
      <w:pPr>
        <w:ind w:left="2948" w:hanging="360"/>
      </w:pPr>
      <w:rPr>
        <w:vertAlign w:val="baseline"/>
      </w:rPr>
    </w:lvl>
    <w:lvl w:ilvl="2">
      <w:numFmt w:val="bullet"/>
      <w:lvlText w:val="•"/>
      <w:lvlJc w:val="left"/>
      <w:pPr>
        <w:ind w:left="3817" w:hanging="360"/>
      </w:pPr>
      <w:rPr>
        <w:vertAlign w:val="baseline"/>
      </w:rPr>
    </w:lvl>
    <w:lvl w:ilvl="3">
      <w:numFmt w:val="bullet"/>
      <w:lvlText w:val="•"/>
      <w:lvlJc w:val="left"/>
      <w:pPr>
        <w:ind w:left="4685" w:hanging="360"/>
      </w:pPr>
      <w:rPr>
        <w:vertAlign w:val="baseline"/>
      </w:rPr>
    </w:lvl>
    <w:lvl w:ilvl="4">
      <w:numFmt w:val="bullet"/>
      <w:lvlText w:val="•"/>
      <w:lvlJc w:val="left"/>
      <w:pPr>
        <w:ind w:left="5554" w:hanging="360"/>
      </w:pPr>
      <w:rPr>
        <w:vertAlign w:val="baseline"/>
      </w:rPr>
    </w:lvl>
    <w:lvl w:ilvl="5">
      <w:numFmt w:val="bullet"/>
      <w:lvlText w:val="•"/>
      <w:lvlJc w:val="left"/>
      <w:pPr>
        <w:ind w:left="6423" w:hanging="360"/>
      </w:pPr>
      <w:rPr>
        <w:vertAlign w:val="baseline"/>
      </w:rPr>
    </w:lvl>
    <w:lvl w:ilvl="6">
      <w:numFmt w:val="bullet"/>
      <w:lvlText w:val="•"/>
      <w:lvlJc w:val="left"/>
      <w:pPr>
        <w:ind w:left="7291" w:hanging="360"/>
      </w:pPr>
      <w:rPr>
        <w:vertAlign w:val="baseline"/>
      </w:rPr>
    </w:lvl>
    <w:lvl w:ilvl="7">
      <w:numFmt w:val="bullet"/>
      <w:lvlText w:val="•"/>
      <w:lvlJc w:val="left"/>
      <w:pPr>
        <w:ind w:left="8160" w:hanging="360"/>
      </w:pPr>
      <w:rPr>
        <w:vertAlign w:val="baseline"/>
      </w:rPr>
    </w:lvl>
    <w:lvl w:ilvl="8">
      <w:numFmt w:val="bullet"/>
      <w:lvlText w:val="•"/>
      <w:lvlJc w:val="left"/>
      <w:pPr>
        <w:ind w:left="9029" w:hanging="360"/>
      </w:pPr>
      <w:rPr>
        <w:vertAlign w:val="baseline"/>
      </w:rPr>
    </w:lvl>
  </w:abstractNum>
  <w:abstractNum w:abstractNumId="17">
    <w:nsid w:val="455649B9"/>
    <w:multiLevelType w:val="hybridMultilevel"/>
    <w:tmpl w:val="056A1E2A"/>
    <w:lvl w:ilvl="0" w:tplc="3FC0230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8">
    <w:nsid w:val="464C0246"/>
    <w:multiLevelType w:val="hybridMultilevel"/>
    <w:tmpl w:val="EAD0CBF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4C1BAE26"/>
    <w:multiLevelType w:val="multilevel"/>
    <w:tmpl w:val="8FE6E0CE"/>
    <w:lvl w:ilvl="0">
      <w:start w:val="1"/>
      <w:numFmt w:val="decimal"/>
      <w:lvlText w:val="%1."/>
      <w:lvlJc w:val="left"/>
      <w:pPr>
        <w:ind w:left="592" w:hanging="160"/>
      </w:pPr>
      <w:rPr>
        <w:sz w:val="24"/>
        <w:szCs w:val="22"/>
        <w:vertAlign w:val="baseline"/>
      </w:rPr>
    </w:lvl>
    <w:lvl w:ilvl="1">
      <w:numFmt w:val="bullet"/>
      <w:lvlText w:val="•"/>
      <w:lvlJc w:val="left"/>
      <w:pPr>
        <w:ind w:left="1616" w:hanging="160"/>
      </w:pPr>
      <w:rPr>
        <w:vertAlign w:val="baseline"/>
      </w:rPr>
    </w:lvl>
    <w:lvl w:ilvl="2">
      <w:numFmt w:val="bullet"/>
      <w:lvlText w:val="•"/>
      <w:lvlJc w:val="left"/>
      <w:pPr>
        <w:ind w:left="2633" w:hanging="160"/>
      </w:pPr>
      <w:rPr>
        <w:vertAlign w:val="baseline"/>
      </w:rPr>
    </w:lvl>
    <w:lvl w:ilvl="3">
      <w:numFmt w:val="bullet"/>
      <w:lvlText w:val="•"/>
      <w:lvlJc w:val="left"/>
      <w:pPr>
        <w:ind w:left="3649" w:hanging="160"/>
      </w:pPr>
      <w:rPr>
        <w:vertAlign w:val="baseline"/>
      </w:rPr>
    </w:lvl>
    <w:lvl w:ilvl="4">
      <w:numFmt w:val="bullet"/>
      <w:lvlText w:val="•"/>
      <w:lvlJc w:val="left"/>
      <w:pPr>
        <w:ind w:left="4666" w:hanging="160"/>
      </w:pPr>
      <w:rPr>
        <w:vertAlign w:val="baseline"/>
      </w:rPr>
    </w:lvl>
    <w:lvl w:ilvl="5">
      <w:numFmt w:val="bullet"/>
      <w:lvlText w:val="•"/>
      <w:lvlJc w:val="left"/>
      <w:pPr>
        <w:ind w:left="5683" w:hanging="160"/>
      </w:pPr>
      <w:rPr>
        <w:vertAlign w:val="baseline"/>
      </w:rPr>
    </w:lvl>
    <w:lvl w:ilvl="6">
      <w:numFmt w:val="bullet"/>
      <w:lvlText w:val="•"/>
      <w:lvlJc w:val="left"/>
      <w:pPr>
        <w:ind w:left="6699" w:hanging="160"/>
      </w:pPr>
      <w:rPr>
        <w:vertAlign w:val="baseline"/>
      </w:rPr>
    </w:lvl>
    <w:lvl w:ilvl="7">
      <w:numFmt w:val="bullet"/>
      <w:lvlText w:val="•"/>
      <w:lvlJc w:val="left"/>
      <w:pPr>
        <w:ind w:left="7716" w:hanging="160"/>
      </w:pPr>
      <w:rPr>
        <w:vertAlign w:val="baseline"/>
      </w:rPr>
    </w:lvl>
    <w:lvl w:ilvl="8">
      <w:numFmt w:val="bullet"/>
      <w:lvlText w:val="•"/>
      <w:lvlJc w:val="left"/>
      <w:pPr>
        <w:ind w:left="8733" w:hanging="160"/>
      </w:pPr>
      <w:rPr>
        <w:vertAlign w:val="baseline"/>
      </w:rPr>
    </w:lvl>
  </w:abstractNum>
  <w:abstractNum w:abstractNumId="20">
    <w:nsid w:val="4D4DC07F"/>
    <w:multiLevelType w:val="multilevel"/>
    <w:tmpl w:val="6A7C82C2"/>
    <w:lvl w:ilvl="0">
      <w:start w:val="1"/>
      <w:numFmt w:val="upperLetter"/>
      <w:lvlText w:val="%1."/>
      <w:lvlJc w:val="left"/>
      <w:pPr>
        <w:ind w:left="948" w:hanging="360"/>
      </w:pPr>
      <w:rPr>
        <w:vertAlign w:val="baseline"/>
      </w:rPr>
    </w:lvl>
    <w:lvl w:ilvl="1">
      <w:start w:val="1"/>
      <w:numFmt w:val="lowerLetter"/>
      <w:lvlText w:val="%2."/>
      <w:lvlJc w:val="left"/>
      <w:pPr>
        <w:ind w:left="1668" w:hanging="360"/>
      </w:pPr>
      <w:rPr>
        <w:vertAlign w:val="baseline"/>
      </w:rPr>
    </w:lvl>
    <w:lvl w:ilvl="2">
      <w:start w:val="1"/>
      <w:numFmt w:val="lowerRoman"/>
      <w:lvlText w:val="%3."/>
      <w:lvlJc w:val="right"/>
      <w:pPr>
        <w:ind w:left="2388" w:hanging="180"/>
      </w:pPr>
      <w:rPr>
        <w:vertAlign w:val="baseline"/>
      </w:rPr>
    </w:lvl>
    <w:lvl w:ilvl="3">
      <w:start w:val="1"/>
      <w:numFmt w:val="decimal"/>
      <w:lvlText w:val="%4."/>
      <w:lvlJc w:val="left"/>
      <w:pPr>
        <w:ind w:left="3108" w:hanging="360"/>
      </w:pPr>
      <w:rPr>
        <w:vertAlign w:val="baseline"/>
      </w:rPr>
    </w:lvl>
    <w:lvl w:ilvl="4">
      <w:start w:val="1"/>
      <w:numFmt w:val="lowerLetter"/>
      <w:lvlText w:val="%5."/>
      <w:lvlJc w:val="left"/>
      <w:pPr>
        <w:ind w:left="3828" w:hanging="360"/>
      </w:pPr>
      <w:rPr>
        <w:vertAlign w:val="baseline"/>
      </w:rPr>
    </w:lvl>
    <w:lvl w:ilvl="5">
      <w:start w:val="1"/>
      <w:numFmt w:val="lowerRoman"/>
      <w:lvlText w:val="%6."/>
      <w:lvlJc w:val="right"/>
      <w:pPr>
        <w:ind w:left="4548" w:hanging="180"/>
      </w:pPr>
      <w:rPr>
        <w:vertAlign w:val="baseline"/>
      </w:rPr>
    </w:lvl>
    <w:lvl w:ilvl="6">
      <w:start w:val="1"/>
      <w:numFmt w:val="decimal"/>
      <w:lvlText w:val="%7."/>
      <w:lvlJc w:val="left"/>
      <w:pPr>
        <w:ind w:left="5268" w:hanging="360"/>
      </w:pPr>
      <w:rPr>
        <w:vertAlign w:val="baseline"/>
      </w:rPr>
    </w:lvl>
    <w:lvl w:ilvl="7">
      <w:start w:val="1"/>
      <w:numFmt w:val="lowerLetter"/>
      <w:lvlText w:val="%8."/>
      <w:lvlJc w:val="left"/>
      <w:pPr>
        <w:ind w:left="5988" w:hanging="360"/>
      </w:pPr>
      <w:rPr>
        <w:vertAlign w:val="baseline"/>
      </w:rPr>
    </w:lvl>
    <w:lvl w:ilvl="8">
      <w:start w:val="1"/>
      <w:numFmt w:val="lowerRoman"/>
      <w:lvlText w:val="%9."/>
      <w:lvlJc w:val="right"/>
      <w:pPr>
        <w:ind w:left="6708" w:hanging="180"/>
      </w:pPr>
      <w:rPr>
        <w:vertAlign w:val="baseline"/>
      </w:rPr>
    </w:lvl>
  </w:abstractNum>
  <w:abstractNum w:abstractNumId="21">
    <w:nsid w:val="512706D4"/>
    <w:multiLevelType w:val="multilevel"/>
    <w:tmpl w:val="7FFA15AE"/>
    <w:lvl w:ilvl="0">
      <w:start w:val="1"/>
      <w:numFmt w:val="decimal"/>
      <w:lvlText w:val="%1."/>
      <w:lvlJc w:val="left"/>
      <w:pPr>
        <w:ind w:left="602" w:hanging="642"/>
      </w:pPr>
      <w:rPr>
        <w:rFonts w:hint="default"/>
        <w:b/>
        <w:vertAlign w:val="baseline"/>
      </w:rPr>
    </w:lvl>
    <w:lvl w:ilvl="1">
      <w:start w:val="2"/>
      <w:numFmt w:val="decimal"/>
      <w:lvlText w:val="%2."/>
      <w:lvlJc w:val="left"/>
      <w:pPr>
        <w:ind w:left="1723" w:hanging="310"/>
      </w:pPr>
      <w:rPr>
        <w:rFonts w:hint="default"/>
        <w:b/>
        <w:sz w:val="24"/>
        <w:szCs w:val="24"/>
        <w:vertAlign w:val="baseline"/>
      </w:rPr>
    </w:lvl>
    <w:lvl w:ilvl="2">
      <w:numFmt w:val="bullet"/>
      <w:lvlText w:val="•"/>
      <w:lvlJc w:val="left"/>
      <w:pPr>
        <w:ind w:left="2725" w:hanging="310"/>
      </w:pPr>
      <w:rPr>
        <w:rFonts w:hint="default"/>
        <w:vertAlign w:val="baseline"/>
      </w:rPr>
    </w:lvl>
    <w:lvl w:ilvl="3">
      <w:numFmt w:val="bullet"/>
      <w:lvlText w:val="•"/>
      <w:lvlJc w:val="left"/>
      <w:pPr>
        <w:ind w:left="3730" w:hanging="310"/>
      </w:pPr>
      <w:rPr>
        <w:rFonts w:hint="default"/>
        <w:vertAlign w:val="baseline"/>
      </w:rPr>
    </w:lvl>
    <w:lvl w:ilvl="4">
      <w:numFmt w:val="bullet"/>
      <w:lvlText w:val="•"/>
      <w:lvlJc w:val="left"/>
      <w:pPr>
        <w:ind w:left="4735" w:hanging="310"/>
      </w:pPr>
      <w:rPr>
        <w:rFonts w:hint="default"/>
        <w:vertAlign w:val="baseline"/>
      </w:rPr>
    </w:lvl>
    <w:lvl w:ilvl="5">
      <w:numFmt w:val="bullet"/>
      <w:lvlText w:val="•"/>
      <w:lvlJc w:val="left"/>
      <w:pPr>
        <w:ind w:left="5740" w:hanging="310"/>
      </w:pPr>
      <w:rPr>
        <w:rFonts w:hint="default"/>
        <w:vertAlign w:val="baseline"/>
      </w:rPr>
    </w:lvl>
    <w:lvl w:ilvl="6">
      <w:numFmt w:val="bullet"/>
      <w:lvlText w:val="•"/>
      <w:lvlJc w:val="left"/>
      <w:pPr>
        <w:ind w:left="6745" w:hanging="310"/>
      </w:pPr>
      <w:rPr>
        <w:rFonts w:hint="default"/>
        <w:vertAlign w:val="baseline"/>
      </w:rPr>
    </w:lvl>
    <w:lvl w:ilvl="7">
      <w:numFmt w:val="bullet"/>
      <w:lvlText w:val="•"/>
      <w:lvlJc w:val="left"/>
      <w:pPr>
        <w:ind w:left="7750" w:hanging="310"/>
      </w:pPr>
      <w:rPr>
        <w:rFonts w:hint="default"/>
        <w:vertAlign w:val="baseline"/>
      </w:rPr>
    </w:lvl>
    <w:lvl w:ilvl="8">
      <w:numFmt w:val="bullet"/>
      <w:lvlText w:val="•"/>
      <w:lvlJc w:val="left"/>
      <w:pPr>
        <w:ind w:left="8756" w:hanging="310"/>
      </w:pPr>
      <w:rPr>
        <w:rFonts w:hint="default"/>
        <w:vertAlign w:val="baseline"/>
      </w:rPr>
    </w:lvl>
  </w:abstractNum>
  <w:abstractNum w:abstractNumId="22">
    <w:nsid w:val="59ADCABA"/>
    <w:multiLevelType w:val="multilevel"/>
    <w:tmpl w:val="59ADCABA"/>
    <w:lvl w:ilvl="0">
      <w:start w:val="1"/>
      <w:numFmt w:val="lowerLetter"/>
      <w:lvlText w:val="%1."/>
      <w:lvlJc w:val="left"/>
      <w:pPr>
        <w:ind w:left="1788" w:hanging="360"/>
      </w:pPr>
      <w:rPr>
        <w:rFonts w:ascii="Cambria" w:eastAsia="Cambria" w:hAnsi="Cambria" w:cs="Cambria"/>
        <w:sz w:val="24"/>
        <w:szCs w:val="24"/>
        <w:vertAlign w:val="baseline"/>
      </w:rPr>
    </w:lvl>
    <w:lvl w:ilvl="1">
      <w:numFmt w:val="bullet"/>
      <w:lvlText w:val="●"/>
      <w:lvlJc w:val="left"/>
      <w:pPr>
        <w:ind w:left="2508" w:hanging="360"/>
      </w:pPr>
      <w:rPr>
        <w:rFonts w:ascii="Noto Sans Symbols" w:eastAsia="Noto Sans Symbols" w:hAnsi="Noto Sans Symbols" w:cs="Noto Sans Symbols"/>
        <w:vertAlign w:val="baseline"/>
      </w:rPr>
    </w:lvl>
    <w:lvl w:ilvl="2">
      <w:start w:val="1"/>
      <w:numFmt w:val="lowerRoman"/>
      <w:lvlText w:val="%3."/>
      <w:lvlJc w:val="right"/>
      <w:pPr>
        <w:ind w:left="3228" w:hanging="180"/>
      </w:pPr>
      <w:rPr>
        <w:vertAlign w:val="baseline"/>
      </w:rPr>
    </w:lvl>
    <w:lvl w:ilvl="3">
      <w:start w:val="1"/>
      <w:numFmt w:val="decimal"/>
      <w:lvlText w:val="%4."/>
      <w:lvlJc w:val="left"/>
      <w:pPr>
        <w:ind w:left="3948" w:hanging="360"/>
      </w:pPr>
      <w:rPr>
        <w:vertAlign w:val="baseline"/>
      </w:rPr>
    </w:lvl>
    <w:lvl w:ilvl="4">
      <w:start w:val="1"/>
      <w:numFmt w:val="lowerLetter"/>
      <w:lvlText w:val="%5."/>
      <w:lvlJc w:val="left"/>
      <w:pPr>
        <w:ind w:left="4668" w:hanging="360"/>
      </w:pPr>
      <w:rPr>
        <w:vertAlign w:val="baseline"/>
      </w:rPr>
    </w:lvl>
    <w:lvl w:ilvl="5">
      <w:start w:val="1"/>
      <w:numFmt w:val="lowerRoman"/>
      <w:lvlText w:val="%6."/>
      <w:lvlJc w:val="right"/>
      <w:pPr>
        <w:ind w:left="5388" w:hanging="180"/>
      </w:pPr>
      <w:rPr>
        <w:vertAlign w:val="baseline"/>
      </w:rPr>
    </w:lvl>
    <w:lvl w:ilvl="6">
      <w:start w:val="1"/>
      <w:numFmt w:val="decimal"/>
      <w:lvlText w:val="%7."/>
      <w:lvlJc w:val="left"/>
      <w:pPr>
        <w:ind w:left="6108" w:hanging="360"/>
      </w:pPr>
      <w:rPr>
        <w:vertAlign w:val="baseline"/>
      </w:rPr>
    </w:lvl>
    <w:lvl w:ilvl="7">
      <w:start w:val="1"/>
      <w:numFmt w:val="lowerLetter"/>
      <w:lvlText w:val="%8."/>
      <w:lvlJc w:val="left"/>
      <w:pPr>
        <w:ind w:left="6828" w:hanging="360"/>
      </w:pPr>
      <w:rPr>
        <w:vertAlign w:val="baseline"/>
      </w:rPr>
    </w:lvl>
    <w:lvl w:ilvl="8">
      <w:start w:val="1"/>
      <w:numFmt w:val="lowerRoman"/>
      <w:lvlText w:val="%9."/>
      <w:lvlJc w:val="right"/>
      <w:pPr>
        <w:ind w:left="7548" w:hanging="180"/>
      </w:pPr>
      <w:rPr>
        <w:vertAlign w:val="baseline"/>
      </w:rPr>
    </w:lvl>
  </w:abstractNum>
  <w:abstractNum w:abstractNumId="23">
    <w:nsid w:val="5A241D34"/>
    <w:multiLevelType w:val="multilevel"/>
    <w:tmpl w:val="D0223E38"/>
    <w:lvl w:ilvl="0">
      <w:start w:val="1"/>
      <w:numFmt w:val="decimal"/>
      <w:lvlText w:val="%1."/>
      <w:lvlJc w:val="left"/>
      <w:pPr>
        <w:ind w:left="2083" w:hanging="360"/>
      </w:pPr>
      <w:rPr>
        <w:b/>
        <w:vertAlign w:val="baseline"/>
      </w:rPr>
    </w:lvl>
    <w:lvl w:ilvl="1">
      <w:start w:val="1"/>
      <w:numFmt w:val="lowerLetter"/>
      <w:lvlText w:val="%2."/>
      <w:lvlJc w:val="left"/>
      <w:pPr>
        <w:ind w:left="2803" w:hanging="360"/>
      </w:pPr>
      <w:rPr>
        <w:vertAlign w:val="baseline"/>
      </w:rPr>
    </w:lvl>
    <w:lvl w:ilvl="2">
      <w:start w:val="1"/>
      <w:numFmt w:val="lowerRoman"/>
      <w:lvlText w:val="%3."/>
      <w:lvlJc w:val="right"/>
      <w:pPr>
        <w:ind w:left="3523" w:hanging="180"/>
      </w:pPr>
      <w:rPr>
        <w:vertAlign w:val="baseline"/>
      </w:rPr>
    </w:lvl>
    <w:lvl w:ilvl="3">
      <w:start w:val="1"/>
      <w:numFmt w:val="decimal"/>
      <w:lvlText w:val="%4."/>
      <w:lvlJc w:val="left"/>
      <w:pPr>
        <w:ind w:left="4243" w:hanging="360"/>
      </w:pPr>
      <w:rPr>
        <w:vertAlign w:val="baseline"/>
      </w:rPr>
    </w:lvl>
    <w:lvl w:ilvl="4">
      <w:start w:val="1"/>
      <w:numFmt w:val="lowerLetter"/>
      <w:lvlText w:val="%5."/>
      <w:lvlJc w:val="left"/>
      <w:pPr>
        <w:ind w:left="4963" w:hanging="360"/>
      </w:pPr>
      <w:rPr>
        <w:vertAlign w:val="baseline"/>
      </w:rPr>
    </w:lvl>
    <w:lvl w:ilvl="5">
      <w:start w:val="1"/>
      <w:numFmt w:val="lowerRoman"/>
      <w:lvlText w:val="%6."/>
      <w:lvlJc w:val="right"/>
      <w:pPr>
        <w:ind w:left="5683" w:hanging="180"/>
      </w:pPr>
      <w:rPr>
        <w:vertAlign w:val="baseline"/>
      </w:rPr>
    </w:lvl>
    <w:lvl w:ilvl="6">
      <w:start w:val="1"/>
      <w:numFmt w:val="decimal"/>
      <w:lvlText w:val="%7."/>
      <w:lvlJc w:val="left"/>
      <w:pPr>
        <w:ind w:left="6403" w:hanging="360"/>
      </w:pPr>
      <w:rPr>
        <w:vertAlign w:val="baseline"/>
      </w:rPr>
    </w:lvl>
    <w:lvl w:ilvl="7">
      <w:start w:val="1"/>
      <w:numFmt w:val="lowerLetter"/>
      <w:lvlText w:val="%8."/>
      <w:lvlJc w:val="left"/>
      <w:pPr>
        <w:ind w:left="7123" w:hanging="360"/>
      </w:pPr>
      <w:rPr>
        <w:vertAlign w:val="baseline"/>
      </w:rPr>
    </w:lvl>
    <w:lvl w:ilvl="8">
      <w:start w:val="1"/>
      <w:numFmt w:val="lowerRoman"/>
      <w:lvlText w:val="%9."/>
      <w:lvlJc w:val="right"/>
      <w:pPr>
        <w:ind w:left="7843" w:hanging="180"/>
      </w:pPr>
      <w:rPr>
        <w:vertAlign w:val="baseline"/>
      </w:rPr>
    </w:lvl>
  </w:abstractNum>
  <w:abstractNum w:abstractNumId="24">
    <w:nsid w:val="60382F6E"/>
    <w:multiLevelType w:val="multilevel"/>
    <w:tmpl w:val="483CA478"/>
    <w:lvl w:ilvl="0">
      <w:start w:val="1"/>
      <w:numFmt w:val="decimal"/>
      <w:lvlText w:val="%1."/>
      <w:lvlJc w:val="left"/>
      <w:pPr>
        <w:ind w:left="360" w:hanging="360"/>
      </w:pPr>
      <w:rPr>
        <w:vertAlign w:val="baseline"/>
      </w:rPr>
    </w:lvl>
    <w:lvl w:ilvl="1">
      <w:start w:val="1"/>
      <w:numFmt w:val="upperLetter"/>
      <w:lvlText w:val="%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5">
    <w:nsid w:val="6E5B5667"/>
    <w:multiLevelType w:val="hybridMultilevel"/>
    <w:tmpl w:val="073E342A"/>
    <w:lvl w:ilvl="0" w:tplc="3FC02308">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start w:val="1"/>
      <w:numFmt w:val="bullet"/>
      <w:lvlText w:val=""/>
      <w:lvlJc w:val="left"/>
      <w:pPr>
        <w:ind w:left="4680" w:hanging="360"/>
      </w:pPr>
      <w:rPr>
        <w:rFonts w:ascii="Wingdings" w:hAnsi="Wingdings" w:hint="default"/>
      </w:rPr>
    </w:lvl>
    <w:lvl w:ilvl="6" w:tplc="2C0A0001">
      <w:start w:val="1"/>
      <w:numFmt w:val="bullet"/>
      <w:lvlText w:val=""/>
      <w:lvlJc w:val="left"/>
      <w:pPr>
        <w:ind w:left="5400" w:hanging="360"/>
      </w:pPr>
      <w:rPr>
        <w:rFonts w:ascii="Symbol" w:hAnsi="Symbol" w:hint="default"/>
      </w:rPr>
    </w:lvl>
    <w:lvl w:ilvl="7" w:tplc="2C0A0003">
      <w:start w:val="1"/>
      <w:numFmt w:val="bullet"/>
      <w:lvlText w:val="o"/>
      <w:lvlJc w:val="left"/>
      <w:pPr>
        <w:ind w:left="6120" w:hanging="360"/>
      </w:pPr>
      <w:rPr>
        <w:rFonts w:ascii="Courier New" w:hAnsi="Courier New" w:cs="Courier New" w:hint="default"/>
      </w:rPr>
    </w:lvl>
    <w:lvl w:ilvl="8" w:tplc="2C0A0005">
      <w:start w:val="1"/>
      <w:numFmt w:val="bullet"/>
      <w:lvlText w:val=""/>
      <w:lvlJc w:val="left"/>
      <w:pPr>
        <w:ind w:left="6840" w:hanging="360"/>
      </w:pPr>
      <w:rPr>
        <w:rFonts w:ascii="Wingdings" w:hAnsi="Wingdings" w:hint="default"/>
      </w:rPr>
    </w:lvl>
  </w:abstractNum>
  <w:abstractNum w:abstractNumId="26">
    <w:nsid w:val="70914DAE"/>
    <w:multiLevelType w:val="multilevel"/>
    <w:tmpl w:val="7EC6D520"/>
    <w:lvl w:ilvl="0">
      <w:start w:val="1"/>
      <w:numFmt w:val="decimal"/>
      <w:lvlText w:val="%1."/>
      <w:lvlJc w:val="left"/>
      <w:pPr>
        <w:ind w:left="602" w:hanging="642"/>
      </w:pPr>
      <w:rPr>
        <w:rFonts w:hint="default"/>
        <w:b/>
        <w:vertAlign w:val="baseline"/>
      </w:rPr>
    </w:lvl>
    <w:lvl w:ilvl="1">
      <w:start w:val="1"/>
      <w:numFmt w:val="decimal"/>
      <w:lvlText w:val="%2."/>
      <w:lvlJc w:val="left"/>
      <w:pPr>
        <w:ind w:left="1723" w:hanging="310"/>
      </w:pPr>
      <w:rPr>
        <w:rFonts w:hint="default"/>
        <w:sz w:val="24"/>
        <w:szCs w:val="24"/>
        <w:vertAlign w:val="baseline"/>
      </w:rPr>
    </w:lvl>
    <w:lvl w:ilvl="2">
      <w:numFmt w:val="bullet"/>
      <w:lvlText w:val="•"/>
      <w:lvlJc w:val="left"/>
      <w:pPr>
        <w:ind w:left="2725" w:hanging="310"/>
      </w:pPr>
      <w:rPr>
        <w:rFonts w:hint="default"/>
        <w:vertAlign w:val="baseline"/>
      </w:rPr>
    </w:lvl>
    <w:lvl w:ilvl="3">
      <w:numFmt w:val="bullet"/>
      <w:lvlText w:val="•"/>
      <w:lvlJc w:val="left"/>
      <w:pPr>
        <w:ind w:left="3730" w:hanging="310"/>
      </w:pPr>
      <w:rPr>
        <w:rFonts w:hint="default"/>
        <w:vertAlign w:val="baseline"/>
      </w:rPr>
    </w:lvl>
    <w:lvl w:ilvl="4">
      <w:numFmt w:val="bullet"/>
      <w:lvlText w:val="•"/>
      <w:lvlJc w:val="left"/>
      <w:pPr>
        <w:ind w:left="4735" w:hanging="310"/>
      </w:pPr>
      <w:rPr>
        <w:rFonts w:hint="default"/>
        <w:vertAlign w:val="baseline"/>
      </w:rPr>
    </w:lvl>
    <w:lvl w:ilvl="5">
      <w:numFmt w:val="bullet"/>
      <w:lvlText w:val="•"/>
      <w:lvlJc w:val="left"/>
      <w:pPr>
        <w:ind w:left="5740" w:hanging="310"/>
      </w:pPr>
      <w:rPr>
        <w:rFonts w:hint="default"/>
        <w:vertAlign w:val="baseline"/>
      </w:rPr>
    </w:lvl>
    <w:lvl w:ilvl="6">
      <w:numFmt w:val="bullet"/>
      <w:lvlText w:val="•"/>
      <w:lvlJc w:val="left"/>
      <w:pPr>
        <w:ind w:left="6745" w:hanging="310"/>
      </w:pPr>
      <w:rPr>
        <w:rFonts w:hint="default"/>
        <w:vertAlign w:val="baseline"/>
      </w:rPr>
    </w:lvl>
    <w:lvl w:ilvl="7">
      <w:numFmt w:val="bullet"/>
      <w:lvlText w:val="•"/>
      <w:lvlJc w:val="left"/>
      <w:pPr>
        <w:ind w:left="7750" w:hanging="310"/>
      </w:pPr>
      <w:rPr>
        <w:rFonts w:hint="default"/>
        <w:vertAlign w:val="baseline"/>
      </w:rPr>
    </w:lvl>
    <w:lvl w:ilvl="8">
      <w:numFmt w:val="bullet"/>
      <w:lvlText w:val="•"/>
      <w:lvlJc w:val="left"/>
      <w:pPr>
        <w:ind w:left="8756" w:hanging="310"/>
      </w:pPr>
      <w:rPr>
        <w:rFonts w:hint="default"/>
        <w:vertAlign w:val="baseline"/>
      </w:rPr>
    </w:lvl>
  </w:abstractNum>
  <w:abstractNum w:abstractNumId="27">
    <w:nsid w:val="72183CF9"/>
    <w:multiLevelType w:val="multilevel"/>
    <w:tmpl w:val="10E0B092"/>
    <w:lvl w:ilvl="0">
      <w:start w:val="1"/>
      <w:numFmt w:val="upperLetter"/>
      <w:lvlText w:val="%1."/>
      <w:lvlJc w:val="left"/>
      <w:pPr>
        <w:ind w:left="592" w:hanging="709"/>
      </w:pPr>
      <w:rPr>
        <w:sz w:val="24"/>
        <w:szCs w:val="24"/>
        <w:vertAlign w:val="baseline"/>
      </w:rPr>
    </w:lvl>
    <w:lvl w:ilvl="1">
      <w:numFmt w:val="bullet"/>
      <w:lvlText w:val="•"/>
      <w:lvlJc w:val="left"/>
      <w:pPr>
        <w:ind w:left="1616" w:hanging="709"/>
      </w:pPr>
      <w:rPr>
        <w:vertAlign w:val="baseline"/>
      </w:rPr>
    </w:lvl>
    <w:lvl w:ilvl="2">
      <w:numFmt w:val="bullet"/>
      <w:lvlText w:val="•"/>
      <w:lvlJc w:val="left"/>
      <w:pPr>
        <w:ind w:left="2633" w:hanging="709"/>
      </w:pPr>
      <w:rPr>
        <w:vertAlign w:val="baseline"/>
      </w:rPr>
    </w:lvl>
    <w:lvl w:ilvl="3">
      <w:numFmt w:val="bullet"/>
      <w:lvlText w:val="•"/>
      <w:lvlJc w:val="left"/>
      <w:pPr>
        <w:ind w:left="3649" w:hanging="709"/>
      </w:pPr>
      <w:rPr>
        <w:vertAlign w:val="baseline"/>
      </w:rPr>
    </w:lvl>
    <w:lvl w:ilvl="4">
      <w:numFmt w:val="bullet"/>
      <w:lvlText w:val="•"/>
      <w:lvlJc w:val="left"/>
      <w:pPr>
        <w:ind w:left="4666" w:hanging="708"/>
      </w:pPr>
      <w:rPr>
        <w:vertAlign w:val="baseline"/>
      </w:rPr>
    </w:lvl>
    <w:lvl w:ilvl="5">
      <w:numFmt w:val="bullet"/>
      <w:lvlText w:val="•"/>
      <w:lvlJc w:val="left"/>
      <w:pPr>
        <w:ind w:left="5683" w:hanging="709"/>
      </w:pPr>
      <w:rPr>
        <w:vertAlign w:val="baseline"/>
      </w:rPr>
    </w:lvl>
    <w:lvl w:ilvl="6">
      <w:numFmt w:val="bullet"/>
      <w:lvlText w:val="•"/>
      <w:lvlJc w:val="left"/>
      <w:pPr>
        <w:ind w:left="6699" w:hanging="709"/>
      </w:pPr>
      <w:rPr>
        <w:vertAlign w:val="baseline"/>
      </w:rPr>
    </w:lvl>
    <w:lvl w:ilvl="7">
      <w:numFmt w:val="bullet"/>
      <w:lvlText w:val="•"/>
      <w:lvlJc w:val="left"/>
      <w:pPr>
        <w:ind w:left="7716" w:hanging="709"/>
      </w:pPr>
      <w:rPr>
        <w:vertAlign w:val="baseline"/>
      </w:rPr>
    </w:lvl>
    <w:lvl w:ilvl="8">
      <w:numFmt w:val="bullet"/>
      <w:lvlText w:val="•"/>
      <w:lvlJc w:val="left"/>
      <w:pPr>
        <w:ind w:left="8733" w:hanging="709"/>
      </w:pPr>
      <w:rPr>
        <w:vertAlign w:val="baseline"/>
      </w:rPr>
    </w:lvl>
  </w:abstractNum>
  <w:num w:numId="1">
    <w:abstractNumId w:val="25"/>
  </w:num>
  <w:num w:numId="2">
    <w:abstractNumId w:val="17"/>
  </w:num>
  <w:num w:numId="3">
    <w:abstractNumId w:val="13"/>
  </w:num>
  <w:num w:numId="4">
    <w:abstractNumId w:val="5"/>
  </w:num>
  <w:num w:numId="5">
    <w:abstractNumId w:val="22"/>
  </w:num>
  <w:num w:numId="6">
    <w:abstractNumId w:val="3"/>
  </w:num>
  <w:num w:numId="7">
    <w:abstractNumId w:val="2"/>
  </w:num>
  <w:num w:numId="8">
    <w:abstractNumId w:val="11"/>
  </w:num>
  <w:num w:numId="9">
    <w:abstractNumId w:val="15"/>
  </w:num>
  <w:num w:numId="10">
    <w:abstractNumId w:val="27"/>
  </w:num>
  <w:num w:numId="11">
    <w:abstractNumId w:val="10"/>
  </w:num>
  <w:num w:numId="12">
    <w:abstractNumId w:val="0"/>
  </w:num>
  <w:num w:numId="13">
    <w:abstractNumId w:val="16"/>
  </w:num>
  <w:num w:numId="14">
    <w:abstractNumId w:val="23"/>
  </w:num>
  <w:num w:numId="15">
    <w:abstractNumId w:val="4"/>
  </w:num>
  <w:num w:numId="16">
    <w:abstractNumId w:val="20"/>
  </w:num>
  <w:num w:numId="17">
    <w:abstractNumId w:val="8"/>
  </w:num>
  <w:num w:numId="18">
    <w:abstractNumId w:val="14"/>
  </w:num>
  <w:num w:numId="19">
    <w:abstractNumId w:val="26"/>
  </w:num>
  <w:num w:numId="20">
    <w:abstractNumId w:val="21"/>
  </w:num>
  <w:num w:numId="21">
    <w:abstractNumId w:val="7"/>
  </w:num>
  <w:num w:numId="22">
    <w:abstractNumId w:val="6"/>
  </w:num>
  <w:num w:numId="23">
    <w:abstractNumId w:val="1"/>
  </w:num>
  <w:num w:numId="24">
    <w:abstractNumId w:val="19"/>
  </w:num>
  <w:num w:numId="25">
    <w:abstractNumId w:val="24"/>
  </w:num>
  <w:num w:numId="26">
    <w:abstractNumId w:val="12"/>
  </w:num>
  <w:num w:numId="27">
    <w:abstractNumId w:val="18"/>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A6BA5"/>
    <w:rsid w:val="00002ADD"/>
    <w:rsid w:val="0000305F"/>
    <w:rsid w:val="00004139"/>
    <w:rsid w:val="00004FAB"/>
    <w:rsid w:val="000127A3"/>
    <w:rsid w:val="0001476B"/>
    <w:rsid w:val="00014F0A"/>
    <w:rsid w:val="00021D0B"/>
    <w:rsid w:val="00024074"/>
    <w:rsid w:val="000250CA"/>
    <w:rsid w:val="000333F9"/>
    <w:rsid w:val="00036FB8"/>
    <w:rsid w:val="00043F9D"/>
    <w:rsid w:val="000558C6"/>
    <w:rsid w:val="00057626"/>
    <w:rsid w:val="00061517"/>
    <w:rsid w:val="0006368F"/>
    <w:rsid w:val="00071CC2"/>
    <w:rsid w:val="00082753"/>
    <w:rsid w:val="00084B85"/>
    <w:rsid w:val="0008604D"/>
    <w:rsid w:val="00090F11"/>
    <w:rsid w:val="00092627"/>
    <w:rsid w:val="000A1097"/>
    <w:rsid w:val="000A3CB0"/>
    <w:rsid w:val="000A6BA5"/>
    <w:rsid w:val="000B1813"/>
    <w:rsid w:val="000B5BD4"/>
    <w:rsid w:val="000C00C8"/>
    <w:rsid w:val="000C44B5"/>
    <w:rsid w:val="000D0257"/>
    <w:rsid w:val="000E1565"/>
    <w:rsid w:val="000E543F"/>
    <w:rsid w:val="000F1327"/>
    <w:rsid w:val="000F24CD"/>
    <w:rsid w:val="000F65AD"/>
    <w:rsid w:val="000F6C73"/>
    <w:rsid w:val="0010198D"/>
    <w:rsid w:val="00112AAD"/>
    <w:rsid w:val="00115A70"/>
    <w:rsid w:val="0011712E"/>
    <w:rsid w:val="00121BC8"/>
    <w:rsid w:val="00124C73"/>
    <w:rsid w:val="0012621D"/>
    <w:rsid w:val="00126F03"/>
    <w:rsid w:val="00132C63"/>
    <w:rsid w:val="00134F6A"/>
    <w:rsid w:val="00135E35"/>
    <w:rsid w:val="00136785"/>
    <w:rsid w:val="00137D14"/>
    <w:rsid w:val="001414ED"/>
    <w:rsid w:val="00143E83"/>
    <w:rsid w:val="00145946"/>
    <w:rsid w:val="00145F8B"/>
    <w:rsid w:val="001477B2"/>
    <w:rsid w:val="00147AF0"/>
    <w:rsid w:val="001507E3"/>
    <w:rsid w:val="001576DC"/>
    <w:rsid w:val="001615AC"/>
    <w:rsid w:val="00161C40"/>
    <w:rsid w:val="001621FB"/>
    <w:rsid w:val="001625B0"/>
    <w:rsid w:val="001666F9"/>
    <w:rsid w:val="00166AEB"/>
    <w:rsid w:val="001675E2"/>
    <w:rsid w:val="00170A0D"/>
    <w:rsid w:val="0018134A"/>
    <w:rsid w:val="001820F0"/>
    <w:rsid w:val="0018276B"/>
    <w:rsid w:val="00185C18"/>
    <w:rsid w:val="001A1ACC"/>
    <w:rsid w:val="001A1D9B"/>
    <w:rsid w:val="001A380C"/>
    <w:rsid w:val="001A48D4"/>
    <w:rsid w:val="001B0344"/>
    <w:rsid w:val="001B2B5B"/>
    <w:rsid w:val="001B5AC6"/>
    <w:rsid w:val="001C187F"/>
    <w:rsid w:val="001C1C8C"/>
    <w:rsid w:val="001C57FE"/>
    <w:rsid w:val="001E2F2F"/>
    <w:rsid w:val="001E5E35"/>
    <w:rsid w:val="001F1755"/>
    <w:rsid w:val="001F4253"/>
    <w:rsid w:val="00201581"/>
    <w:rsid w:val="00204EAE"/>
    <w:rsid w:val="002117B4"/>
    <w:rsid w:val="00213B76"/>
    <w:rsid w:val="00214F51"/>
    <w:rsid w:val="0021519A"/>
    <w:rsid w:val="00231ECE"/>
    <w:rsid w:val="0023501A"/>
    <w:rsid w:val="00237C40"/>
    <w:rsid w:val="00242919"/>
    <w:rsid w:val="002435C0"/>
    <w:rsid w:val="00255B7F"/>
    <w:rsid w:val="00265447"/>
    <w:rsid w:val="00284D2E"/>
    <w:rsid w:val="002914D3"/>
    <w:rsid w:val="00292A89"/>
    <w:rsid w:val="002933A8"/>
    <w:rsid w:val="002A69AA"/>
    <w:rsid w:val="002A6FDE"/>
    <w:rsid w:val="002A7E70"/>
    <w:rsid w:val="002B12EB"/>
    <w:rsid w:val="002B4646"/>
    <w:rsid w:val="002B6136"/>
    <w:rsid w:val="002C2212"/>
    <w:rsid w:val="002C306E"/>
    <w:rsid w:val="002C4BEE"/>
    <w:rsid w:val="002C5539"/>
    <w:rsid w:val="002C75AD"/>
    <w:rsid w:val="002D1891"/>
    <w:rsid w:val="002D5AAA"/>
    <w:rsid w:val="002F5266"/>
    <w:rsid w:val="002F6C4A"/>
    <w:rsid w:val="0030587B"/>
    <w:rsid w:val="00311849"/>
    <w:rsid w:val="00333947"/>
    <w:rsid w:val="00335DA8"/>
    <w:rsid w:val="003421C2"/>
    <w:rsid w:val="00342305"/>
    <w:rsid w:val="00345E60"/>
    <w:rsid w:val="003537C3"/>
    <w:rsid w:val="003549F6"/>
    <w:rsid w:val="0035566D"/>
    <w:rsid w:val="00367E07"/>
    <w:rsid w:val="003712D4"/>
    <w:rsid w:val="00381E12"/>
    <w:rsid w:val="00382F04"/>
    <w:rsid w:val="00386017"/>
    <w:rsid w:val="003870E3"/>
    <w:rsid w:val="003A0C5C"/>
    <w:rsid w:val="003A7E1F"/>
    <w:rsid w:val="003B559C"/>
    <w:rsid w:val="003C0A1E"/>
    <w:rsid w:val="003C39C8"/>
    <w:rsid w:val="003C3A56"/>
    <w:rsid w:val="003C73E0"/>
    <w:rsid w:val="003D545C"/>
    <w:rsid w:val="003E37BF"/>
    <w:rsid w:val="003E69A0"/>
    <w:rsid w:val="003F5DE9"/>
    <w:rsid w:val="00400595"/>
    <w:rsid w:val="00400E10"/>
    <w:rsid w:val="00410EAB"/>
    <w:rsid w:val="00412939"/>
    <w:rsid w:val="004179E6"/>
    <w:rsid w:val="00421BEE"/>
    <w:rsid w:val="00436CF9"/>
    <w:rsid w:val="00442DD8"/>
    <w:rsid w:val="0044408C"/>
    <w:rsid w:val="00451EA5"/>
    <w:rsid w:val="00452528"/>
    <w:rsid w:val="004532A0"/>
    <w:rsid w:val="00456A93"/>
    <w:rsid w:val="0046430E"/>
    <w:rsid w:val="00467344"/>
    <w:rsid w:val="004732CB"/>
    <w:rsid w:val="00476778"/>
    <w:rsid w:val="004778E7"/>
    <w:rsid w:val="00480C9C"/>
    <w:rsid w:val="00483408"/>
    <w:rsid w:val="00485FD2"/>
    <w:rsid w:val="004916DD"/>
    <w:rsid w:val="00491F08"/>
    <w:rsid w:val="004A5C2D"/>
    <w:rsid w:val="004B7621"/>
    <w:rsid w:val="004C17AE"/>
    <w:rsid w:val="004C4B27"/>
    <w:rsid w:val="004E3867"/>
    <w:rsid w:val="004E45D1"/>
    <w:rsid w:val="004F2C7D"/>
    <w:rsid w:val="00502528"/>
    <w:rsid w:val="00502A43"/>
    <w:rsid w:val="0050724E"/>
    <w:rsid w:val="00521281"/>
    <w:rsid w:val="00524C76"/>
    <w:rsid w:val="00532654"/>
    <w:rsid w:val="00532F4B"/>
    <w:rsid w:val="005378F7"/>
    <w:rsid w:val="00537E88"/>
    <w:rsid w:val="00542562"/>
    <w:rsid w:val="0054490C"/>
    <w:rsid w:val="00552CE5"/>
    <w:rsid w:val="00553F6A"/>
    <w:rsid w:val="005606BA"/>
    <w:rsid w:val="00567620"/>
    <w:rsid w:val="00573D3E"/>
    <w:rsid w:val="00575CFE"/>
    <w:rsid w:val="00583B3B"/>
    <w:rsid w:val="00585AC2"/>
    <w:rsid w:val="005865DD"/>
    <w:rsid w:val="005917D2"/>
    <w:rsid w:val="00591FD1"/>
    <w:rsid w:val="00596B7F"/>
    <w:rsid w:val="005A11E5"/>
    <w:rsid w:val="005A4161"/>
    <w:rsid w:val="005A432F"/>
    <w:rsid w:val="005A4770"/>
    <w:rsid w:val="005B0492"/>
    <w:rsid w:val="005B42AE"/>
    <w:rsid w:val="005B6B71"/>
    <w:rsid w:val="005B6D43"/>
    <w:rsid w:val="005B75CE"/>
    <w:rsid w:val="005C0A1E"/>
    <w:rsid w:val="005C4B96"/>
    <w:rsid w:val="005C685C"/>
    <w:rsid w:val="005D399D"/>
    <w:rsid w:val="005D7DE4"/>
    <w:rsid w:val="005E03B2"/>
    <w:rsid w:val="005E06A6"/>
    <w:rsid w:val="005F02B5"/>
    <w:rsid w:val="005F05EE"/>
    <w:rsid w:val="005F2DE8"/>
    <w:rsid w:val="005F476F"/>
    <w:rsid w:val="005F5C56"/>
    <w:rsid w:val="0060144B"/>
    <w:rsid w:val="00610570"/>
    <w:rsid w:val="00611052"/>
    <w:rsid w:val="00612B79"/>
    <w:rsid w:val="00624B14"/>
    <w:rsid w:val="00626FCA"/>
    <w:rsid w:val="00627EBC"/>
    <w:rsid w:val="00634AB4"/>
    <w:rsid w:val="00645B70"/>
    <w:rsid w:val="00650A6B"/>
    <w:rsid w:val="006630D0"/>
    <w:rsid w:val="00670D2C"/>
    <w:rsid w:val="006712B0"/>
    <w:rsid w:val="006759EB"/>
    <w:rsid w:val="00683F27"/>
    <w:rsid w:val="00692B77"/>
    <w:rsid w:val="006A3E6E"/>
    <w:rsid w:val="006A731B"/>
    <w:rsid w:val="006B007B"/>
    <w:rsid w:val="006B3316"/>
    <w:rsid w:val="006B5F27"/>
    <w:rsid w:val="006B721C"/>
    <w:rsid w:val="006C5F41"/>
    <w:rsid w:val="006C6E74"/>
    <w:rsid w:val="006D185B"/>
    <w:rsid w:val="006E01B5"/>
    <w:rsid w:val="006E231E"/>
    <w:rsid w:val="006E4BE2"/>
    <w:rsid w:val="006F0752"/>
    <w:rsid w:val="006F1285"/>
    <w:rsid w:val="0070460C"/>
    <w:rsid w:val="00705DC6"/>
    <w:rsid w:val="007079A9"/>
    <w:rsid w:val="00707B4F"/>
    <w:rsid w:val="0071147E"/>
    <w:rsid w:val="00712F2B"/>
    <w:rsid w:val="007131DB"/>
    <w:rsid w:val="00714277"/>
    <w:rsid w:val="00725101"/>
    <w:rsid w:val="00726125"/>
    <w:rsid w:val="00727B0F"/>
    <w:rsid w:val="0073071E"/>
    <w:rsid w:val="007312CC"/>
    <w:rsid w:val="00732D18"/>
    <w:rsid w:val="0073335B"/>
    <w:rsid w:val="0073403D"/>
    <w:rsid w:val="007510D9"/>
    <w:rsid w:val="007618F5"/>
    <w:rsid w:val="0076192C"/>
    <w:rsid w:val="007630E3"/>
    <w:rsid w:val="00764858"/>
    <w:rsid w:val="007709E6"/>
    <w:rsid w:val="007828C5"/>
    <w:rsid w:val="007839C2"/>
    <w:rsid w:val="007873CD"/>
    <w:rsid w:val="0079304B"/>
    <w:rsid w:val="007A09D4"/>
    <w:rsid w:val="007A179E"/>
    <w:rsid w:val="007A3ACA"/>
    <w:rsid w:val="007B074D"/>
    <w:rsid w:val="007B6CF5"/>
    <w:rsid w:val="007C0D50"/>
    <w:rsid w:val="007C786C"/>
    <w:rsid w:val="007C7952"/>
    <w:rsid w:val="007D1554"/>
    <w:rsid w:val="007D52E0"/>
    <w:rsid w:val="007D614E"/>
    <w:rsid w:val="007D7259"/>
    <w:rsid w:val="007E6E70"/>
    <w:rsid w:val="007E7B24"/>
    <w:rsid w:val="007F0EA4"/>
    <w:rsid w:val="007F7E0E"/>
    <w:rsid w:val="0080099A"/>
    <w:rsid w:val="008011B5"/>
    <w:rsid w:val="008060D3"/>
    <w:rsid w:val="00813236"/>
    <w:rsid w:val="00814377"/>
    <w:rsid w:val="008143CB"/>
    <w:rsid w:val="00814831"/>
    <w:rsid w:val="00817CCA"/>
    <w:rsid w:val="00821DBB"/>
    <w:rsid w:val="00822276"/>
    <w:rsid w:val="00831F2F"/>
    <w:rsid w:val="00840C4D"/>
    <w:rsid w:val="008639BA"/>
    <w:rsid w:val="0086754A"/>
    <w:rsid w:val="00874372"/>
    <w:rsid w:val="008823E2"/>
    <w:rsid w:val="00890CD8"/>
    <w:rsid w:val="008A5498"/>
    <w:rsid w:val="008A5B0D"/>
    <w:rsid w:val="008B3A72"/>
    <w:rsid w:val="008B4352"/>
    <w:rsid w:val="008B683B"/>
    <w:rsid w:val="008C318F"/>
    <w:rsid w:val="008D03FC"/>
    <w:rsid w:val="008D0499"/>
    <w:rsid w:val="008D2F4B"/>
    <w:rsid w:val="008D4E4A"/>
    <w:rsid w:val="008D6FF1"/>
    <w:rsid w:val="008E12A6"/>
    <w:rsid w:val="008E46A0"/>
    <w:rsid w:val="008E647D"/>
    <w:rsid w:val="008F11CD"/>
    <w:rsid w:val="008F5C0E"/>
    <w:rsid w:val="008F75E5"/>
    <w:rsid w:val="008F7636"/>
    <w:rsid w:val="00900636"/>
    <w:rsid w:val="009052C0"/>
    <w:rsid w:val="00910709"/>
    <w:rsid w:val="009107FC"/>
    <w:rsid w:val="00913CB6"/>
    <w:rsid w:val="00923A78"/>
    <w:rsid w:val="009241E2"/>
    <w:rsid w:val="0092534B"/>
    <w:rsid w:val="00926C26"/>
    <w:rsid w:val="00930C82"/>
    <w:rsid w:val="0093232D"/>
    <w:rsid w:val="009331A1"/>
    <w:rsid w:val="00933EA4"/>
    <w:rsid w:val="00941A13"/>
    <w:rsid w:val="00942305"/>
    <w:rsid w:val="00955824"/>
    <w:rsid w:val="009563FB"/>
    <w:rsid w:val="00960CF3"/>
    <w:rsid w:val="009617BB"/>
    <w:rsid w:val="00963BC7"/>
    <w:rsid w:val="00963CFF"/>
    <w:rsid w:val="00967078"/>
    <w:rsid w:val="00973AAB"/>
    <w:rsid w:val="00974AB9"/>
    <w:rsid w:val="00975529"/>
    <w:rsid w:val="009805E1"/>
    <w:rsid w:val="009833B3"/>
    <w:rsid w:val="00990A8A"/>
    <w:rsid w:val="00993D79"/>
    <w:rsid w:val="0099702C"/>
    <w:rsid w:val="009A1A5D"/>
    <w:rsid w:val="009A1DF9"/>
    <w:rsid w:val="009A717F"/>
    <w:rsid w:val="009B366E"/>
    <w:rsid w:val="009C10F9"/>
    <w:rsid w:val="009C6D23"/>
    <w:rsid w:val="009D0A17"/>
    <w:rsid w:val="009D1E69"/>
    <w:rsid w:val="009E233F"/>
    <w:rsid w:val="009E3C89"/>
    <w:rsid w:val="009E4F44"/>
    <w:rsid w:val="009E7D17"/>
    <w:rsid w:val="00A0204A"/>
    <w:rsid w:val="00A14EDD"/>
    <w:rsid w:val="00A15784"/>
    <w:rsid w:val="00A16E38"/>
    <w:rsid w:val="00A308E1"/>
    <w:rsid w:val="00A31750"/>
    <w:rsid w:val="00A3216A"/>
    <w:rsid w:val="00A367A3"/>
    <w:rsid w:val="00A3783D"/>
    <w:rsid w:val="00A40BE5"/>
    <w:rsid w:val="00A44E48"/>
    <w:rsid w:val="00A4608C"/>
    <w:rsid w:val="00A46242"/>
    <w:rsid w:val="00A52AA0"/>
    <w:rsid w:val="00A5335A"/>
    <w:rsid w:val="00A57220"/>
    <w:rsid w:val="00A6210F"/>
    <w:rsid w:val="00A62B8C"/>
    <w:rsid w:val="00A708C2"/>
    <w:rsid w:val="00A7601F"/>
    <w:rsid w:val="00A84C19"/>
    <w:rsid w:val="00A91348"/>
    <w:rsid w:val="00AA07DA"/>
    <w:rsid w:val="00AA1927"/>
    <w:rsid w:val="00AA35CF"/>
    <w:rsid w:val="00AA62E2"/>
    <w:rsid w:val="00AB056F"/>
    <w:rsid w:val="00AB27C1"/>
    <w:rsid w:val="00AB2DDF"/>
    <w:rsid w:val="00AB4A3A"/>
    <w:rsid w:val="00AC03FB"/>
    <w:rsid w:val="00AC2002"/>
    <w:rsid w:val="00AC27D7"/>
    <w:rsid w:val="00AC33AA"/>
    <w:rsid w:val="00AC5376"/>
    <w:rsid w:val="00AD296C"/>
    <w:rsid w:val="00AD3655"/>
    <w:rsid w:val="00AD77DC"/>
    <w:rsid w:val="00AF54A3"/>
    <w:rsid w:val="00AF587F"/>
    <w:rsid w:val="00AF6155"/>
    <w:rsid w:val="00B05962"/>
    <w:rsid w:val="00B13B05"/>
    <w:rsid w:val="00B1564B"/>
    <w:rsid w:val="00B25EF0"/>
    <w:rsid w:val="00B26B19"/>
    <w:rsid w:val="00B270DE"/>
    <w:rsid w:val="00B36834"/>
    <w:rsid w:val="00B43122"/>
    <w:rsid w:val="00B43C14"/>
    <w:rsid w:val="00B4497C"/>
    <w:rsid w:val="00B44B98"/>
    <w:rsid w:val="00B50D94"/>
    <w:rsid w:val="00B51C16"/>
    <w:rsid w:val="00B54C2E"/>
    <w:rsid w:val="00B57611"/>
    <w:rsid w:val="00B61E29"/>
    <w:rsid w:val="00B635D4"/>
    <w:rsid w:val="00B650E4"/>
    <w:rsid w:val="00B66327"/>
    <w:rsid w:val="00B67158"/>
    <w:rsid w:val="00B703BF"/>
    <w:rsid w:val="00B7567E"/>
    <w:rsid w:val="00B80537"/>
    <w:rsid w:val="00B812E9"/>
    <w:rsid w:val="00B86660"/>
    <w:rsid w:val="00B91930"/>
    <w:rsid w:val="00B979D9"/>
    <w:rsid w:val="00BB0815"/>
    <w:rsid w:val="00BC59AB"/>
    <w:rsid w:val="00BC7FD7"/>
    <w:rsid w:val="00BD0370"/>
    <w:rsid w:val="00BD197E"/>
    <w:rsid w:val="00BD7736"/>
    <w:rsid w:val="00BE1FEB"/>
    <w:rsid w:val="00BE2EC3"/>
    <w:rsid w:val="00BE3869"/>
    <w:rsid w:val="00BE784C"/>
    <w:rsid w:val="00BF31C9"/>
    <w:rsid w:val="00BF4899"/>
    <w:rsid w:val="00BF79C2"/>
    <w:rsid w:val="00C07088"/>
    <w:rsid w:val="00C106A3"/>
    <w:rsid w:val="00C238BA"/>
    <w:rsid w:val="00C27420"/>
    <w:rsid w:val="00C3227E"/>
    <w:rsid w:val="00C35C76"/>
    <w:rsid w:val="00C36399"/>
    <w:rsid w:val="00C415C4"/>
    <w:rsid w:val="00C459A6"/>
    <w:rsid w:val="00C463FE"/>
    <w:rsid w:val="00C5018F"/>
    <w:rsid w:val="00C506F6"/>
    <w:rsid w:val="00C56D78"/>
    <w:rsid w:val="00C61B7C"/>
    <w:rsid w:val="00C72E2B"/>
    <w:rsid w:val="00C76813"/>
    <w:rsid w:val="00C7698B"/>
    <w:rsid w:val="00C7732C"/>
    <w:rsid w:val="00C776D6"/>
    <w:rsid w:val="00C82D9B"/>
    <w:rsid w:val="00C834F9"/>
    <w:rsid w:val="00C8673E"/>
    <w:rsid w:val="00C90E2D"/>
    <w:rsid w:val="00C92B66"/>
    <w:rsid w:val="00C97010"/>
    <w:rsid w:val="00CA4914"/>
    <w:rsid w:val="00CB17C7"/>
    <w:rsid w:val="00CB400B"/>
    <w:rsid w:val="00CB6D7E"/>
    <w:rsid w:val="00CC04DB"/>
    <w:rsid w:val="00CC3ECD"/>
    <w:rsid w:val="00CC577D"/>
    <w:rsid w:val="00CC5CD3"/>
    <w:rsid w:val="00CD3BD0"/>
    <w:rsid w:val="00CD43BF"/>
    <w:rsid w:val="00CD6BE5"/>
    <w:rsid w:val="00CD74A2"/>
    <w:rsid w:val="00CE6205"/>
    <w:rsid w:val="00CE664A"/>
    <w:rsid w:val="00CE7CB2"/>
    <w:rsid w:val="00CF28D4"/>
    <w:rsid w:val="00CF5B84"/>
    <w:rsid w:val="00D04631"/>
    <w:rsid w:val="00D063DB"/>
    <w:rsid w:val="00D1757F"/>
    <w:rsid w:val="00D353AE"/>
    <w:rsid w:val="00D37717"/>
    <w:rsid w:val="00D407D6"/>
    <w:rsid w:val="00D4549A"/>
    <w:rsid w:val="00D575B9"/>
    <w:rsid w:val="00D57CC8"/>
    <w:rsid w:val="00D60437"/>
    <w:rsid w:val="00D6224C"/>
    <w:rsid w:val="00D655E7"/>
    <w:rsid w:val="00D70F55"/>
    <w:rsid w:val="00D75D2B"/>
    <w:rsid w:val="00D840A7"/>
    <w:rsid w:val="00D854B0"/>
    <w:rsid w:val="00D85EDE"/>
    <w:rsid w:val="00D878E4"/>
    <w:rsid w:val="00D92334"/>
    <w:rsid w:val="00DA2FC2"/>
    <w:rsid w:val="00DA472D"/>
    <w:rsid w:val="00DA4ADE"/>
    <w:rsid w:val="00DA7383"/>
    <w:rsid w:val="00DB12AC"/>
    <w:rsid w:val="00DB408D"/>
    <w:rsid w:val="00DB4277"/>
    <w:rsid w:val="00DB4A3E"/>
    <w:rsid w:val="00DB52EC"/>
    <w:rsid w:val="00DC06EA"/>
    <w:rsid w:val="00DC0F16"/>
    <w:rsid w:val="00DC372F"/>
    <w:rsid w:val="00DC4682"/>
    <w:rsid w:val="00DC5087"/>
    <w:rsid w:val="00DC6F17"/>
    <w:rsid w:val="00DD72BC"/>
    <w:rsid w:val="00DD779A"/>
    <w:rsid w:val="00DE0C3F"/>
    <w:rsid w:val="00DE2A7B"/>
    <w:rsid w:val="00DE4EE8"/>
    <w:rsid w:val="00DE6734"/>
    <w:rsid w:val="00DF1C0B"/>
    <w:rsid w:val="00DF4830"/>
    <w:rsid w:val="00DF52A6"/>
    <w:rsid w:val="00DF5B13"/>
    <w:rsid w:val="00E04666"/>
    <w:rsid w:val="00E05BD1"/>
    <w:rsid w:val="00E07F62"/>
    <w:rsid w:val="00E17603"/>
    <w:rsid w:val="00E20BBC"/>
    <w:rsid w:val="00E26994"/>
    <w:rsid w:val="00E26A89"/>
    <w:rsid w:val="00E26F21"/>
    <w:rsid w:val="00E27606"/>
    <w:rsid w:val="00E45154"/>
    <w:rsid w:val="00E462ED"/>
    <w:rsid w:val="00E470C4"/>
    <w:rsid w:val="00E47B99"/>
    <w:rsid w:val="00E47D2F"/>
    <w:rsid w:val="00E50397"/>
    <w:rsid w:val="00E5204A"/>
    <w:rsid w:val="00E53748"/>
    <w:rsid w:val="00E601FF"/>
    <w:rsid w:val="00E60ED4"/>
    <w:rsid w:val="00E62A47"/>
    <w:rsid w:val="00E64C6A"/>
    <w:rsid w:val="00E9023F"/>
    <w:rsid w:val="00E9108D"/>
    <w:rsid w:val="00EA2B46"/>
    <w:rsid w:val="00EB290C"/>
    <w:rsid w:val="00EB3B4F"/>
    <w:rsid w:val="00EC0F38"/>
    <w:rsid w:val="00EC2AAE"/>
    <w:rsid w:val="00EC40D7"/>
    <w:rsid w:val="00EE527A"/>
    <w:rsid w:val="00EF3A87"/>
    <w:rsid w:val="00F01A52"/>
    <w:rsid w:val="00F01DB0"/>
    <w:rsid w:val="00F10C72"/>
    <w:rsid w:val="00F141E4"/>
    <w:rsid w:val="00F17EC1"/>
    <w:rsid w:val="00F23DAC"/>
    <w:rsid w:val="00F258C4"/>
    <w:rsid w:val="00F27443"/>
    <w:rsid w:val="00F43430"/>
    <w:rsid w:val="00F4382F"/>
    <w:rsid w:val="00F52293"/>
    <w:rsid w:val="00F71157"/>
    <w:rsid w:val="00F7291F"/>
    <w:rsid w:val="00FB02EF"/>
    <w:rsid w:val="00FB4EB0"/>
    <w:rsid w:val="00FB5DD1"/>
    <w:rsid w:val="00FB6571"/>
    <w:rsid w:val="00FB79EF"/>
    <w:rsid w:val="00FC4603"/>
    <w:rsid w:val="00FE76F9"/>
    <w:rsid w:val="00FF71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0CA"/>
    <w:rPr>
      <w:lang w:val="es-ES"/>
    </w:rPr>
  </w:style>
  <w:style w:type="paragraph" w:styleId="Ttulo1">
    <w:name w:val="heading 1"/>
    <w:basedOn w:val="Normal"/>
    <w:next w:val="Normal"/>
    <w:link w:val="Ttulo1Car"/>
    <w:uiPriority w:val="9"/>
    <w:qFormat/>
    <w:rsid w:val="000A6BA5"/>
    <w:pPr>
      <w:keepNext/>
      <w:widowControl w:val="0"/>
      <w:tabs>
        <w:tab w:val="left" w:pos="210"/>
        <w:tab w:val="left" w:pos="862"/>
        <w:tab w:val="left" w:pos="4610"/>
      </w:tabs>
      <w:spacing w:after="0" w:line="240" w:lineRule="atLeast"/>
      <w:jc w:val="center"/>
      <w:outlineLvl w:val="0"/>
    </w:pPr>
    <w:rPr>
      <w:rFonts w:ascii="Arial" w:eastAsia="Times New Roman" w:hAnsi="Arial" w:cs="Times New Roman"/>
      <w:snapToGrid w:val="0"/>
      <w:szCs w:val="20"/>
      <w:u w:val="single"/>
      <w:lang w:eastAsia="es-ES"/>
    </w:rPr>
  </w:style>
  <w:style w:type="paragraph" w:styleId="Ttulo2">
    <w:name w:val="heading 2"/>
    <w:basedOn w:val="Normal"/>
    <w:link w:val="Ttulo2Car"/>
    <w:uiPriority w:val="9"/>
    <w:qFormat/>
    <w:rsid w:val="004C17AE"/>
    <w:pPr>
      <w:spacing w:before="100" w:beforeAutospacing="1" w:after="100" w:afterAutospacing="1" w:line="240" w:lineRule="auto"/>
      <w:outlineLvl w:val="1"/>
    </w:pPr>
    <w:rPr>
      <w:rFonts w:ascii="Times New Roman" w:eastAsia="Times New Roman" w:hAnsi="Times New Roman" w:cs="Times New Roman"/>
      <w:b/>
      <w:bCs/>
      <w:sz w:val="36"/>
      <w:szCs w:val="36"/>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6BA5"/>
    <w:rPr>
      <w:rFonts w:ascii="Arial" w:eastAsia="Times New Roman" w:hAnsi="Arial" w:cs="Times New Roman"/>
      <w:snapToGrid w:val="0"/>
      <w:szCs w:val="20"/>
      <w:u w:val="single"/>
      <w:lang w:val="es-ES" w:eastAsia="es-ES"/>
    </w:rPr>
  </w:style>
  <w:style w:type="character" w:customStyle="1" w:styleId="Ttulo2Car">
    <w:name w:val="Título 2 Car"/>
    <w:basedOn w:val="Fuentedeprrafopredeter"/>
    <w:link w:val="Ttulo2"/>
    <w:uiPriority w:val="9"/>
    <w:rsid w:val="004C17AE"/>
    <w:rPr>
      <w:rFonts w:ascii="Times New Roman" w:eastAsia="Times New Roman" w:hAnsi="Times New Roman" w:cs="Times New Roman"/>
      <w:b/>
      <w:bCs/>
      <w:sz w:val="36"/>
      <w:szCs w:val="36"/>
      <w:lang w:eastAsia="es-AR"/>
    </w:rPr>
  </w:style>
  <w:style w:type="character" w:styleId="Textoennegrita">
    <w:name w:val="Strong"/>
    <w:basedOn w:val="Fuentedeprrafopredeter"/>
    <w:uiPriority w:val="22"/>
    <w:qFormat/>
    <w:rsid w:val="000A6BA5"/>
    <w:rPr>
      <w:b/>
      <w:bCs/>
    </w:rPr>
  </w:style>
  <w:style w:type="paragraph" w:styleId="Encabezado">
    <w:name w:val="header"/>
    <w:basedOn w:val="Normal"/>
    <w:link w:val="EncabezadoCar"/>
    <w:uiPriority w:val="99"/>
    <w:unhideWhenUsed/>
    <w:rsid w:val="00585A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5AC2"/>
    <w:rPr>
      <w:lang w:val="es-ES"/>
    </w:rPr>
  </w:style>
  <w:style w:type="paragraph" w:styleId="Piedepgina">
    <w:name w:val="footer"/>
    <w:basedOn w:val="Normal"/>
    <w:link w:val="PiedepginaCar"/>
    <w:uiPriority w:val="99"/>
    <w:unhideWhenUsed/>
    <w:rsid w:val="00585A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5AC2"/>
    <w:rPr>
      <w:lang w:val="es-ES"/>
    </w:rPr>
  </w:style>
  <w:style w:type="paragraph" w:styleId="Textodeglobo">
    <w:name w:val="Balloon Text"/>
    <w:basedOn w:val="Normal"/>
    <w:link w:val="TextodegloboCar"/>
    <w:uiPriority w:val="99"/>
    <w:semiHidden/>
    <w:unhideWhenUsed/>
    <w:rsid w:val="00585A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85AC2"/>
    <w:rPr>
      <w:rFonts w:ascii="Tahoma" w:hAnsi="Tahoma" w:cs="Tahoma"/>
      <w:sz w:val="16"/>
      <w:szCs w:val="16"/>
      <w:lang w:val="es-ES"/>
    </w:rPr>
  </w:style>
  <w:style w:type="paragraph" w:styleId="NormalWeb">
    <w:name w:val="Normal (Web)"/>
    <w:basedOn w:val="Normal"/>
    <w:uiPriority w:val="99"/>
    <w:unhideWhenUsed/>
    <w:rsid w:val="001A48D4"/>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Hipervnculo">
    <w:name w:val="Hyperlink"/>
    <w:basedOn w:val="Fuentedeprrafopredeter"/>
    <w:uiPriority w:val="99"/>
    <w:unhideWhenUsed/>
    <w:rsid w:val="00C415C4"/>
    <w:rPr>
      <w:color w:val="0000FF" w:themeColor="hyperlink"/>
      <w:u w:val="single"/>
    </w:rPr>
  </w:style>
  <w:style w:type="paragraph" w:styleId="Prrafodelista">
    <w:name w:val="List Paragraph"/>
    <w:basedOn w:val="Normal"/>
    <w:uiPriority w:val="34"/>
    <w:qFormat/>
    <w:rsid w:val="00036FB8"/>
    <w:pPr>
      <w:ind w:left="720"/>
      <w:contextualSpacing/>
    </w:pPr>
  </w:style>
  <w:style w:type="paragraph" w:styleId="Textoindependiente">
    <w:name w:val="Body Text"/>
    <w:basedOn w:val="Normal"/>
    <w:link w:val="TextoindependienteCar"/>
    <w:uiPriority w:val="99"/>
    <w:semiHidden/>
    <w:unhideWhenUsed/>
    <w:rsid w:val="00C506F6"/>
    <w:pPr>
      <w:spacing w:after="120"/>
    </w:pPr>
    <w:rPr>
      <w:rFonts w:ascii="Calibri" w:eastAsia="Calibri" w:hAnsi="Calibri" w:cs="Times New Roman"/>
    </w:rPr>
  </w:style>
  <w:style w:type="character" w:customStyle="1" w:styleId="TextoindependienteCar">
    <w:name w:val="Texto independiente Car"/>
    <w:basedOn w:val="Fuentedeprrafopredeter"/>
    <w:link w:val="Textoindependiente"/>
    <w:uiPriority w:val="99"/>
    <w:semiHidden/>
    <w:rsid w:val="00C506F6"/>
    <w:rPr>
      <w:rFonts w:ascii="Calibri" w:eastAsia="Calibri" w:hAnsi="Calibri" w:cs="Times New Roman"/>
    </w:rPr>
  </w:style>
  <w:style w:type="paragraph" w:customStyle="1" w:styleId="msonormal0">
    <w:name w:val="msonormal"/>
    <w:basedOn w:val="Normal"/>
    <w:rsid w:val="004C17AE"/>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apple-tab-span">
    <w:name w:val="apple-tab-span"/>
    <w:basedOn w:val="Fuentedeprrafopredeter"/>
    <w:rsid w:val="004C17AE"/>
  </w:style>
  <w:style w:type="table" w:customStyle="1" w:styleId="Style24">
    <w:name w:val="_Style 24"/>
    <w:basedOn w:val="Tablanormal"/>
    <w:rsid w:val="004C17AE"/>
    <w:pPr>
      <w:spacing w:after="0" w:line="240" w:lineRule="auto"/>
    </w:pPr>
    <w:rPr>
      <w:rFonts w:ascii="Cambria" w:eastAsia="Cambria" w:hAnsi="Cambria" w:cs="Cambria"/>
      <w:sz w:val="20"/>
      <w:szCs w:val="20"/>
      <w:lang w:eastAsia="es-AR"/>
    </w:rPr>
    <w:tblPr>
      <w:tblInd w:w="0" w:type="dxa"/>
      <w:tblCellMar>
        <w:top w:w="0" w:type="dxa"/>
        <w:left w:w="70" w:type="dxa"/>
        <w:bottom w:w="0" w:type="dxa"/>
        <w:right w:w="70" w:type="dxa"/>
      </w:tblCellMar>
    </w:tblPr>
  </w:style>
  <w:style w:type="character" w:customStyle="1" w:styleId="TextocomentarioCar">
    <w:name w:val="Texto comentario Car"/>
    <w:basedOn w:val="Fuentedeprrafopredeter"/>
    <w:link w:val="Textocomentario"/>
    <w:uiPriority w:val="99"/>
    <w:semiHidden/>
    <w:rsid w:val="004C17AE"/>
    <w:rPr>
      <w:sz w:val="20"/>
      <w:szCs w:val="20"/>
    </w:rPr>
  </w:style>
  <w:style w:type="paragraph" w:styleId="Textocomentario">
    <w:name w:val="annotation text"/>
    <w:basedOn w:val="Normal"/>
    <w:link w:val="TextocomentarioCar"/>
    <w:uiPriority w:val="99"/>
    <w:semiHidden/>
    <w:unhideWhenUsed/>
    <w:rsid w:val="004C17AE"/>
    <w:pPr>
      <w:spacing w:after="120" w:line="240" w:lineRule="auto"/>
      <w:jc w:val="both"/>
    </w:pPr>
    <w:rPr>
      <w:sz w:val="20"/>
      <w:szCs w:val="20"/>
      <w:lang w:val="es-AR"/>
    </w:rPr>
  </w:style>
  <w:style w:type="character" w:customStyle="1" w:styleId="AsuntodelcomentarioCar">
    <w:name w:val="Asunto del comentario Car"/>
    <w:basedOn w:val="TextocomentarioCar"/>
    <w:link w:val="Asuntodelcomentario"/>
    <w:uiPriority w:val="99"/>
    <w:semiHidden/>
    <w:rsid w:val="004C17AE"/>
    <w:rPr>
      <w:b/>
      <w:bCs/>
      <w:sz w:val="20"/>
      <w:szCs w:val="20"/>
    </w:rPr>
  </w:style>
  <w:style w:type="paragraph" w:styleId="Asuntodelcomentario">
    <w:name w:val="annotation subject"/>
    <w:basedOn w:val="Textocomentario"/>
    <w:next w:val="Textocomentario"/>
    <w:link w:val="AsuntodelcomentarioCar"/>
    <w:uiPriority w:val="99"/>
    <w:semiHidden/>
    <w:unhideWhenUsed/>
    <w:rsid w:val="004C17AE"/>
    <w:rPr>
      <w:b/>
      <w:bCs/>
    </w:rPr>
  </w:style>
  <w:style w:type="table" w:styleId="Tablaconcuadrcula">
    <w:name w:val="Table Grid"/>
    <w:basedOn w:val="Tablanormal"/>
    <w:uiPriority w:val="39"/>
    <w:rsid w:val="004C17AE"/>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13544899">
      <w:bodyDiv w:val="1"/>
      <w:marLeft w:val="0"/>
      <w:marRight w:val="0"/>
      <w:marTop w:val="0"/>
      <w:marBottom w:val="0"/>
      <w:divBdr>
        <w:top w:val="none" w:sz="0" w:space="0" w:color="auto"/>
        <w:left w:val="none" w:sz="0" w:space="0" w:color="auto"/>
        <w:bottom w:val="none" w:sz="0" w:space="0" w:color="auto"/>
        <w:right w:val="none" w:sz="0" w:space="0" w:color="auto"/>
      </w:divBdr>
    </w:div>
    <w:div w:id="223951033">
      <w:bodyDiv w:val="1"/>
      <w:marLeft w:val="0"/>
      <w:marRight w:val="0"/>
      <w:marTop w:val="0"/>
      <w:marBottom w:val="0"/>
      <w:divBdr>
        <w:top w:val="none" w:sz="0" w:space="0" w:color="auto"/>
        <w:left w:val="none" w:sz="0" w:space="0" w:color="auto"/>
        <w:bottom w:val="none" w:sz="0" w:space="0" w:color="auto"/>
        <w:right w:val="none" w:sz="0" w:space="0" w:color="auto"/>
      </w:divBdr>
    </w:div>
    <w:div w:id="240914889">
      <w:bodyDiv w:val="1"/>
      <w:marLeft w:val="0"/>
      <w:marRight w:val="0"/>
      <w:marTop w:val="0"/>
      <w:marBottom w:val="0"/>
      <w:divBdr>
        <w:top w:val="none" w:sz="0" w:space="0" w:color="auto"/>
        <w:left w:val="none" w:sz="0" w:space="0" w:color="auto"/>
        <w:bottom w:val="none" w:sz="0" w:space="0" w:color="auto"/>
        <w:right w:val="none" w:sz="0" w:space="0" w:color="auto"/>
      </w:divBdr>
    </w:div>
    <w:div w:id="419566571">
      <w:bodyDiv w:val="1"/>
      <w:marLeft w:val="0"/>
      <w:marRight w:val="0"/>
      <w:marTop w:val="0"/>
      <w:marBottom w:val="0"/>
      <w:divBdr>
        <w:top w:val="none" w:sz="0" w:space="0" w:color="auto"/>
        <w:left w:val="none" w:sz="0" w:space="0" w:color="auto"/>
        <w:bottom w:val="none" w:sz="0" w:space="0" w:color="auto"/>
        <w:right w:val="none" w:sz="0" w:space="0" w:color="auto"/>
      </w:divBdr>
    </w:div>
    <w:div w:id="551112366">
      <w:bodyDiv w:val="1"/>
      <w:marLeft w:val="0"/>
      <w:marRight w:val="0"/>
      <w:marTop w:val="0"/>
      <w:marBottom w:val="0"/>
      <w:divBdr>
        <w:top w:val="none" w:sz="0" w:space="0" w:color="auto"/>
        <w:left w:val="none" w:sz="0" w:space="0" w:color="auto"/>
        <w:bottom w:val="none" w:sz="0" w:space="0" w:color="auto"/>
        <w:right w:val="none" w:sz="0" w:space="0" w:color="auto"/>
      </w:divBdr>
    </w:div>
    <w:div w:id="666789147">
      <w:bodyDiv w:val="1"/>
      <w:marLeft w:val="0"/>
      <w:marRight w:val="0"/>
      <w:marTop w:val="0"/>
      <w:marBottom w:val="0"/>
      <w:divBdr>
        <w:top w:val="none" w:sz="0" w:space="0" w:color="auto"/>
        <w:left w:val="none" w:sz="0" w:space="0" w:color="auto"/>
        <w:bottom w:val="none" w:sz="0" w:space="0" w:color="auto"/>
        <w:right w:val="none" w:sz="0" w:space="0" w:color="auto"/>
      </w:divBdr>
    </w:div>
    <w:div w:id="718358622">
      <w:bodyDiv w:val="1"/>
      <w:marLeft w:val="0"/>
      <w:marRight w:val="0"/>
      <w:marTop w:val="0"/>
      <w:marBottom w:val="0"/>
      <w:divBdr>
        <w:top w:val="none" w:sz="0" w:space="0" w:color="auto"/>
        <w:left w:val="none" w:sz="0" w:space="0" w:color="auto"/>
        <w:bottom w:val="none" w:sz="0" w:space="0" w:color="auto"/>
        <w:right w:val="none" w:sz="0" w:space="0" w:color="auto"/>
      </w:divBdr>
    </w:div>
    <w:div w:id="793258773">
      <w:bodyDiv w:val="1"/>
      <w:marLeft w:val="0"/>
      <w:marRight w:val="0"/>
      <w:marTop w:val="0"/>
      <w:marBottom w:val="0"/>
      <w:divBdr>
        <w:top w:val="none" w:sz="0" w:space="0" w:color="auto"/>
        <w:left w:val="none" w:sz="0" w:space="0" w:color="auto"/>
        <w:bottom w:val="none" w:sz="0" w:space="0" w:color="auto"/>
        <w:right w:val="none" w:sz="0" w:space="0" w:color="auto"/>
      </w:divBdr>
    </w:div>
    <w:div w:id="912861129">
      <w:bodyDiv w:val="1"/>
      <w:marLeft w:val="0"/>
      <w:marRight w:val="0"/>
      <w:marTop w:val="0"/>
      <w:marBottom w:val="0"/>
      <w:divBdr>
        <w:top w:val="none" w:sz="0" w:space="0" w:color="auto"/>
        <w:left w:val="none" w:sz="0" w:space="0" w:color="auto"/>
        <w:bottom w:val="none" w:sz="0" w:space="0" w:color="auto"/>
        <w:right w:val="none" w:sz="0" w:space="0" w:color="auto"/>
      </w:divBdr>
    </w:div>
    <w:div w:id="967012628">
      <w:bodyDiv w:val="1"/>
      <w:marLeft w:val="0"/>
      <w:marRight w:val="0"/>
      <w:marTop w:val="0"/>
      <w:marBottom w:val="0"/>
      <w:divBdr>
        <w:top w:val="none" w:sz="0" w:space="0" w:color="auto"/>
        <w:left w:val="none" w:sz="0" w:space="0" w:color="auto"/>
        <w:bottom w:val="none" w:sz="0" w:space="0" w:color="auto"/>
        <w:right w:val="none" w:sz="0" w:space="0" w:color="auto"/>
      </w:divBdr>
    </w:div>
    <w:div w:id="986323366">
      <w:bodyDiv w:val="1"/>
      <w:marLeft w:val="0"/>
      <w:marRight w:val="0"/>
      <w:marTop w:val="0"/>
      <w:marBottom w:val="0"/>
      <w:divBdr>
        <w:top w:val="none" w:sz="0" w:space="0" w:color="auto"/>
        <w:left w:val="none" w:sz="0" w:space="0" w:color="auto"/>
        <w:bottom w:val="none" w:sz="0" w:space="0" w:color="auto"/>
        <w:right w:val="none" w:sz="0" w:space="0" w:color="auto"/>
      </w:divBdr>
    </w:div>
    <w:div w:id="1303465157">
      <w:bodyDiv w:val="1"/>
      <w:marLeft w:val="0"/>
      <w:marRight w:val="0"/>
      <w:marTop w:val="0"/>
      <w:marBottom w:val="0"/>
      <w:divBdr>
        <w:top w:val="none" w:sz="0" w:space="0" w:color="auto"/>
        <w:left w:val="none" w:sz="0" w:space="0" w:color="auto"/>
        <w:bottom w:val="none" w:sz="0" w:space="0" w:color="auto"/>
        <w:right w:val="none" w:sz="0" w:space="0" w:color="auto"/>
      </w:divBdr>
    </w:div>
    <w:div w:id="1320109314">
      <w:bodyDiv w:val="1"/>
      <w:marLeft w:val="0"/>
      <w:marRight w:val="0"/>
      <w:marTop w:val="0"/>
      <w:marBottom w:val="0"/>
      <w:divBdr>
        <w:top w:val="none" w:sz="0" w:space="0" w:color="auto"/>
        <w:left w:val="none" w:sz="0" w:space="0" w:color="auto"/>
        <w:bottom w:val="none" w:sz="0" w:space="0" w:color="auto"/>
        <w:right w:val="none" w:sz="0" w:space="0" w:color="auto"/>
      </w:divBdr>
    </w:div>
    <w:div w:id="1351880262">
      <w:bodyDiv w:val="1"/>
      <w:marLeft w:val="0"/>
      <w:marRight w:val="0"/>
      <w:marTop w:val="0"/>
      <w:marBottom w:val="0"/>
      <w:divBdr>
        <w:top w:val="none" w:sz="0" w:space="0" w:color="auto"/>
        <w:left w:val="none" w:sz="0" w:space="0" w:color="auto"/>
        <w:bottom w:val="none" w:sz="0" w:space="0" w:color="auto"/>
        <w:right w:val="none" w:sz="0" w:space="0" w:color="auto"/>
      </w:divBdr>
    </w:div>
    <w:div w:id="1354109313">
      <w:bodyDiv w:val="1"/>
      <w:marLeft w:val="0"/>
      <w:marRight w:val="0"/>
      <w:marTop w:val="0"/>
      <w:marBottom w:val="0"/>
      <w:divBdr>
        <w:top w:val="none" w:sz="0" w:space="0" w:color="auto"/>
        <w:left w:val="none" w:sz="0" w:space="0" w:color="auto"/>
        <w:bottom w:val="none" w:sz="0" w:space="0" w:color="auto"/>
        <w:right w:val="none" w:sz="0" w:space="0" w:color="auto"/>
      </w:divBdr>
    </w:div>
    <w:div w:id="1364600960">
      <w:bodyDiv w:val="1"/>
      <w:marLeft w:val="0"/>
      <w:marRight w:val="0"/>
      <w:marTop w:val="0"/>
      <w:marBottom w:val="0"/>
      <w:divBdr>
        <w:top w:val="none" w:sz="0" w:space="0" w:color="auto"/>
        <w:left w:val="none" w:sz="0" w:space="0" w:color="auto"/>
        <w:bottom w:val="none" w:sz="0" w:space="0" w:color="auto"/>
        <w:right w:val="none" w:sz="0" w:space="0" w:color="auto"/>
      </w:divBdr>
    </w:div>
    <w:div w:id="1460607997">
      <w:bodyDiv w:val="1"/>
      <w:marLeft w:val="0"/>
      <w:marRight w:val="0"/>
      <w:marTop w:val="0"/>
      <w:marBottom w:val="0"/>
      <w:divBdr>
        <w:top w:val="none" w:sz="0" w:space="0" w:color="auto"/>
        <w:left w:val="none" w:sz="0" w:space="0" w:color="auto"/>
        <w:bottom w:val="none" w:sz="0" w:space="0" w:color="auto"/>
        <w:right w:val="none" w:sz="0" w:space="0" w:color="auto"/>
      </w:divBdr>
    </w:div>
    <w:div w:id="1514295700">
      <w:bodyDiv w:val="1"/>
      <w:marLeft w:val="0"/>
      <w:marRight w:val="0"/>
      <w:marTop w:val="0"/>
      <w:marBottom w:val="0"/>
      <w:divBdr>
        <w:top w:val="none" w:sz="0" w:space="0" w:color="auto"/>
        <w:left w:val="none" w:sz="0" w:space="0" w:color="auto"/>
        <w:bottom w:val="none" w:sz="0" w:space="0" w:color="auto"/>
        <w:right w:val="none" w:sz="0" w:space="0" w:color="auto"/>
      </w:divBdr>
    </w:div>
    <w:div w:id="1518428119">
      <w:bodyDiv w:val="1"/>
      <w:marLeft w:val="0"/>
      <w:marRight w:val="0"/>
      <w:marTop w:val="0"/>
      <w:marBottom w:val="0"/>
      <w:divBdr>
        <w:top w:val="none" w:sz="0" w:space="0" w:color="auto"/>
        <w:left w:val="none" w:sz="0" w:space="0" w:color="auto"/>
        <w:bottom w:val="none" w:sz="0" w:space="0" w:color="auto"/>
        <w:right w:val="none" w:sz="0" w:space="0" w:color="auto"/>
      </w:divBdr>
    </w:div>
    <w:div w:id="1522744575">
      <w:bodyDiv w:val="1"/>
      <w:marLeft w:val="0"/>
      <w:marRight w:val="0"/>
      <w:marTop w:val="0"/>
      <w:marBottom w:val="0"/>
      <w:divBdr>
        <w:top w:val="none" w:sz="0" w:space="0" w:color="auto"/>
        <w:left w:val="none" w:sz="0" w:space="0" w:color="auto"/>
        <w:bottom w:val="none" w:sz="0" w:space="0" w:color="auto"/>
        <w:right w:val="none" w:sz="0" w:space="0" w:color="auto"/>
      </w:divBdr>
    </w:div>
    <w:div w:id="1632977736">
      <w:bodyDiv w:val="1"/>
      <w:marLeft w:val="0"/>
      <w:marRight w:val="0"/>
      <w:marTop w:val="0"/>
      <w:marBottom w:val="0"/>
      <w:divBdr>
        <w:top w:val="none" w:sz="0" w:space="0" w:color="auto"/>
        <w:left w:val="none" w:sz="0" w:space="0" w:color="auto"/>
        <w:bottom w:val="none" w:sz="0" w:space="0" w:color="auto"/>
        <w:right w:val="none" w:sz="0" w:space="0" w:color="auto"/>
      </w:divBdr>
    </w:div>
    <w:div w:id="1710914827">
      <w:bodyDiv w:val="1"/>
      <w:marLeft w:val="0"/>
      <w:marRight w:val="0"/>
      <w:marTop w:val="0"/>
      <w:marBottom w:val="0"/>
      <w:divBdr>
        <w:top w:val="none" w:sz="0" w:space="0" w:color="auto"/>
        <w:left w:val="none" w:sz="0" w:space="0" w:color="auto"/>
        <w:bottom w:val="none" w:sz="0" w:space="0" w:color="auto"/>
        <w:right w:val="none" w:sz="0" w:space="0" w:color="auto"/>
      </w:divBdr>
    </w:div>
    <w:div w:id="1725986290">
      <w:bodyDiv w:val="1"/>
      <w:marLeft w:val="0"/>
      <w:marRight w:val="0"/>
      <w:marTop w:val="0"/>
      <w:marBottom w:val="0"/>
      <w:divBdr>
        <w:top w:val="none" w:sz="0" w:space="0" w:color="auto"/>
        <w:left w:val="none" w:sz="0" w:space="0" w:color="auto"/>
        <w:bottom w:val="none" w:sz="0" w:space="0" w:color="auto"/>
        <w:right w:val="none" w:sz="0" w:space="0" w:color="auto"/>
      </w:divBdr>
    </w:div>
    <w:div w:id="1734545490">
      <w:bodyDiv w:val="1"/>
      <w:marLeft w:val="0"/>
      <w:marRight w:val="0"/>
      <w:marTop w:val="0"/>
      <w:marBottom w:val="0"/>
      <w:divBdr>
        <w:top w:val="none" w:sz="0" w:space="0" w:color="auto"/>
        <w:left w:val="none" w:sz="0" w:space="0" w:color="auto"/>
        <w:bottom w:val="none" w:sz="0" w:space="0" w:color="auto"/>
        <w:right w:val="none" w:sz="0" w:space="0" w:color="auto"/>
      </w:divBdr>
    </w:div>
    <w:div w:id="1751151003">
      <w:bodyDiv w:val="1"/>
      <w:marLeft w:val="0"/>
      <w:marRight w:val="0"/>
      <w:marTop w:val="0"/>
      <w:marBottom w:val="0"/>
      <w:divBdr>
        <w:top w:val="none" w:sz="0" w:space="0" w:color="auto"/>
        <w:left w:val="none" w:sz="0" w:space="0" w:color="auto"/>
        <w:bottom w:val="none" w:sz="0" w:space="0" w:color="auto"/>
        <w:right w:val="none" w:sz="0" w:space="0" w:color="auto"/>
      </w:divBdr>
    </w:div>
    <w:div w:id="1895313661">
      <w:bodyDiv w:val="1"/>
      <w:marLeft w:val="0"/>
      <w:marRight w:val="0"/>
      <w:marTop w:val="0"/>
      <w:marBottom w:val="0"/>
      <w:divBdr>
        <w:top w:val="none" w:sz="0" w:space="0" w:color="auto"/>
        <w:left w:val="none" w:sz="0" w:space="0" w:color="auto"/>
        <w:bottom w:val="none" w:sz="0" w:space="0" w:color="auto"/>
        <w:right w:val="none" w:sz="0" w:space="0" w:color="auto"/>
      </w:divBdr>
    </w:div>
    <w:div w:id="1915893090">
      <w:bodyDiv w:val="1"/>
      <w:marLeft w:val="0"/>
      <w:marRight w:val="0"/>
      <w:marTop w:val="0"/>
      <w:marBottom w:val="0"/>
      <w:divBdr>
        <w:top w:val="none" w:sz="0" w:space="0" w:color="auto"/>
        <w:left w:val="none" w:sz="0" w:space="0" w:color="auto"/>
        <w:bottom w:val="none" w:sz="0" w:space="0" w:color="auto"/>
        <w:right w:val="none" w:sz="0" w:space="0" w:color="auto"/>
      </w:divBdr>
    </w:div>
    <w:div w:id="206622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B65F9F052F24602BD44854228A54736"/>
        <w:category>
          <w:name w:val="General"/>
          <w:gallery w:val="placeholder"/>
        </w:category>
        <w:types>
          <w:type w:val="bbPlcHdr"/>
        </w:types>
        <w:behaviors>
          <w:behavior w:val="content"/>
        </w:behaviors>
        <w:guid w:val="{1F385D0D-147E-40F5-9CB1-47E5376B2F72}"/>
      </w:docPartPr>
      <w:docPartBody>
        <w:p w:rsidR="00432556" w:rsidRDefault="00F2358F" w:rsidP="00F2358F">
          <w:pPr>
            <w:pStyle w:val="DB65F9F052F24602BD44854228A54736"/>
          </w:pPr>
          <w:r>
            <w:rPr>
              <w:rFonts w:asciiTheme="majorHAnsi" w:eastAsiaTheme="majorEastAsia" w:hAnsiTheme="majorHAnsi" w:cstheme="majorBidi"/>
              <w:sz w:val="32"/>
              <w:szCs w:val="32"/>
            </w:rPr>
            <w:t>[Escribir el título del documento]</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F2358F"/>
    <w:rsid w:val="00032EAB"/>
    <w:rsid w:val="00053A9F"/>
    <w:rsid w:val="000636F5"/>
    <w:rsid w:val="000B4B61"/>
    <w:rsid w:val="000C4AFB"/>
    <w:rsid w:val="000E2AE7"/>
    <w:rsid w:val="000F4F42"/>
    <w:rsid w:val="0013212D"/>
    <w:rsid w:val="00146E60"/>
    <w:rsid w:val="001548D3"/>
    <w:rsid w:val="00166406"/>
    <w:rsid w:val="00167A4C"/>
    <w:rsid w:val="0017509B"/>
    <w:rsid w:val="0019244B"/>
    <w:rsid w:val="001B22D4"/>
    <w:rsid w:val="001B7E2D"/>
    <w:rsid w:val="001D4978"/>
    <w:rsid w:val="002072BC"/>
    <w:rsid w:val="00231D12"/>
    <w:rsid w:val="00232962"/>
    <w:rsid w:val="00285024"/>
    <w:rsid w:val="002921DD"/>
    <w:rsid w:val="002B3FF0"/>
    <w:rsid w:val="002C22FF"/>
    <w:rsid w:val="002D10C4"/>
    <w:rsid w:val="002E00EE"/>
    <w:rsid w:val="00320DB3"/>
    <w:rsid w:val="00337022"/>
    <w:rsid w:val="00353614"/>
    <w:rsid w:val="00392288"/>
    <w:rsid w:val="003C035C"/>
    <w:rsid w:val="003C35DD"/>
    <w:rsid w:val="004251AA"/>
    <w:rsid w:val="00432556"/>
    <w:rsid w:val="00462AEC"/>
    <w:rsid w:val="00473321"/>
    <w:rsid w:val="00477ED9"/>
    <w:rsid w:val="00481461"/>
    <w:rsid w:val="004D2A09"/>
    <w:rsid w:val="005077A3"/>
    <w:rsid w:val="00527E41"/>
    <w:rsid w:val="00537E21"/>
    <w:rsid w:val="00547506"/>
    <w:rsid w:val="005646C5"/>
    <w:rsid w:val="005813FF"/>
    <w:rsid w:val="005C5B61"/>
    <w:rsid w:val="006956E9"/>
    <w:rsid w:val="006B06E0"/>
    <w:rsid w:val="006D420E"/>
    <w:rsid w:val="006F3E0E"/>
    <w:rsid w:val="007362AE"/>
    <w:rsid w:val="00742344"/>
    <w:rsid w:val="0075228A"/>
    <w:rsid w:val="00764E2B"/>
    <w:rsid w:val="00786473"/>
    <w:rsid w:val="0079312A"/>
    <w:rsid w:val="007B13FA"/>
    <w:rsid w:val="007D6F8B"/>
    <w:rsid w:val="007D722F"/>
    <w:rsid w:val="007E2DC8"/>
    <w:rsid w:val="007E4BD7"/>
    <w:rsid w:val="007F3E7C"/>
    <w:rsid w:val="008021AD"/>
    <w:rsid w:val="00806794"/>
    <w:rsid w:val="00815156"/>
    <w:rsid w:val="00815738"/>
    <w:rsid w:val="00847473"/>
    <w:rsid w:val="00854706"/>
    <w:rsid w:val="00855486"/>
    <w:rsid w:val="00865957"/>
    <w:rsid w:val="00873807"/>
    <w:rsid w:val="008872C1"/>
    <w:rsid w:val="008C467F"/>
    <w:rsid w:val="008C53FF"/>
    <w:rsid w:val="0091083A"/>
    <w:rsid w:val="009212FD"/>
    <w:rsid w:val="00934E8D"/>
    <w:rsid w:val="00936DA7"/>
    <w:rsid w:val="00953C6D"/>
    <w:rsid w:val="00954A8E"/>
    <w:rsid w:val="0097705A"/>
    <w:rsid w:val="00982893"/>
    <w:rsid w:val="009B5140"/>
    <w:rsid w:val="009B68D9"/>
    <w:rsid w:val="009D1DFB"/>
    <w:rsid w:val="009D5B94"/>
    <w:rsid w:val="009E5217"/>
    <w:rsid w:val="009F6112"/>
    <w:rsid w:val="00A02B41"/>
    <w:rsid w:val="00A10C65"/>
    <w:rsid w:val="00A23670"/>
    <w:rsid w:val="00A560B7"/>
    <w:rsid w:val="00A5687D"/>
    <w:rsid w:val="00A60DEA"/>
    <w:rsid w:val="00A65CFC"/>
    <w:rsid w:val="00A6777A"/>
    <w:rsid w:val="00A87D7E"/>
    <w:rsid w:val="00A92E0A"/>
    <w:rsid w:val="00AB3087"/>
    <w:rsid w:val="00AB7BD1"/>
    <w:rsid w:val="00AD3472"/>
    <w:rsid w:val="00AF701A"/>
    <w:rsid w:val="00B439FD"/>
    <w:rsid w:val="00B80E36"/>
    <w:rsid w:val="00B850A9"/>
    <w:rsid w:val="00B94980"/>
    <w:rsid w:val="00B94EED"/>
    <w:rsid w:val="00BA0520"/>
    <w:rsid w:val="00BA2AB0"/>
    <w:rsid w:val="00BB75F5"/>
    <w:rsid w:val="00BF382E"/>
    <w:rsid w:val="00C20861"/>
    <w:rsid w:val="00C23E0B"/>
    <w:rsid w:val="00C30EE2"/>
    <w:rsid w:val="00C52E8F"/>
    <w:rsid w:val="00C85594"/>
    <w:rsid w:val="00C85A97"/>
    <w:rsid w:val="00C85C4A"/>
    <w:rsid w:val="00CA10D7"/>
    <w:rsid w:val="00CF08AA"/>
    <w:rsid w:val="00D056F7"/>
    <w:rsid w:val="00D146C8"/>
    <w:rsid w:val="00D3193B"/>
    <w:rsid w:val="00D3796C"/>
    <w:rsid w:val="00D47C85"/>
    <w:rsid w:val="00D63F23"/>
    <w:rsid w:val="00D85BA9"/>
    <w:rsid w:val="00DE7EA3"/>
    <w:rsid w:val="00E44D1C"/>
    <w:rsid w:val="00E505C9"/>
    <w:rsid w:val="00E52090"/>
    <w:rsid w:val="00E6144B"/>
    <w:rsid w:val="00E66CFD"/>
    <w:rsid w:val="00E81DB4"/>
    <w:rsid w:val="00E81DD8"/>
    <w:rsid w:val="00E82F23"/>
    <w:rsid w:val="00E94140"/>
    <w:rsid w:val="00EA1127"/>
    <w:rsid w:val="00EB654A"/>
    <w:rsid w:val="00EB6DF4"/>
    <w:rsid w:val="00EE176D"/>
    <w:rsid w:val="00EF58C8"/>
    <w:rsid w:val="00F030C6"/>
    <w:rsid w:val="00F2185F"/>
    <w:rsid w:val="00F2358F"/>
    <w:rsid w:val="00F236FC"/>
    <w:rsid w:val="00F35662"/>
    <w:rsid w:val="00F4248E"/>
    <w:rsid w:val="00F60958"/>
    <w:rsid w:val="00FA19BB"/>
    <w:rsid w:val="00FD13C4"/>
    <w:rsid w:val="00FD3FB6"/>
    <w:rsid w:val="00FD61D5"/>
    <w:rsid w:val="00FE0EB9"/>
    <w:rsid w:val="00FE74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55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B65F9F052F24602BD44854228A54736">
    <w:name w:val="DB65F9F052F24602BD44854228A54736"/>
    <w:rsid w:val="00F2358F"/>
  </w:style>
  <w:style w:type="paragraph" w:customStyle="1" w:styleId="4E5D321CCC5E46F19B9B4A6EFA198F50">
    <w:name w:val="4E5D321CCC5E46F19B9B4A6EFA198F50"/>
    <w:rsid w:val="00E44D1C"/>
  </w:style>
  <w:style w:type="paragraph" w:customStyle="1" w:styleId="0DF105EA567049079AA121D5BB91B105">
    <w:name w:val="0DF105EA567049079AA121D5BB91B105"/>
    <w:rsid w:val="001548D3"/>
  </w:style>
  <w:style w:type="paragraph" w:customStyle="1" w:styleId="6F5A4B5B25EA46058F24B509B06E4D5F">
    <w:name w:val="6F5A4B5B25EA46058F24B509B06E4D5F"/>
    <w:rsid w:val="001548D3"/>
  </w:style>
  <w:style w:type="paragraph" w:customStyle="1" w:styleId="EF43F92E8DC040F8A7121B97DD81FB01">
    <w:name w:val="EF43F92E8DC040F8A7121B97DD81FB01"/>
    <w:rsid w:val="00A92E0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E538AA-4566-48D5-9B4C-70006C2C0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14609</Words>
  <Characters>83274</Characters>
  <Application>Microsoft Office Word</Application>
  <DocSecurity>0</DocSecurity>
  <Lines>693</Lines>
  <Paragraphs>195</Paragraphs>
  <ScaleCrop>false</ScaleCrop>
  <HeadingPairs>
    <vt:vector size="2" baseType="variant">
      <vt:variant>
        <vt:lpstr>Título</vt:lpstr>
      </vt:variant>
      <vt:variant>
        <vt:i4>1</vt:i4>
      </vt:variant>
    </vt:vector>
  </HeadingPairs>
  <TitlesOfParts>
    <vt:vector size="1" baseType="lpstr">
      <vt:lpstr>ANEXO ORDENANZA Nº 02/2025</vt:lpstr>
    </vt:vector>
  </TitlesOfParts>
  <Company>Microsoft</Company>
  <LinksUpToDate>false</LinksUpToDate>
  <CharactersWithSpaces>97688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ORDENANZA Nº 02/2025</dc:title>
  <dc:creator>Damian</dc:creator>
  <cp:lastModifiedBy>Pamela</cp:lastModifiedBy>
  <cp:revision>2</cp:revision>
  <cp:lastPrinted>2025-06-18T13:16:00Z</cp:lastPrinted>
  <dcterms:created xsi:type="dcterms:W3CDTF">2025-11-27T03:37:00Z</dcterms:created>
  <dcterms:modified xsi:type="dcterms:W3CDTF">2025-11-27T03:37:00Z</dcterms:modified>
</cp:coreProperties>
</file>