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C81D25"/>
          <w:sz w:val="52"/>
        </w:rPr>
        <w:t>ConEd Manhattan Steam Attrition Dashboard</w:t>
      </w:r>
    </w:p>
    <w:p>
      <w:pPr>
        <w:jc w:val="center"/>
      </w:pPr>
      <w:r>
        <w:rPr>
          <w:color w:val="475669"/>
          <w:sz w:val="32"/>
        </w:rPr>
        <w:t>Technical Manual &amp; Deck Reference</w:t>
      </w:r>
    </w:p>
    <w:p/>
    <w:p>
      <w:pPr>
        <w:jc w:val="center"/>
      </w:pPr>
      <w:r>
        <w:rPr>
          <w:color w:val="475669"/>
          <w:sz w:val="22"/>
        </w:rPr>
        <w:t>Version 1.0  ·  June 2026  ·  Prepared for Blackstone Preview</w:t>
      </w:r>
    </w:p>
    <w:p/>
    <w:p>
      <w:pPr>
        <w:jc w:val="center"/>
      </w:pPr>
      <w:r>
        <w:rPr>
          <w:b/>
          <w:sz w:val="22"/>
        </w:rPr>
        <w:t>Portfolio: 1,210 Manhattan Steam Buildings  ·  $81.9M LL97 2024 Exposure</w:t>
      </w:r>
    </w:p>
    <w:p>
      <w:r>
        <w:br w:type="page"/>
      </w:r>
    </w:p>
    <w:p>
      <w:pPr>
        <w:pStyle w:val="Heading1"/>
        <w:jc w:val="left"/>
      </w:pPr>
      <w:r>
        <w:rPr>
          <w:color w:val="C81D25"/>
          <w:sz w:val="36"/>
        </w:rPr>
        <w:t>Section 0 — Deck Quick-Reference (Simplified)</w:t>
      </w:r>
    </w:p>
    <w:p>
      <w:r>
        <w:rPr>
          <w:b w:val="0"/>
          <w:sz w:val="20"/>
        </w:rPr>
        <w:t>Use this section for presentation talking points. Each bullet maps to a dashboard feature with a plain-English explanation.</w:t>
      </w:r>
    </w:p>
    <w:p/>
    <w:p>
      <w:pPr>
        <w:spacing w:after="120"/>
        <w:ind w:left="288"/>
      </w:pPr>
      <w:r>
        <w:rPr>
          <w:b/>
          <w:color w:val="C81D25"/>
          <w:sz w:val="20"/>
        </w:rPr>
        <w:t xml:space="preserve">▶  What is this?:  </w:t>
      </w:r>
      <w:r>
        <w:rPr>
          <w:sz w:val="20"/>
        </w:rPr>
        <w:t>A live dashboard tracking 1,210 Manhattan buildings that use ConEd district steam heat. It identifies which buildings are most likely to disconnect from the steam grid — a risk called 'attrition' — using permit data, energy benchmarks, and NYC Local Law 97 compliance status.</w:t>
      </w:r>
    </w:p>
    <w:p>
      <w:pPr>
        <w:spacing w:after="120"/>
        <w:ind w:left="288"/>
      </w:pPr>
      <w:r>
        <w:rPr>
          <w:b/>
          <w:color w:val="C81D25"/>
          <w:sz w:val="20"/>
        </w:rPr>
        <w:t xml:space="preserve">▶  Why does this matter?:  </w:t>
      </w:r>
      <w:r>
        <w:rPr>
          <w:sz w:val="20"/>
        </w:rPr>
        <w:t>Each large steam customer that disconnects costs ConEd millions in lost recurring revenue. The dashboard lets account managers identify at-risk accounts before they act, not after. Think of it as a churn model for a utility.</w:t>
      </w:r>
    </w:p>
    <w:p>
      <w:pPr>
        <w:spacing w:after="120"/>
        <w:ind w:left="288"/>
      </w:pPr>
      <w:r>
        <w:rPr>
          <w:b/>
          <w:color w:val="C81D25"/>
          <w:sz w:val="20"/>
        </w:rPr>
        <w:t xml:space="preserve">▶  What drives attrition risk?:  </w:t>
      </w:r>
      <w:r>
        <w:rPr>
          <w:sz w:val="20"/>
        </w:rPr>
        <w:t>Three main factors: (1) high LL97 fines that incentivize switching to electric heat pumps, (2) recent permit activity suggesting capital investment in alternatives, (3) low Energy Star scores and high steam intensity compared to peer buildings.</w:t>
      </w:r>
    </w:p>
    <w:p>
      <w:pPr>
        <w:spacing w:after="120"/>
        <w:ind w:left="288"/>
      </w:pPr>
      <w:r>
        <w:rPr>
          <w:b/>
          <w:color w:val="C81D25"/>
          <w:sz w:val="20"/>
        </w:rPr>
        <w:t xml:space="preserve">▶  What is LL97?:  </w:t>
      </w:r>
      <w:r>
        <w:rPr>
          <w:sz w:val="20"/>
        </w:rPr>
        <w:t>NYC Local Law 97 of 2019 caps carbon emissions per square foot for buildings over 25,000 ft². Buildings that exceed the cap pay $268 per metric ton of excess CO₂e per year. The limits tighten in 2030, tripling the average fine exposure across the portfolio.</w:t>
      </w:r>
    </w:p>
    <w:p>
      <w:pPr>
        <w:spacing w:after="120"/>
        <w:ind w:left="288"/>
      </w:pPr>
      <w:r>
        <w:rPr>
          <w:b/>
          <w:color w:val="C81D25"/>
          <w:sz w:val="20"/>
        </w:rPr>
        <w:t xml:space="preserve">▶  The 5 building archetypes:  </w:t>
      </w:r>
      <w:r>
        <w:rPr>
          <w:sz w:val="20"/>
        </w:rPr>
        <w:t>The ML model groups all 1,210 buildings into 5 clusters using energy, permit, and age data. Two clusters are flagged High-risk: 'Pre-War Active' (older buildings with lots of permit activity — landlords renovating toward electrification) and 'Low-Compliance Commercial' (large offices that are over the LL97 cap but haven't acted yet — acute financial incentive to switch by 2030).</w:t>
      </w:r>
    </w:p>
    <w:p>
      <w:pPr>
        <w:spacing w:after="120"/>
        <w:ind w:left="288"/>
      </w:pPr>
      <w:r>
        <w:rPr>
          <w:b/>
          <w:color w:val="C81D25"/>
          <w:sz w:val="20"/>
        </w:rPr>
        <w:t xml:space="preserve">▶  $81.9M — what's that number?:  </w:t>
      </w:r>
      <w:r>
        <w:rPr>
          <w:sz w:val="20"/>
        </w:rPr>
        <w:t>The total annual fine exposure across all 1,210 buildings if none of them make changes. In reality, ConEd's risk is: buildings with high fines switch to electric and disconnect. Top 5 most-exposed: 31 W 34th St ($17M), Columbia University complex ($12.5M), 111 8th Ave ($6.8M), 415 E 68th St ($4.3M), The Met ($3.1M).</w:t>
      </w:r>
    </w:p>
    <w:p>
      <w:pPr>
        <w:spacing w:after="120"/>
        <w:ind w:left="288"/>
      </w:pPr>
      <w:r>
        <w:rPr>
          <w:b/>
          <w:color w:val="C81D25"/>
          <w:sz w:val="20"/>
        </w:rPr>
        <w:t xml:space="preserve">▶  Risk score — what does it mean?:  </w:t>
      </w:r>
      <w:r>
        <w:rPr>
          <w:sz w:val="20"/>
        </w:rPr>
        <w:t>Each building gets a score from 0.0 to 1.0 from a Gradient Boosting classifier. Score ≥ 0.70 = High risk (58 buildings). Score 0.30–0.70 = Medium (11 buildings). Score &lt; 0.30 = Low (1,141 buildings). The distribution is strongly bimodal — the model is a binary classifier by design, not a nuanced scorer. It flags likely churners.</w:t>
      </w:r>
    </w:p>
    <w:p>
      <w:pPr>
        <w:spacing w:after="120"/>
        <w:ind w:left="288"/>
      </w:pPr>
      <w:r>
        <w:rPr>
          <w:b/>
          <w:color w:val="C81D25"/>
          <w:sz w:val="20"/>
        </w:rPr>
        <w:t xml:space="preserve">▶  How current is the data?:  </w:t>
      </w:r>
      <w:r>
        <w:rPr>
          <w:sz w:val="20"/>
        </w:rPr>
        <w:t>Steam and GHG data: 2021–2024 NYC LL Benchmarking. DOB permits: updated through June 2026 via the NYC Open Data DOB NOW API. The dashboard runs a live Express backend — no cloud dependencies, no API keys exposed to the browser.</w:t>
      </w:r>
    </w:p>
    <w:p>
      <w:r>
        <w:br w:type="page"/>
      </w:r>
    </w:p>
    <w:p>
      <w:pPr>
        <w:pStyle w:val="Heading1"/>
        <w:jc w:val="left"/>
      </w:pPr>
      <w:r>
        <w:rPr>
          <w:color w:val="C81D25"/>
          <w:sz w:val="36"/>
        </w:rPr>
        <w:t>Section 1 — System Architecture</w:t>
      </w:r>
    </w:p>
    <w:p>
      <w:r>
        <w:rPr>
          <w:b w:val="0"/>
          <w:sz w:val="20"/>
        </w:rPr>
        <w:t>The dashboard is a two-process Node.js application. The Express backend (port 3001) serves pre-computed JSON files and proxies the Groq AI chat endpoint. The Vite/React frontend (port 5173) renders all charts client-side using recharts 2.x.</w:t>
      </w:r>
    </w:p>
    <w:p/>
    <w:p>
      <w:pPr>
        <w:jc w:val="center"/>
      </w:pPr>
      <w:r>
        <w:drawing>
          <wp:inline xmlns:a="http://schemas.openxmlformats.org/drawingml/2006/main" xmlns:pic="http://schemas.openxmlformats.org/drawingml/2006/picture">
            <wp:extent cx="5669280" cy="279563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795631"/>
                    </a:xfrm>
                    <a:prstGeom prst="rect"/>
                  </pic:spPr>
                </pic:pic>
              </a:graphicData>
            </a:graphic>
          </wp:inline>
        </w:drawing>
      </w:r>
    </w:p>
    <w:p/>
    <w:p>
      <w:pPr>
        <w:pStyle w:val="Heading2"/>
        <w:jc w:val="left"/>
      </w:pPr>
      <w:r>
        <w:rPr>
          <w:color w:val="C81D25"/>
          <w:sz w:val="28"/>
        </w:rPr>
        <w:t>1.1  Stack</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E3A5F"/>
          </w:tcPr>
          <w:p>
            <w:r>
              <w:rPr>
                <w:b/>
                <w:color w:val="FFFFFF"/>
                <w:sz w:val="18"/>
              </w:rPr>
              <w:t>Component</w:t>
            </w:r>
          </w:p>
        </w:tc>
        <w:tc>
          <w:tcPr>
            <w:tcW w:type="dxa" w:w="2304"/>
            <w:shd w:val="clear" w:color="auto" w:fill="1E3A5F"/>
          </w:tcPr>
          <w:p>
            <w:r>
              <w:rPr>
                <w:b/>
                <w:color w:val="FFFFFF"/>
                <w:sz w:val="18"/>
              </w:rPr>
              <w:t>Role</w:t>
            </w:r>
          </w:p>
        </w:tc>
        <w:tc>
          <w:tcPr>
            <w:tcW w:type="dxa" w:w="4320"/>
            <w:shd w:val="clear" w:color="auto" w:fill="1E3A5F"/>
          </w:tcPr>
          <w:p>
            <w:r>
              <w:rPr>
                <w:b/>
                <w:color w:val="FFFFFF"/>
                <w:sz w:val="18"/>
              </w:rPr>
              <w:t>Notes</w:t>
            </w:r>
          </w:p>
        </w:tc>
      </w:tr>
      <w:tr>
        <w:tc>
          <w:tcPr>
            <w:tcW w:type="dxa" w:w="2592"/>
          </w:tcPr>
          <w:p>
            <w:r>
              <w:rPr>
                <w:sz w:val="18"/>
              </w:rPr>
              <w:t>React 19 + Vite 8</w:t>
            </w:r>
          </w:p>
        </w:tc>
        <w:tc>
          <w:tcPr>
            <w:tcW w:type="dxa" w:w="2304"/>
          </w:tcPr>
          <w:p>
            <w:r>
              <w:rPr>
                <w:sz w:val="18"/>
              </w:rPr>
              <w:t>Frontend SPA</w:t>
            </w:r>
          </w:p>
        </w:tc>
        <w:tc>
          <w:tcPr>
            <w:tcW w:type="dxa" w:w="4320"/>
          </w:tcPr>
          <w:p>
            <w:r>
              <w:rPr>
                <w:sz w:val="18"/>
              </w:rPr>
              <w:t>recharts 2.15.0, TailwindCSS v4</w:t>
            </w:r>
          </w:p>
        </w:tc>
      </w:tr>
      <w:tr>
        <w:tc>
          <w:tcPr>
            <w:tcW w:type="dxa" w:w="2592"/>
            <w:shd w:val="clear" w:color="auto" w:fill="EFF6FF"/>
          </w:tcPr>
          <w:p>
            <w:r>
              <w:rPr>
                <w:sz w:val="18"/>
              </w:rPr>
              <w:t>Express 5</w:t>
            </w:r>
          </w:p>
        </w:tc>
        <w:tc>
          <w:tcPr>
            <w:tcW w:type="dxa" w:w="2304"/>
            <w:shd w:val="clear" w:color="auto" w:fill="EFF6FF"/>
          </w:tcPr>
          <w:p>
            <w:r>
              <w:rPr>
                <w:sz w:val="18"/>
              </w:rPr>
              <w:t>Backend API server</w:t>
            </w:r>
          </w:p>
        </w:tc>
        <w:tc>
          <w:tcPr>
            <w:tcW w:type="dxa" w:w="4320"/>
            <w:shd w:val="clear" w:color="auto" w:fill="EFF6FF"/>
          </w:tcPr>
          <w:p>
            <w:r>
              <w:rPr>
                <w:sz w:val="18"/>
              </w:rPr>
              <w:t>Port 3001; serves JSON files, proxies Groq</w:t>
            </w:r>
          </w:p>
        </w:tc>
      </w:tr>
      <w:tr>
        <w:tc>
          <w:tcPr>
            <w:tcW w:type="dxa" w:w="2592"/>
          </w:tcPr>
          <w:p>
            <w:r>
              <w:rPr>
                <w:sz w:val="18"/>
              </w:rPr>
              <w:t>Python 3.13</w:t>
            </w:r>
          </w:p>
        </w:tc>
        <w:tc>
          <w:tcPr>
            <w:tcW w:type="dxa" w:w="2304"/>
          </w:tcPr>
          <w:p>
            <w:r>
              <w:rPr>
                <w:sz w:val="18"/>
              </w:rPr>
              <w:t>Data pipeline</w:t>
            </w:r>
          </w:p>
        </w:tc>
        <w:tc>
          <w:tcPr>
            <w:tcW w:type="dxa" w:w="4320"/>
          </w:tcPr>
          <w:p>
            <w:r>
              <w:rPr>
                <w:sz w:val="18"/>
              </w:rPr>
              <w:t>sklearn, numpy; runs offline to rebuild enrichment</w:t>
            </w:r>
          </w:p>
        </w:tc>
      </w:tr>
      <w:tr>
        <w:tc>
          <w:tcPr>
            <w:tcW w:type="dxa" w:w="2592"/>
            <w:shd w:val="clear" w:color="auto" w:fill="EFF6FF"/>
          </w:tcPr>
          <w:p>
            <w:r>
              <w:rPr>
                <w:sz w:val="18"/>
              </w:rPr>
              <w:t>Groq API (Llama 3.3 70B)</w:t>
            </w:r>
          </w:p>
        </w:tc>
        <w:tc>
          <w:tcPr>
            <w:tcW w:type="dxa" w:w="2304"/>
            <w:shd w:val="clear" w:color="auto" w:fill="EFF6FF"/>
          </w:tcPr>
          <w:p>
            <w:r>
              <w:rPr>
                <w:sz w:val="18"/>
              </w:rPr>
              <w:t>AI filter</w:t>
            </w:r>
          </w:p>
        </w:tc>
        <w:tc>
          <w:tcPr>
            <w:tcW w:type="dxa" w:w="4320"/>
            <w:shd w:val="clear" w:color="auto" w:fill="EFF6FF"/>
          </w:tcPr>
          <w:p>
            <w:r>
              <w:rPr>
                <w:sz w:val="18"/>
              </w:rPr>
              <w:t>Natural language → JSON filter spec</w:t>
            </w:r>
          </w:p>
        </w:tc>
      </w:tr>
      <w:tr>
        <w:tc>
          <w:tcPr>
            <w:tcW w:type="dxa" w:w="2592"/>
          </w:tcPr>
          <w:p>
            <w:r>
              <w:rPr>
                <w:sz w:val="18"/>
              </w:rPr>
              <w:t>NYC Open Data (Socrata)</w:t>
            </w:r>
          </w:p>
        </w:tc>
        <w:tc>
          <w:tcPr>
            <w:tcW w:type="dxa" w:w="2304"/>
          </w:tcPr>
          <w:p>
            <w:r>
              <w:rPr>
                <w:sz w:val="18"/>
              </w:rPr>
              <w:t>DOB permits</w:t>
            </w:r>
          </w:p>
        </w:tc>
        <w:tc>
          <w:tcPr>
            <w:tcW w:type="dxa" w:w="4320"/>
          </w:tcPr>
          <w:p>
            <w:r>
              <w:rPr>
                <w:sz w:val="18"/>
              </w:rPr>
              <w:t>Dataset w9ak-ipjd; incremental fetch via BBL</w:t>
            </w:r>
          </w:p>
        </w:tc>
      </w:tr>
      <w:tr>
        <w:tc>
          <w:tcPr>
            <w:tcW w:type="dxa" w:w="2592"/>
            <w:shd w:val="clear" w:color="auto" w:fill="EFF6FF"/>
          </w:tcPr>
          <w:p>
            <w:r>
              <w:rPr>
                <w:sz w:val="18"/>
              </w:rPr>
              <w:t>PLUTO (NYC)</w:t>
            </w:r>
          </w:p>
        </w:tc>
        <w:tc>
          <w:tcPr>
            <w:tcW w:type="dxa" w:w="2304"/>
            <w:shd w:val="clear" w:color="auto" w:fill="EFF6FF"/>
          </w:tcPr>
          <w:p>
            <w:r>
              <w:rPr>
                <w:sz w:val="18"/>
              </w:rPr>
              <w:t>Geocoding</w:t>
            </w:r>
          </w:p>
        </w:tc>
        <w:tc>
          <w:tcPr>
            <w:tcW w:type="dxa" w:w="4320"/>
            <w:shd w:val="clear" w:color="auto" w:fill="EFF6FF"/>
          </w:tcPr>
          <w:p>
            <w:r>
              <w:rPr>
                <w:sz w:val="18"/>
              </w:rPr>
              <w:t>BBL → lat/lon → building owner verification</w:t>
            </w:r>
          </w:p>
        </w:tc>
      </w:tr>
    </w:tbl>
    <w:p>
      <w:r>
        <w:br w:type="page"/>
      </w:r>
    </w:p>
    <w:p>
      <w:pPr>
        <w:pStyle w:val="Heading1"/>
        <w:jc w:val="left"/>
      </w:pPr>
      <w:r>
        <w:rPr>
          <w:color w:val="C81D25"/>
          <w:sz w:val="36"/>
        </w:rPr>
        <w:t>Section 2 — Data Sources &amp; Pipeline</w:t>
      </w:r>
    </w:p>
    <w:p>
      <w:pPr>
        <w:pStyle w:val="Heading2"/>
        <w:jc w:val="left"/>
      </w:pPr>
      <w:r>
        <w:rPr>
          <w:color w:val="C81D25"/>
          <w:sz w:val="28"/>
        </w:rPr>
        <w:t>2.1  Source Files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E3A5F"/>
          </w:tcPr>
          <w:p>
            <w:r>
              <w:rPr>
                <w:b/>
                <w:color w:val="FFFFFF"/>
                <w:sz w:val="18"/>
              </w:rPr>
              <w:t>File</w:t>
            </w:r>
          </w:p>
        </w:tc>
        <w:tc>
          <w:tcPr>
            <w:tcW w:type="dxa" w:w="2592"/>
            <w:shd w:val="clear" w:color="auto" w:fill="1E3A5F"/>
          </w:tcPr>
          <w:p>
            <w:r>
              <w:rPr>
                <w:b/>
                <w:color w:val="FFFFFF"/>
                <w:sz w:val="18"/>
              </w:rPr>
              <w:t>Source</w:t>
            </w:r>
          </w:p>
        </w:tc>
        <w:tc>
          <w:tcPr>
            <w:tcW w:type="dxa" w:w="4032"/>
            <w:shd w:val="clear" w:color="auto" w:fill="1E3A5F"/>
          </w:tcPr>
          <w:p>
            <w:r>
              <w:rPr>
                <w:b/>
                <w:color w:val="FFFFFF"/>
                <w:sz w:val="18"/>
              </w:rPr>
              <w:t>Key Fields</w:t>
            </w:r>
          </w:p>
        </w:tc>
      </w:tr>
      <w:tr>
        <w:tc>
          <w:tcPr>
            <w:tcW w:type="dxa" w:w="2592"/>
          </w:tcPr>
          <w:p>
            <w:r>
              <w:rPr>
                <w:sz w:val="18"/>
              </w:rPr>
              <w:t>steam-buildings.csv</w:t>
            </w:r>
          </w:p>
        </w:tc>
        <w:tc>
          <w:tcPr>
            <w:tcW w:type="dxa" w:w="2592"/>
          </w:tcPr>
          <w:p>
            <w:r>
              <w:rPr>
                <w:sz w:val="18"/>
              </w:rPr>
              <w:t>NYC LL Benchmarking (ConEd export)</w:t>
            </w:r>
          </w:p>
        </w:tc>
        <w:tc>
          <w:tcPr>
            <w:tcW w:type="dxa" w:w="4032"/>
          </w:tcPr>
          <w:p>
            <w:r>
              <w:rPr>
                <w:sz w:val="18"/>
              </w:rPr>
              <w:t>Floor area (ft²), use type, Energy Star score, GHG</w:t>
            </w:r>
          </w:p>
        </w:tc>
      </w:tr>
      <w:tr>
        <w:tc>
          <w:tcPr>
            <w:tcW w:type="dxa" w:w="2592"/>
            <w:shd w:val="clear" w:color="auto" w:fill="EFF6FF"/>
          </w:tcPr>
          <w:p>
            <w:r>
              <w:rPr>
                <w:sz w:val="18"/>
              </w:rPr>
              <w:t>steam-consumption.csv</w:t>
            </w:r>
          </w:p>
        </w:tc>
        <w:tc>
          <w:tcPr>
            <w:tcW w:type="dxa" w:w="2592"/>
            <w:shd w:val="clear" w:color="auto" w:fill="EFF6FF"/>
          </w:tcPr>
          <w:p>
            <w:r>
              <w:rPr>
                <w:sz w:val="18"/>
              </w:rPr>
              <w:t>NYC LL Benchmarking</w:t>
            </w:r>
          </w:p>
        </w:tc>
        <w:tc>
          <w:tcPr>
            <w:tcW w:type="dxa" w:w="4032"/>
            <w:shd w:val="clear" w:color="auto" w:fill="EFF6FF"/>
          </w:tcPr>
          <w:p>
            <w:r>
              <w:rPr>
                <w:sz w:val="18"/>
              </w:rPr>
              <w:t>Annual steam kBtu 2021–2024 per building</w:t>
            </w:r>
          </w:p>
        </w:tc>
      </w:tr>
      <w:tr>
        <w:tc>
          <w:tcPr>
            <w:tcW w:type="dxa" w:w="2592"/>
          </w:tcPr>
          <w:p>
            <w:r>
              <w:rPr>
                <w:sz w:val="18"/>
              </w:rPr>
              <w:t>steam-buildings-geocoded.csv</w:t>
            </w:r>
          </w:p>
        </w:tc>
        <w:tc>
          <w:tcPr>
            <w:tcW w:type="dxa" w:w="2592"/>
          </w:tcPr>
          <w:p>
            <w:r>
              <w:rPr>
                <w:sz w:val="18"/>
              </w:rPr>
              <w:t>Above + PLUTO join</w:t>
            </w:r>
          </w:p>
        </w:tc>
        <w:tc>
          <w:tcPr>
            <w:tcW w:type="dxa" w:w="4032"/>
          </w:tcPr>
          <w:p>
            <w:r>
              <w:rPr>
                <w:sz w:val="18"/>
              </w:rPr>
              <w:t>BBL per building; used as join key for DOB</w:t>
            </w:r>
          </w:p>
        </w:tc>
      </w:tr>
      <w:tr>
        <w:tc>
          <w:tcPr>
            <w:tcW w:type="dxa" w:w="2592"/>
            <w:shd w:val="clear" w:color="auto" w:fill="EFF6FF"/>
          </w:tcPr>
          <w:p>
            <w:r>
              <w:rPr>
                <w:sz w:val="18"/>
              </w:rPr>
              <w:t>dob_now_heating_matched.json</w:t>
            </w:r>
          </w:p>
        </w:tc>
        <w:tc>
          <w:tcPr>
            <w:tcW w:type="dxa" w:w="2592"/>
            <w:shd w:val="clear" w:color="auto" w:fill="EFF6FF"/>
          </w:tcPr>
          <w:p>
            <w:r>
              <w:rPr>
                <w:sz w:val="18"/>
              </w:rPr>
              <w:t>NYC Open Data (DOB NOW w9ak-ipjd)</w:t>
            </w:r>
          </w:p>
        </w:tc>
        <w:tc>
          <w:tcPr>
            <w:tcW w:type="dxa" w:w="4032"/>
            <w:shd w:val="clear" w:color="auto" w:fill="EFF6FF"/>
          </w:tcPr>
          <w:p>
            <w:r>
              <w:rPr>
                <w:sz w:val="18"/>
              </w:rPr>
              <w:t>19,879 permit records 2019–2026-06-13</w:t>
            </w:r>
          </w:p>
        </w:tc>
      </w:tr>
      <w:tr>
        <w:tc>
          <w:tcPr>
            <w:tcW w:type="dxa" w:w="2592"/>
          </w:tcPr>
          <w:p>
            <w:r>
              <w:rPr>
                <w:sz w:val="18"/>
              </w:rPr>
              <w:t>peer_scores.json</w:t>
            </w:r>
          </w:p>
        </w:tc>
        <w:tc>
          <w:tcPr>
            <w:tcW w:type="dxa" w:w="2592"/>
          </w:tcPr>
          <w:p>
            <w:r>
              <w:rPr>
                <w:sz w:val="18"/>
              </w:rPr>
              <w:t>Derived</w:t>
            </w:r>
          </w:p>
        </w:tc>
        <w:tc>
          <w:tcPr>
            <w:tcW w:type="dxa" w:w="4032"/>
          </w:tcPr>
          <w:p>
            <w:r>
              <w:rPr>
                <w:sz w:val="18"/>
              </w:rPr>
              <w:t>Z-score of EUI vs. same use-type buildings</w:t>
            </w:r>
          </w:p>
        </w:tc>
      </w:tr>
      <w:tr>
        <w:tc>
          <w:tcPr>
            <w:tcW w:type="dxa" w:w="2592"/>
            <w:shd w:val="clear" w:color="auto" w:fill="EFF6FF"/>
          </w:tcPr>
          <w:p>
            <w:r>
              <w:rPr>
                <w:sz w:val="18"/>
              </w:rPr>
              <w:t>steam_trend_signals.json</w:t>
            </w:r>
          </w:p>
        </w:tc>
        <w:tc>
          <w:tcPr>
            <w:tcW w:type="dxa" w:w="2592"/>
            <w:shd w:val="clear" w:color="auto" w:fill="EFF6FF"/>
          </w:tcPr>
          <w:p>
            <w:r>
              <w:rPr>
                <w:sz w:val="18"/>
              </w:rPr>
              <w:t>Derived</w:t>
            </w:r>
          </w:p>
        </w:tc>
        <w:tc>
          <w:tcPr>
            <w:tcW w:type="dxa" w:w="4032"/>
            <w:shd w:val="clear" w:color="auto" w:fill="EFF6FF"/>
          </w:tcPr>
          <w:p>
            <w:r>
              <w:rPr>
                <w:sz w:val="18"/>
              </w:rPr>
              <w:t>YoY steam trend label: big_drop / moderate_drop / stable / growth</w:t>
            </w:r>
          </w:p>
        </w:tc>
      </w:tr>
    </w:tbl>
    <w:p/>
    <w:p>
      <w:pPr>
        <w:pStyle w:val="Heading2"/>
        <w:jc w:val="left"/>
      </w:pPr>
      <w:r>
        <w:rPr>
          <w:color w:val="C81D25"/>
          <w:sz w:val="28"/>
        </w:rPr>
        <w:t>2.2  BBL Join Logic</w:t>
      </w:r>
    </w:p>
    <w:p>
      <w:r>
        <w:rPr>
          <w:b w:val="0"/>
          <w:sz w:val="20"/>
        </w:rPr>
        <w:t>NYC buildings are identified by BBL (Borough-Block-Lot). The dashboard joins ConEd steam accounts to DOB permits via BBL rather than address string (addresses are inconsistent across datasets).</w:t>
      </w:r>
    </w:p>
    <w:p/>
    <w:p>
      <w:pPr>
        <w:spacing w:before="80" w:after="80"/>
        <w:ind w:left="576"/>
        <w:shd w:val="clear" w:color="auto" w:fill="F1F5F9"/>
      </w:pPr>
      <w:r>
        <w:rPr>
          <w:b/>
          <w:sz w:val="20"/>
        </w:rPr>
        <w:t xml:space="preserve">  BBL decode:  </w:t>
      </w:r>
      <w:r>
        <w:rPr>
          <w:rFonts w:ascii="Courier New" w:hAnsi="Courier New"/>
          <w:b/>
          <w:sz w:val="20"/>
        </w:rPr>
        <w:t>borough = bbl // 1_000_000_000</w:t>
        <w:br/>
        <w:t xml:space="preserve">  block   = (bbl % 1_000_000_000) // 10_000</w:t>
        <w:br/>
        <w:t xml:space="preserve">  lot     = bbl % 10_000</w:t>
      </w:r>
    </w:p>
    <w:p>
      <w:pPr>
        <w:ind w:left="576"/>
      </w:pPr>
      <w:r>
        <w:rPr>
          <w:color w:val="475669"/>
          <w:sz w:val="18"/>
        </w:rPr>
        <w:t xml:space="preserve">  → Borough 1 = Manhattan. API returns unpadded block/lot (e.g. '1172' not '01172').</w:t>
      </w:r>
    </w:p>
    <w:p/>
    <w:p>
      <w:pPr>
        <w:pStyle w:val="Heading2"/>
        <w:jc w:val="left"/>
      </w:pPr>
      <w:r>
        <w:rPr>
          <w:color w:val="C81D25"/>
          <w:sz w:val="28"/>
        </w:rPr>
        <w:t>2.3  DOB Permit Update Procedure</w:t>
      </w:r>
    </w:p>
    <w:p>
      <w:r>
        <w:rPr>
          <w:b w:val="0"/>
          <w:sz w:val="20"/>
        </w:rPr>
        <w:t>Incremental updates run via update_dob_jobs.py. The script fetches records since CUTOFF_DATE in chunks of 20 block+lot pairs per API call to avoid URL length limits.</w:t>
      </w:r>
    </w:p>
    <w:p/>
    <w:tbl>
      <w:tblPr>
        <w:tblStyle w:val="TableGrid"/>
        <w:tblW w:type="auto" w:w="0"/>
        <w:tblLook w:firstColumn="1" w:firstRow="1" w:lastColumn="0" w:lastRow="0" w:noHBand="0" w:noVBand="1" w:val="04A0"/>
      </w:tblPr>
      <w:tblGrid>
        <w:gridCol w:w="4680"/>
        <w:gridCol w:w="4680"/>
      </w:tblGrid>
      <w:tr>
        <w:tc>
          <w:tcPr>
            <w:tcW w:type="dxa" w:w="576"/>
            <w:shd w:val="clear" w:color="auto" w:fill="1E3A5F"/>
          </w:tcPr>
          <w:p>
            <w:r>
              <w:rPr>
                <w:b/>
                <w:color w:val="FFFFFF"/>
                <w:sz w:val="18"/>
              </w:rPr>
              <w:t>Step</w:t>
            </w:r>
          </w:p>
        </w:tc>
        <w:tc>
          <w:tcPr>
            <w:tcW w:type="dxa" w:w="8640"/>
            <w:shd w:val="clear" w:color="auto" w:fill="1E3A5F"/>
          </w:tcPr>
          <w:p>
            <w:r>
              <w:rPr>
                <w:b/>
                <w:color w:val="FFFFFF"/>
                <w:sz w:val="18"/>
              </w:rPr>
              <w:t>Action</w:t>
            </w:r>
          </w:p>
        </w:tc>
      </w:tr>
      <w:tr>
        <w:tc>
          <w:tcPr>
            <w:tcW w:type="dxa" w:w="576"/>
          </w:tcPr>
          <w:p>
            <w:r>
              <w:rPr>
                <w:sz w:val="18"/>
              </w:rPr>
              <w:t>1</w:t>
            </w:r>
          </w:p>
        </w:tc>
        <w:tc>
          <w:tcPr>
            <w:tcW w:type="dxa" w:w="8640"/>
          </w:tcPr>
          <w:p>
            <w:r>
              <w:rPr>
                <w:sz w:val="18"/>
              </w:rPr>
              <w:t>Parse all BBLs from steam-buildings-geocoded.csv → set of (block, lot) pairs</w:t>
            </w:r>
          </w:p>
        </w:tc>
      </w:tr>
      <w:tr>
        <w:tc>
          <w:tcPr>
            <w:tcW w:type="dxa" w:w="576"/>
            <w:shd w:val="clear" w:color="auto" w:fill="EFF6FF"/>
          </w:tcPr>
          <w:p>
            <w:r>
              <w:rPr>
                <w:sz w:val="18"/>
              </w:rPr>
              <w:t>2</w:t>
            </w:r>
          </w:p>
        </w:tc>
        <w:tc>
          <w:tcPr>
            <w:tcW w:type="dxa" w:w="8640"/>
            <w:shd w:val="clear" w:color="auto" w:fill="EFF6FF"/>
          </w:tcPr>
          <w:p>
            <w:r>
              <w:rPr>
                <w:sz w:val="18"/>
              </w:rPr>
              <w:t>Load existing dob_now_heating_matched.json → build deduplication key set</w:t>
            </w:r>
          </w:p>
        </w:tc>
      </w:tr>
      <w:tr>
        <w:tc>
          <w:tcPr>
            <w:tcW w:type="dxa" w:w="576"/>
          </w:tcPr>
          <w:p>
            <w:r>
              <w:rPr>
                <w:sz w:val="18"/>
              </w:rPr>
              <w:t>3</w:t>
            </w:r>
          </w:p>
        </w:tc>
        <w:tc>
          <w:tcPr>
            <w:tcW w:type="dxa" w:w="8640"/>
          </w:tcPr>
          <w:p>
            <w:r>
              <w:rPr>
                <w:sz w:val="18"/>
              </w:rPr>
              <w:t>Fetch from DOB NOW API (w9ak-ipjd) where filing_date &gt; CUTOFF and borough='MANHATTAN'</w:t>
            </w:r>
          </w:p>
        </w:tc>
      </w:tr>
      <w:tr>
        <w:tc>
          <w:tcPr>
            <w:tcW w:type="dxa" w:w="576"/>
            <w:shd w:val="clear" w:color="auto" w:fill="EFF6FF"/>
          </w:tcPr>
          <w:p>
            <w:r>
              <w:rPr>
                <w:sz w:val="18"/>
              </w:rPr>
              <w:t>4</w:t>
            </w:r>
          </w:p>
        </w:tc>
        <w:tc>
          <w:tcPr>
            <w:tcW w:type="dxa" w:w="8640"/>
            <w:shd w:val="clear" w:color="auto" w:fill="EFF6FF"/>
          </w:tcPr>
          <w:p>
            <w:r>
              <w:rPr>
                <w:sz w:val="18"/>
              </w:rPr>
              <w:t>Deduplicate on (block, lot, filing_date[:10], job_type)</w:t>
            </w:r>
          </w:p>
        </w:tc>
      </w:tr>
      <w:tr>
        <w:tc>
          <w:tcPr>
            <w:tcW w:type="dxa" w:w="576"/>
          </w:tcPr>
          <w:p>
            <w:r>
              <w:rPr>
                <w:sz w:val="18"/>
              </w:rPr>
              <w:t>5</w:t>
            </w:r>
          </w:p>
        </w:tc>
        <w:tc>
          <w:tcPr>
            <w:tcW w:type="dxa" w:w="8640"/>
          </w:tcPr>
          <w:p>
            <w:r>
              <w:rPr>
                <w:sz w:val="18"/>
              </w:rPr>
              <w:t>Merge and rewrite dob_now_heating_matched.json</w:t>
            </w:r>
          </w:p>
        </w:tc>
      </w:tr>
      <w:tr>
        <w:tc>
          <w:tcPr>
            <w:tcW w:type="dxa" w:w="576"/>
            <w:shd w:val="clear" w:color="auto" w:fill="EFF6FF"/>
          </w:tcPr>
          <w:p>
            <w:r>
              <w:rPr>
                <w:sz w:val="18"/>
              </w:rPr>
              <w:t>6</w:t>
            </w:r>
          </w:p>
        </w:tc>
        <w:tc>
          <w:tcPr>
            <w:tcW w:type="dxa" w:w="8640"/>
            <w:shd w:val="clear" w:color="auto" w:fill="EFF6FF"/>
          </w:tcPr>
          <w:p>
            <w:r>
              <w:rPr>
                <w:sz w:val="18"/>
              </w:rPr>
              <w:t>Recount dob_jobs per building using 24-month rolling window</w:t>
            </w:r>
          </w:p>
        </w:tc>
      </w:tr>
      <w:tr>
        <w:tc>
          <w:tcPr>
            <w:tcW w:type="dxa" w:w="576"/>
          </w:tcPr>
          <w:p>
            <w:r>
              <w:rPr>
                <w:sz w:val="18"/>
              </w:rPr>
              <w:t>7</w:t>
            </w:r>
          </w:p>
        </w:tc>
        <w:tc>
          <w:tcPr>
            <w:tcW w:type="dxa" w:w="8640"/>
          </w:tcPr>
          <w:p>
            <w:r>
              <w:rPr>
                <w:sz w:val="18"/>
              </w:rPr>
              <w:t>Update buildingEnrichment.json → recompute log_dob_jobs</w:t>
            </w:r>
          </w:p>
        </w:tc>
      </w:tr>
      <w:tr>
        <w:tc>
          <w:tcPr>
            <w:tcW w:type="dxa" w:w="576"/>
            <w:shd w:val="clear" w:color="auto" w:fill="EFF6FF"/>
          </w:tcPr>
          <w:p>
            <w:r>
              <w:rPr>
                <w:sz w:val="18"/>
              </w:rPr>
              <w:t>8</w:t>
            </w:r>
          </w:p>
        </w:tc>
        <w:tc>
          <w:tcPr>
            <w:tcW w:type="dxa" w:w="8640"/>
            <w:shd w:val="clear" w:color="auto" w:fill="EFF6FF"/>
          </w:tcPr>
          <w:p>
            <w:r>
              <w:rPr>
                <w:sz w:val="18"/>
              </w:rPr>
              <w:t>Re-run kmeans_model.py then ll97_model.py to rebuild all ML scores</w:t>
            </w:r>
          </w:p>
        </w:tc>
      </w:tr>
    </w:tbl>
    <w:p>
      <w:r>
        <w:br w:type="page"/>
      </w:r>
    </w:p>
    <w:p>
      <w:pPr>
        <w:pStyle w:val="Heading1"/>
        <w:jc w:val="left"/>
      </w:pPr>
      <w:r>
        <w:rPr>
          <w:color w:val="C81D25"/>
          <w:sz w:val="36"/>
        </w:rPr>
        <w:t>Section 3 — Machine Learning Pipeline</w:t>
      </w:r>
    </w:p>
    <w:p>
      <w:pPr>
        <w:pStyle w:val="Heading2"/>
        <w:jc w:val="left"/>
      </w:pPr>
      <w:r>
        <w:rPr>
          <w:color w:val="C81D25"/>
          <w:sz w:val="28"/>
        </w:rPr>
        <w:t>3.1  K-Means Clustering (Archetype Assignment)</w:t>
      </w:r>
    </w:p>
    <w:p>
      <w:r>
        <w:rPr>
          <w:b w:val="0"/>
          <w:sz w:val="20"/>
        </w:rPr>
        <w:t>All 1,210 buildings are clustered into K=5 archetypes using sklearn KMeans on standardized features. The K was selected by balancing Silhouette score and Calinski-Harabasz index (K=5 offered the best interpretability vs. statistical separation tradeoff).</w:t>
      </w:r>
    </w:p>
    <w:p/>
    <w:p>
      <w:pPr>
        <w:pStyle w:val="Heading3"/>
        <w:jc w:val="left"/>
      </w:pPr>
      <w:r>
        <w:rPr>
          <w:sz w:val="24"/>
        </w:rPr>
        <w:t>Features used for clustering:</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1E3A5F"/>
          </w:tcPr>
          <w:p>
            <w:r>
              <w:rPr>
                <w:b/>
                <w:color w:val="FFFFFF"/>
                <w:sz w:val="18"/>
              </w:rPr>
              <w:t>Feature</w:t>
            </w:r>
          </w:p>
        </w:tc>
        <w:tc>
          <w:tcPr>
            <w:tcW w:type="dxa" w:w="2304"/>
            <w:shd w:val="clear" w:color="auto" w:fill="1E3A5F"/>
          </w:tcPr>
          <w:p>
            <w:r>
              <w:rPr>
                <w:b/>
                <w:color w:val="FFFFFF"/>
                <w:sz w:val="18"/>
              </w:rPr>
              <w:t>Source</w:t>
            </w:r>
          </w:p>
        </w:tc>
        <w:tc>
          <w:tcPr>
            <w:tcW w:type="dxa" w:w="4752"/>
            <w:shd w:val="clear" w:color="auto" w:fill="1E3A5F"/>
          </w:tcPr>
          <w:p>
            <w:r>
              <w:rPr>
                <w:b/>
                <w:color w:val="FFFFFF"/>
                <w:sz w:val="18"/>
              </w:rPr>
              <w:t>Role</w:t>
            </w:r>
          </w:p>
        </w:tc>
      </w:tr>
      <w:tr>
        <w:tc>
          <w:tcPr>
            <w:tcW w:type="dxa" w:w="2160"/>
          </w:tcPr>
          <w:p>
            <w:r>
              <w:rPr>
                <w:sz w:val="18"/>
              </w:rPr>
              <w:t>log_steam</w:t>
            </w:r>
          </w:p>
        </w:tc>
        <w:tc>
          <w:tcPr>
            <w:tcW w:type="dxa" w:w="2304"/>
          </w:tcPr>
          <w:p>
            <w:r>
              <w:rPr>
                <w:sz w:val="18"/>
              </w:rPr>
              <w:t>log1p(steam kBtu/yr)</w:t>
            </w:r>
          </w:p>
        </w:tc>
        <w:tc>
          <w:tcPr>
            <w:tcW w:type="dxa" w:w="4752"/>
          </w:tcPr>
          <w:p>
            <w:r>
              <w:rPr>
                <w:sz w:val="18"/>
              </w:rPr>
              <w:t>Primary consumption signal; log-compressed for scale</w:t>
            </w:r>
          </w:p>
        </w:tc>
      </w:tr>
      <w:tr>
        <w:tc>
          <w:tcPr>
            <w:tcW w:type="dxa" w:w="2160"/>
            <w:shd w:val="clear" w:color="auto" w:fill="EFF6FF"/>
          </w:tcPr>
          <w:p>
            <w:r>
              <w:rPr>
                <w:sz w:val="18"/>
              </w:rPr>
              <w:t>year_built</w:t>
            </w:r>
          </w:p>
        </w:tc>
        <w:tc>
          <w:tcPr>
            <w:tcW w:type="dxa" w:w="2304"/>
            <w:shd w:val="clear" w:color="auto" w:fill="EFF6FF"/>
          </w:tcPr>
          <w:p>
            <w:r>
              <w:rPr>
                <w:sz w:val="18"/>
              </w:rPr>
              <w:t>Construction year</w:t>
            </w:r>
          </w:p>
        </w:tc>
        <w:tc>
          <w:tcPr>
            <w:tcW w:type="dxa" w:w="4752"/>
            <w:shd w:val="clear" w:color="auto" w:fill="EFF6FF"/>
          </w:tcPr>
          <w:p>
            <w:r>
              <w:rPr>
                <w:sz w:val="18"/>
              </w:rPr>
              <w:t>Pre-war vs. post-war capital stock proxy</w:t>
            </w:r>
          </w:p>
        </w:tc>
      </w:tr>
      <w:tr>
        <w:tc>
          <w:tcPr>
            <w:tcW w:type="dxa" w:w="2160"/>
          </w:tcPr>
          <w:p>
            <w:r>
              <w:rPr>
                <w:sz w:val="18"/>
              </w:rPr>
              <w:t>log_dob_jobs</w:t>
            </w:r>
          </w:p>
        </w:tc>
        <w:tc>
          <w:tcPr>
            <w:tcW w:type="dxa" w:w="2304"/>
          </w:tcPr>
          <w:p>
            <w:r>
              <w:rPr>
                <w:sz w:val="18"/>
              </w:rPr>
              <w:t>log1p(DOB permits, 24mo)</w:t>
            </w:r>
          </w:p>
        </w:tc>
        <w:tc>
          <w:tcPr>
            <w:tcW w:type="dxa" w:w="4752"/>
          </w:tcPr>
          <w:p>
            <w:r>
              <w:rPr>
                <w:sz w:val="18"/>
              </w:rPr>
              <w:t>Active investment signal; high = renovating</w:t>
            </w:r>
          </w:p>
        </w:tc>
      </w:tr>
      <w:tr>
        <w:tc>
          <w:tcPr>
            <w:tcW w:type="dxa" w:w="2160"/>
            <w:shd w:val="clear" w:color="auto" w:fill="EFF6FF"/>
          </w:tcPr>
          <w:p>
            <w:r>
              <w:rPr>
                <w:sz w:val="18"/>
              </w:rPr>
              <w:t>energy_star</w:t>
            </w:r>
          </w:p>
        </w:tc>
        <w:tc>
          <w:tcPr>
            <w:tcW w:type="dxa" w:w="2304"/>
            <w:shd w:val="clear" w:color="auto" w:fill="EFF6FF"/>
          </w:tcPr>
          <w:p>
            <w:r>
              <w:rPr>
                <w:sz w:val="18"/>
              </w:rPr>
              <w:t>Energy Star score 0–100</w:t>
            </w:r>
          </w:p>
        </w:tc>
        <w:tc>
          <w:tcPr>
            <w:tcW w:type="dxa" w:w="4752"/>
            <w:shd w:val="clear" w:color="auto" w:fill="EFF6FF"/>
          </w:tcPr>
          <w:p>
            <w:r>
              <w:rPr>
                <w:sz w:val="18"/>
              </w:rPr>
              <w:t>Efficiency peer benchmark; imputed by use-type median</w:t>
            </w:r>
          </w:p>
        </w:tc>
      </w:tr>
      <w:tr>
        <w:tc>
          <w:tcPr>
            <w:tcW w:type="dxa" w:w="2160"/>
          </w:tcPr>
          <w:p>
            <w:r>
              <w:rPr>
                <w:sz w:val="18"/>
              </w:rPr>
              <w:t>peer_score</w:t>
            </w:r>
          </w:p>
        </w:tc>
        <w:tc>
          <w:tcPr>
            <w:tcW w:type="dxa" w:w="2304"/>
          </w:tcPr>
          <w:p>
            <w:r>
              <w:rPr>
                <w:sz w:val="18"/>
              </w:rPr>
              <w:t>Z-score vs. peers</w:t>
            </w:r>
          </w:p>
        </w:tc>
        <w:tc>
          <w:tcPr>
            <w:tcW w:type="dxa" w:w="4752"/>
          </w:tcPr>
          <w:p>
            <w:r>
              <w:rPr>
                <w:sz w:val="18"/>
              </w:rPr>
              <w:t>EUI compared to same-use-type buildings</w:t>
            </w:r>
          </w:p>
        </w:tc>
      </w:tr>
      <w:tr>
        <w:tc>
          <w:tcPr>
            <w:tcW w:type="dxa" w:w="2160"/>
            <w:shd w:val="clear" w:color="auto" w:fill="EFF6FF"/>
          </w:tcPr>
          <w:p>
            <w:r>
              <w:rPr>
                <w:sz w:val="18"/>
              </w:rPr>
              <w:t>use_type_ord</w:t>
            </w:r>
          </w:p>
        </w:tc>
        <w:tc>
          <w:tcPr>
            <w:tcW w:type="dxa" w:w="2304"/>
            <w:shd w:val="clear" w:color="auto" w:fill="EFF6FF"/>
          </w:tcPr>
          <w:p>
            <w:r>
              <w:rPr>
                <w:sz w:val="18"/>
              </w:rPr>
              <w:t>Ordinal 1–4</w:t>
            </w:r>
          </w:p>
        </w:tc>
        <w:tc>
          <w:tcPr>
            <w:tcW w:type="dxa" w:w="4752"/>
            <w:shd w:val="clear" w:color="auto" w:fill="EFF6FF"/>
          </w:tcPr>
          <w:p>
            <w:r>
              <w:rPr>
                <w:sz w:val="18"/>
              </w:rPr>
              <w:t>Electrification sensitivity by use type</w:t>
            </w:r>
          </w:p>
        </w:tc>
      </w:tr>
    </w:tbl>
    <w:p/>
    <w:p>
      <w:pPr>
        <w:spacing w:before="80" w:after="80"/>
        <w:ind w:left="576"/>
        <w:shd w:val="clear" w:color="auto" w:fill="F1F5F9"/>
      </w:pPr>
      <w:r>
        <w:rPr>
          <w:b/>
          <w:sz w:val="20"/>
        </w:rPr>
        <w:t xml:space="preserve">  Silhouette score:  </w:t>
      </w:r>
      <w:r>
        <w:rPr>
          <w:rFonts w:ascii="Courier New" w:hAnsi="Courier New"/>
          <w:b/>
          <w:sz w:val="20"/>
        </w:rPr>
        <w:t>s(i) = (b(i) − a(i)) / max(a(i), b(i))</w:t>
      </w:r>
    </w:p>
    <w:p>
      <w:pPr>
        <w:ind w:left="576"/>
      </w:pPr>
      <w:r>
        <w:rPr>
          <w:color w:val="475669"/>
          <w:sz w:val="18"/>
        </w:rPr>
        <w:t xml:space="preserve">  → a(i) = avg intra-cluster distance; b(i) = avg nearest-cluster distance. Range: −1 to 1. Achieved: 0.191 at K=5.</w:t>
      </w:r>
    </w:p>
    <w:p/>
    <w:p>
      <w:pPr>
        <w:jc w:val="center"/>
      </w:pPr>
      <w:r>
        <w:drawing>
          <wp:inline xmlns:a="http://schemas.openxmlformats.org/drawingml/2006/main" xmlns:pic="http://schemas.openxmlformats.org/drawingml/2006/picture">
            <wp:extent cx="5029200" cy="247003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470037"/>
                    </a:xfrm>
                    <a:prstGeom prst="rect"/>
                  </pic:spPr>
                </pic:pic>
              </a:graphicData>
            </a:graphic>
          </wp:inline>
        </w:drawing>
      </w:r>
    </w:p>
    <w:p/>
    <w:p>
      <w:pPr>
        <w:pStyle w:val="Heading2"/>
        <w:jc w:val="left"/>
      </w:pPr>
      <w:r>
        <w:rPr>
          <w:color w:val="C81D25"/>
          <w:sz w:val="28"/>
        </w:rPr>
        <w:t>3.2  Five Archetypes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360"/>
            <w:shd w:val="clear" w:color="auto" w:fill="1E3A5F"/>
          </w:tcPr>
          <w:p>
            <w:r>
              <w:rPr>
                <w:b/>
                <w:color w:val="FFFFFF"/>
                <w:sz w:val="18"/>
              </w:rPr>
              <w:t>ID</w:t>
            </w:r>
          </w:p>
        </w:tc>
        <w:tc>
          <w:tcPr>
            <w:tcW w:type="dxa" w:w="3312"/>
            <w:shd w:val="clear" w:color="auto" w:fill="1E3A5F"/>
          </w:tcPr>
          <w:p>
            <w:r>
              <w:rPr>
                <w:b/>
                <w:color w:val="FFFFFF"/>
                <w:sz w:val="18"/>
              </w:rPr>
              <w:t>Archetype Name</w:t>
            </w:r>
          </w:p>
        </w:tc>
        <w:tc>
          <w:tcPr>
            <w:tcW w:type="dxa" w:w="864"/>
            <w:shd w:val="clear" w:color="auto" w:fill="1E3A5F"/>
          </w:tcPr>
          <w:p>
            <w:r>
              <w:rPr>
                <w:b/>
                <w:color w:val="FFFFFF"/>
                <w:sz w:val="18"/>
              </w:rPr>
              <w:t>Risk</w:t>
            </w:r>
          </w:p>
        </w:tc>
        <w:tc>
          <w:tcPr>
            <w:tcW w:type="dxa" w:w="720"/>
            <w:shd w:val="clear" w:color="auto" w:fill="1E3A5F"/>
          </w:tcPr>
          <w:p>
            <w:r>
              <w:rPr>
                <w:b/>
                <w:color w:val="FFFFFF"/>
                <w:sz w:val="18"/>
              </w:rPr>
              <w:t>Count</w:t>
            </w:r>
          </w:p>
        </w:tc>
        <w:tc>
          <w:tcPr>
            <w:tcW w:type="dxa" w:w="1440"/>
            <w:shd w:val="clear" w:color="auto" w:fill="1E3A5F"/>
          </w:tcPr>
          <w:p>
            <w:r>
              <w:rPr>
                <w:b/>
                <w:color w:val="FFFFFF"/>
                <w:sz w:val="18"/>
              </w:rPr>
              <w:t>Avg Steam</w:t>
            </w:r>
          </w:p>
        </w:tc>
        <w:tc>
          <w:tcPr>
            <w:tcW w:type="dxa" w:w="792"/>
            <w:shd w:val="clear" w:color="auto" w:fill="1E3A5F"/>
          </w:tcPr>
          <w:p>
            <w:r>
              <w:rPr>
                <w:b/>
                <w:color w:val="FFFFFF"/>
                <w:sz w:val="18"/>
              </w:rPr>
              <w:t>Avg Yr</w:t>
            </w:r>
          </w:p>
        </w:tc>
        <w:tc>
          <w:tcPr>
            <w:tcW w:type="dxa" w:w="2160"/>
            <w:shd w:val="clear" w:color="auto" w:fill="1E3A5F"/>
          </w:tcPr>
          <w:p>
            <w:r>
              <w:rPr>
                <w:b/>
                <w:color w:val="FFFFFF"/>
                <w:sz w:val="18"/>
              </w:rPr>
              <w:t>Key Signal</w:t>
            </w:r>
          </w:p>
        </w:tc>
      </w:tr>
      <w:tr>
        <w:tc>
          <w:tcPr>
            <w:tcW w:type="dxa" w:w="360"/>
          </w:tcPr>
          <w:p>
            <w:r>
              <w:rPr>
                <w:sz w:val="18"/>
              </w:rPr>
              <w:t>0</w:t>
            </w:r>
          </w:p>
        </w:tc>
        <w:tc>
          <w:tcPr>
            <w:tcW w:type="dxa" w:w="3312"/>
          </w:tcPr>
          <w:p>
            <w:r>
              <w:rPr>
                <w:sz w:val="18"/>
              </w:rPr>
              <w:t>Pre-War Active — Permit-Driven Churn</w:t>
            </w:r>
          </w:p>
        </w:tc>
        <w:tc>
          <w:tcPr>
            <w:tcW w:type="dxa" w:w="864"/>
          </w:tcPr>
          <w:p>
            <w:r>
              <w:rPr>
                <w:sz w:val="18"/>
              </w:rPr>
              <w:t>High</w:t>
            </w:r>
          </w:p>
        </w:tc>
        <w:tc>
          <w:tcPr>
            <w:tcW w:type="dxa" w:w="720"/>
          </w:tcPr>
          <w:p>
            <w:r>
              <w:rPr>
                <w:sz w:val="18"/>
              </w:rPr>
              <w:t>269</w:t>
            </w:r>
          </w:p>
        </w:tc>
        <w:tc>
          <w:tcPr>
            <w:tcW w:type="dxa" w:w="1440"/>
          </w:tcPr>
          <w:p>
            <w:r>
              <w:rPr>
                <w:sz w:val="18"/>
              </w:rPr>
              <w:t>30.7M kBtu avg</w:t>
            </w:r>
          </w:p>
        </w:tc>
        <w:tc>
          <w:tcPr>
            <w:tcW w:type="dxa" w:w="792"/>
          </w:tcPr>
          <w:p>
            <w:r>
              <w:rPr>
                <w:sz w:val="18"/>
              </w:rPr>
              <w:t>1963</w:t>
            </w:r>
          </w:p>
        </w:tc>
        <w:tc>
          <w:tcPr>
            <w:tcW w:type="dxa" w:w="2160"/>
          </w:tcPr>
          <w:p>
            <w:r>
              <w:rPr>
                <w:sz w:val="18"/>
              </w:rPr>
              <w:t>Low DOB → high churn signal from capital activity</w:t>
            </w:r>
          </w:p>
        </w:tc>
      </w:tr>
      <w:tr>
        <w:tc>
          <w:tcPr>
            <w:tcW w:type="dxa" w:w="360"/>
            <w:shd w:val="clear" w:color="auto" w:fill="EFF6FF"/>
          </w:tcPr>
          <w:p>
            <w:r>
              <w:rPr>
                <w:sz w:val="18"/>
              </w:rPr>
              <w:t>1</w:t>
            </w:r>
          </w:p>
        </w:tc>
        <w:tc>
          <w:tcPr>
            <w:tcW w:type="dxa" w:w="3312"/>
            <w:shd w:val="clear" w:color="auto" w:fill="EFF6FF"/>
          </w:tcPr>
          <w:p>
            <w:r>
              <w:rPr>
                <w:sz w:val="18"/>
              </w:rPr>
              <w:t>Mid-Size Post-War — Moderate Signal</w:t>
            </w:r>
          </w:p>
        </w:tc>
        <w:tc>
          <w:tcPr>
            <w:tcW w:type="dxa" w:w="864"/>
            <w:shd w:val="clear" w:color="auto" w:fill="EFF6FF"/>
          </w:tcPr>
          <w:p>
            <w:r>
              <w:rPr>
                <w:sz w:val="18"/>
              </w:rPr>
              <w:t>Medium</w:t>
            </w:r>
          </w:p>
        </w:tc>
        <w:tc>
          <w:tcPr>
            <w:tcW w:type="dxa" w:w="720"/>
            <w:shd w:val="clear" w:color="auto" w:fill="EFF6FF"/>
          </w:tcPr>
          <w:p>
            <w:r>
              <w:rPr>
                <w:sz w:val="18"/>
              </w:rPr>
              <w:t>189</w:t>
            </w:r>
          </w:p>
        </w:tc>
        <w:tc>
          <w:tcPr>
            <w:tcW w:type="dxa" w:w="1440"/>
            <w:shd w:val="clear" w:color="auto" w:fill="EFF6FF"/>
          </w:tcPr>
          <w:p>
            <w:r>
              <w:rPr>
                <w:sz w:val="18"/>
              </w:rPr>
              <w:t>13.2M kBtu avg</w:t>
            </w:r>
          </w:p>
        </w:tc>
        <w:tc>
          <w:tcPr>
            <w:tcW w:type="dxa" w:w="792"/>
            <w:shd w:val="clear" w:color="auto" w:fill="EFF6FF"/>
          </w:tcPr>
          <w:p>
            <w:r>
              <w:rPr>
                <w:sz w:val="18"/>
              </w:rPr>
              <w:t>1969</w:t>
            </w:r>
          </w:p>
        </w:tc>
        <w:tc>
          <w:tcPr>
            <w:tcW w:type="dxa" w:w="2160"/>
            <w:shd w:val="clear" w:color="auto" w:fill="EFF6FF"/>
          </w:tcPr>
          <w:p>
            <w:r>
              <w:rPr>
                <w:sz w:val="18"/>
              </w:rPr>
              <w:t>Low Energy Star (21) — underperforming, moderate pressure</w:t>
            </w:r>
          </w:p>
        </w:tc>
      </w:tr>
      <w:tr>
        <w:tc>
          <w:tcPr>
            <w:tcW w:type="dxa" w:w="360"/>
          </w:tcPr>
          <w:p>
            <w:r>
              <w:rPr>
                <w:sz w:val="18"/>
              </w:rPr>
              <w:t>2</w:t>
            </w:r>
          </w:p>
        </w:tc>
        <w:tc>
          <w:tcPr>
            <w:tcW w:type="dxa" w:w="3312"/>
          </w:tcPr>
          <w:p>
            <w:r>
              <w:rPr>
                <w:sz w:val="18"/>
              </w:rPr>
              <w:t>Pre-War Stable — Low Signal</w:t>
            </w:r>
          </w:p>
        </w:tc>
        <w:tc>
          <w:tcPr>
            <w:tcW w:type="dxa" w:w="864"/>
          </w:tcPr>
          <w:p>
            <w:r>
              <w:rPr>
                <w:sz w:val="18"/>
              </w:rPr>
              <w:t>Low</w:t>
            </w:r>
          </w:p>
        </w:tc>
        <w:tc>
          <w:tcPr>
            <w:tcW w:type="dxa" w:w="720"/>
          </w:tcPr>
          <w:p>
            <w:r>
              <w:rPr>
                <w:sz w:val="18"/>
              </w:rPr>
              <w:t>242</w:t>
            </w:r>
          </w:p>
        </w:tc>
        <w:tc>
          <w:tcPr>
            <w:tcW w:type="dxa" w:w="1440"/>
          </w:tcPr>
          <w:p>
            <w:r>
              <w:rPr>
                <w:sz w:val="18"/>
              </w:rPr>
              <w:t>3.5M kBtu avg</w:t>
            </w:r>
          </w:p>
        </w:tc>
        <w:tc>
          <w:tcPr>
            <w:tcW w:type="dxa" w:w="792"/>
          </w:tcPr>
          <w:p>
            <w:r>
              <w:rPr>
                <w:sz w:val="18"/>
              </w:rPr>
              <w:t>1934</w:t>
            </w:r>
          </w:p>
        </w:tc>
        <w:tc>
          <w:tcPr>
            <w:tcW w:type="dxa" w:w="2160"/>
          </w:tcPr>
          <w:p>
            <w:r>
              <w:rPr>
                <w:sz w:val="18"/>
              </w:rPr>
              <w:t>Good ES (72), older buildings, no strong churn signal</w:t>
            </w:r>
          </w:p>
        </w:tc>
      </w:tr>
      <w:tr>
        <w:tc>
          <w:tcPr>
            <w:tcW w:type="dxa" w:w="360"/>
            <w:shd w:val="clear" w:color="auto" w:fill="EFF6FF"/>
          </w:tcPr>
          <w:p>
            <w:r>
              <w:rPr>
                <w:sz w:val="18"/>
              </w:rPr>
              <w:t>3</w:t>
            </w:r>
          </w:p>
        </w:tc>
        <w:tc>
          <w:tcPr>
            <w:tcW w:type="dxa" w:w="3312"/>
            <w:shd w:val="clear" w:color="auto" w:fill="EFF6FF"/>
          </w:tcPr>
          <w:p>
            <w:r>
              <w:rPr>
                <w:sz w:val="18"/>
              </w:rPr>
              <w:t>Large Commercial — Capital Mobilized</w:t>
            </w:r>
          </w:p>
        </w:tc>
        <w:tc>
          <w:tcPr>
            <w:tcW w:type="dxa" w:w="864"/>
            <w:shd w:val="clear" w:color="auto" w:fill="EFF6FF"/>
          </w:tcPr>
          <w:p>
            <w:r>
              <w:rPr>
                <w:sz w:val="18"/>
              </w:rPr>
              <w:t>Medium</w:t>
            </w:r>
          </w:p>
        </w:tc>
        <w:tc>
          <w:tcPr>
            <w:tcW w:type="dxa" w:w="720"/>
            <w:shd w:val="clear" w:color="auto" w:fill="EFF6FF"/>
          </w:tcPr>
          <w:p>
            <w:r>
              <w:rPr>
                <w:sz w:val="18"/>
              </w:rPr>
              <w:t>263</w:t>
            </w:r>
          </w:p>
        </w:tc>
        <w:tc>
          <w:tcPr>
            <w:tcW w:type="dxa" w:w="1440"/>
            <w:shd w:val="clear" w:color="auto" w:fill="EFF6FF"/>
          </w:tcPr>
          <w:p>
            <w:r>
              <w:rPr>
                <w:sz w:val="18"/>
              </w:rPr>
              <w:t>4.6M kBtu avg</w:t>
            </w:r>
          </w:p>
        </w:tc>
        <w:tc>
          <w:tcPr>
            <w:tcW w:type="dxa" w:w="792"/>
            <w:shd w:val="clear" w:color="auto" w:fill="EFF6FF"/>
          </w:tcPr>
          <w:p>
            <w:r>
              <w:rPr>
                <w:sz w:val="18"/>
              </w:rPr>
              <w:t>1937</w:t>
            </w:r>
          </w:p>
        </w:tc>
        <w:tc>
          <w:tcPr>
            <w:tcW w:type="dxa" w:w="2160"/>
            <w:shd w:val="clear" w:color="auto" w:fill="EFF6FF"/>
          </w:tcPr>
          <w:p>
            <w:r>
              <w:rPr>
                <w:sz w:val="18"/>
              </w:rPr>
              <w:t>Pre-war commercial, low permits, stable base</w:t>
            </w:r>
          </w:p>
        </w:tc>
      </w:tr>
      <w:tr>
        <w:tc>
          <w:tcPr>
            <w:tcW w:type="dxa" w:w="360"/>
          </w:tcPr>
          <w:p>
            <w:r>
              <w:rPr>
                <w:sz w:val="18"/>
              </w:rPr>
              <w:t>4</w:t>
            </w:r>
          </w:p>
        </w:tc>
        <w:tc>
          <w:tcPr>
            <w:tcW w:type="dxa" w:w="3312"/>
          </w:tcPr>
          <w:p>
            <w:r>
              <w:rPr>
                <w:sz w:val="18"/>
              </w:rPr>
              <w:t>Low-Compliance Commercial — Quiet Attrition</w:t>
            </w:r>
          </w:p>
        </w:tc>
        <w:tc>
          <w:tcPr>
            <w:tcW w:type="dxa" w:w="864"/>
          </w:tcPr>
          <w:p>
            <w:r>
              <w:rPr>
                <w:sz w:val="18"/>
              </w:rPr>
              <w:t>High</w:t>
            </w:r>
          </w:p>
        </w:tc>
        <w:tc>
          <w:tcPr>
            <w:tcW w:type="dxa" w:w="720"/>
          </w:tcPr>
          <w:p>
            <w:r>
              <w:rPr>
                <w:sz w:val="18"/>
              </w:rPr>
              <w:t>247</w:t>
            </w:r>
          </w:p>
        </w:tc>
        <w:tc>
          <w:tcPr>
            <w:tcW w:type="dxa" w:w="1440"/>
          </w:tcPr>
          <w:p>
            <w:r>
              <w:rPr>
                <w:sz w:val="18"/>
              </w:rPr>
              <w:t>29.1M kBtu avg</w:t>
            </w:r>
          </w:p>
        </w:tc>
        <w:tc>
          <w:tcPr>
            <w:tcW w:type="dxa" w:w="792"/>
          </w:tcPr>
          <w:p>
            <w:r>
              <w:rPr>
                <w:sz w:val="18"/>
              </w:rPr>
              <w:t>1963</w:t>
            </w:r>
          </w:p>
        </w:tc>
        <w:tc>
          <w:tcPr>
            <w:tcW w:type="dxa" w:w="2160"/>
          </w:tcPr>
          <w:p>
            <w:r>
              <w:rPr>
                <w:sz w:val="18"/>
              </w:rPr>
              <w:t>High DOB (12.3 avg), 97% office — acute LL97 fine exposure</w:t>
            </w:r>
          </w:p>
        </w:tc>
      </w:tr>
    </w:tbl>
    <w:p>
      <w:r>
        <w:br w:type="page"/>
      </w:r>
    </w:p>
    <w:p>
      <w:pPr>
        <w:pStyle w:val="Heading2"/>
        <w:jc w:val="left"/>
      </w:pPr>
      <w:r>
        <w:rPr>
          <w:color w:val="C81D25"/>
          <w:sz w:val="28"/>
        </w:rPr>
        <w:t>3.3  Gradient Boosting Risk Classifier</w:t>
      </w:r>
    </w:p>
    <w:p>
      <w:r>
        <w:rPr>
          <w:b w:val="0"/>
          <w:sz w:val="20"/>
        </w:rPr>
        <w:t>After clustering, a supervised GradientBoostingClassifier produces a continuous 0–1 attrition probability per building. Training labels are derived from historical steam trend signals: buildings with a confirmed 'big_drop' in steam consumption are labeled positive (likely churner).</w:t>
      </w:r>
    </w:p>
    <w:p/>
    <w:p>
      <w:r>
        <w:rPr>
          <w:b/>
          <w:sz w:val="20"/>
        </w:rPr>
        <w:t>Important design decision:</w:t>
      </w:r>
    </w:p>
    <w:p>
      <w:r>
        <w:rPr>
          <w:b w:val="0"/>
          <w:sz w:val="20"/>
        </w:rPr>
        <w:t>Buildings labeled 'moderate_drop' were explicitly excluded from training. This produces the observed bimodal distribution — the model is a near-binary classifier, not a nuanced scorer. This is intentional: it maximizes precision on the high-risk tail at the cost of coverage in the middle band.</w:t>
      </w:r>
    </w:p>
    <w:p/>
    <w:p>
      <w:pPr>
        <w:pStyle w:val="Heading3"/>
        <w:jc w:val="left"/>
      </w:pPr>
      <w:r>
        <w:rPr>
          <w:sz w:val="24"/>
        </w:rPr>
        <w:t>GBM Features (12 total):</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E3A5F"/>
          </w:tcPr>
          <w:p>
            <w:r>
              <w:rPr>
                <w:b/>
                <w:color w:val="FFFFFF"/>
                <w:sz w:val="18"/>
              </w:rPr>
              <w:t>Feature</w:t>
            </w:r>
          </w:p>
        </w:tc>
        <w:tc>
          <w:tcPr>
            <w:tcW w:type="dxa" w:w="2016"/>
            <w:shd w:val="clear" w:color="auto" w:fill="1E3A5F"/>
          </w:tcPr>
          <w:p>
            <w:r>
              <w:rPr>
                <w:b/>
                <w:color w:val="FFFFFF"/>
                <w:sz w:val="18"/>
              </w:rPr>
              <w:t>Approx. Importance</w:t>
            </w:r>
          </w:p>
        </w:tc>
        <w:tc>
          <w:tcPr>
            <w:tcW w:type="dxa" w:w="4320"/>
            <w:shd w:val="clear" w:color="auto" w:fill="1E3A5F"/>
          </w:tcPr>
          <w:p>
            <w:r>
              <w:rPr>
                <w:b/>
                <w:color w:val="FFFFFF"/>
                <w:sz w:val="18"/>
              </w:rPr>
              <w:t>Interpretation</w:t>
            </w:r>
          </w:p>
        </w:tc>
      </w:tr>
      <w:tr>
        <w:tc>
          <w:tcPr>
            <w:tcW w:type="dxa" w:w="2880"/>
          </w:tcPr>
          <w:p>
            <w:r>
              <w:rPr>
                <w:sz w:val="18"/>
              </w:rPr>
              <w:t>ll97_penalty_2024_log</w:t>
            </w:r>
          </w:p>
        </w:tc>
        <w:tc>
          <w:tcPr>
            <w:tcW w:type="dxa" w:w="2016"/>
          </w:tcPr>
          <w:p>
            <w:r>
              <w:rPr>
                <w:sz w:val="18"/>
              </w:rPr>
              <w:t>~22%</w:t>
            </w:r>
          </w:p>
        </w:tc>
        <w:tc>
          <w:tcPr>
            <w:tcW w:type="dxa" w:w="4320"/>
          </w:tcPr>
          <w:p>
            <w:r>
              <w:rPr>
                <w:sz w:val="18"/>
              </w:rPr>
              <w:t>Dominant signal — acute financial pressure to switch</w:t>
            </w:r>
          </w:p>
        </w:tc>
      </w:tr>
      <w:tr>
        <w:tc>
          <w:tcPr>
            <w:tcW w:type="dxa" w:w="2880"/>
            <w:shd w:val="clear" w:color="auto" w:fill="EFF6FF"/>
          </w:tcPr>
          <w:p>
            <w:r>
              <w:rPr>
                <w:sz w:val="18"/>
              </w:rPr>
              <w:t>log_steam</w:t>
            </w:r>
          </w:p>
        </w:tc>
        <w:tc>
          <w:tcPr>
            <w:tcW w:type="dxa" w:w="2016"/>
            <w:shd w:val="clear" w:color="auto" w:fill="EFF6FF"/>
          </w:tcPr>
          <w:p>
            <w:r>
              <w:rPr>
                <w:sz w:val="18"/>
              </w:rPr>
              <w:t>~17%</w:t>
            </w:r>
          </w:p>
        </w:tc>
        <w:tc>
          <w:tcPr>
            <w:tcW w:type="dxa" w:w="4320"/>
            <w:shd w:val="clear" w:color="auto" w:fill="EFF6FF"/>
          </w:tcPr>
          <w:p>
            <w:r>
              <w:rPr>
                <w:sz w:val="18"/>
              </w:rPr>
              <w:t>Raw consumption volume</w:t>
            </w:r>
          </w:p>
        </w:tc>
      </w:tr>
      <w:tr>
        <w:tc>
          <w:tcPr>
            <w:tcW w:type="dxa" w:w="2880"/>
          </w:tcPr>
          <w:p>
            <w:r>
              <w:rPr>
                <w:sz w:val="18"/>
              </w:rPr>
              <w:t>ll97_over_2024</w:t>
            </w:r>
          </w:p>
        </w:tc>
        <w:tc>
          <w:tcPr>
            <w:tcW w:type="dxa" w:w="2016"/>
          </w:tcPr>
          <w:p>
            <w:r>
              <w:rPr>
                <w:sz w:val="18"/>
              </w:rPr>
              <w:t>~13%</w:t>
            </w:r>
          </w:p>
        </w:tc>
        <w:tc>
          <w:tcPr>
            <w:tcW w:type="dxa" w:w="4320"/>
          </w:tcPr>
          <w:p>
            <w:r>
              <w:rPr>
                <w:sz w:val="18"/>
              </w:rPr>
              <w:t>Binary: is building currently non-compliant?</w:t>
            </w:r>
          </w:p>
        </w:tc>
      </w:tr>
      <w:tr>
        <w:tc>
          <w:tcPr>
            <w:tcW w:type="dxa" w:w="2880"/>
            <w:shd w:val="clear" w:color="auto" w:fill="EFF6FF"/>
          </w:tcPr>
          <w:p>
            <w:r>
              <w:rPr>
                <w:sz w:val="18"/>
              </w:rPr>
              <w:t>log_ghg</w:t>
            </w:r>
          </w:p>
        </w:tc>
        <w:tc>
          <w:tcPr>
            <w:tcW w:type="dxa" w:w="2016"/>
            <w:shd w:val="clear" w:color="auto" w:fill="EFF6FF"/>
          </w:tcPr>
          <w:p>
            <w:r>
              <w:rPr>
                <w:sz w:val="18"/>
              </w:rPr>
              <w:t>~12%</w:t>
            </w:r>
          </w:p>
        </w:tc>
        <w:tc>
          <w:tcPr>
            <w:tcW w:type="dxa" w:w="4320"/>
            <w:shd w:val="clear" w:color="auto" w:fill="EFF6FF"/>
          </w:tcPr>
          <w:p>
            <w:r>
              <w:rPr>
                <w:sz w:val="18"/>
              </w:rPr>
              <w:t>GHG intensity</w:t>
            </w:r>
          </w:p>
        </w:tc>
      </w:tr>
      <w:tr>
        <w:tc>
          <w:tcPr>
            <w:tcW w:type="dxa" w:w="2880"/>
          </w:tcPr>
          <w:p>
            <w:r>
              <w:rPr>
                <w:sz w:val="18"/>
              </w:rPr>
              <w:t>peer_score</w:t>
            </w:r>
          </w:p>
        </w:tc>
        <w:tc>
          <w:tcPr>
            <w:tcW w:type="dxa" w:w="2016"/>
          </w:tcPr>
          <w:p>
            <w:r>
              <w:rPr>
                <w:sz w:val="18"/>
              </w:rPr>
              <w:t>~9%</w:t>
            </w:r>
          </w:p>
        </w:tc>
        <w:tc>
          <w:tcPr>
            <w:tcW w:type="dxa" w:w="4320"/>
          </w:tcPr>
          <w:p>
            <w:r>
              <w:rPr>
                <w:sz w:val="18"/>
              </w:rPr>
              <w:t>Relative efficiency vs. same-use peers</w:t>
            </w:r>
          </w:p>
        </w:tc>
      </w:tr>
      <w:tr>
        <w:tc>
          <w:tcPr>
            <w:tcW w:type="dxa" w:w="2880"/>
            <w:shd w:val="clear" w:color="auto" w:fill="EFF6FF"/>
          </w:tcPr>
          <w:p>
            <w:r>
              <w:rPr>
                <w:sz w:val="18"/>
              </w:rPr>
              <w:t>ll97_penalty_2030_log</w:t>
            </w:r>
          </w:p>
        </w:tc>
        <w:tc>
          <w:tcPr>
            <w:tcW w:type="dxa" w:w="2016"/>
            <w:shd w:val="clear" w:color="auto" w:fill="EFF6FF"/>
          </w:tcPr>
          <w:p>
            <w:r>
              <w:rPr>
                <w:sz w:val="18"/>
              </w:rPr>
              <w:t>~7%</w:t>
            </w:r>
          </w:p>
        </w:tc>
        <w:tc>
          <w:tcPr>
            <w:tcW w:type="dxa" w:w="4320"/>
            <w:shd w:val="clear" w:color="auto" w:fill="EFF6FF"/>
          </w:tcPr>
          <w:p>
            <w:r>
              <w:rPr>
                <w:sz w:val="18"/>
              </w:rPr>
              <w:t>Forward-looking pressure signal</w:t>
            </w:r>
          </w:p>
        </w:tc>
      </w:tr>
      <w:tr>
        <w:tc>
          <w:tcPr>
            <w:tcW w:type="dxa" w:w="2880"/>
          </w:tcPr>
          <w:p>
            <w:r>
              <w:rPr>
                <w:sz w:val="18"/>
              </w:rPr>
              <w:t>cluster_id</w:t>
            </w:r>
          </w:p>
        </w:tc>
        <w:tc>
          <w:tcPr>
            <w:tcW w:type="dxa" w:w="2016"/>
          </w:tcPr>
          <w:p>
            <w:r>
              <w:rPr>
                <w:sz w:val="18"/>
              </w:rPr>
              <w:t>~6%</w:t>
            </w:r>
          </w:p>
        </w:tc>
        <w:tc>
          <w:tcPr>
            <w:tcW w:type="dxa" w:w="4320"/>
          </w:tcPr>
          <w:p>
            <w:r>
              <w:rPr>
                <w:sz w:val="18"/>
              </w:rPr>
              <w:t>Archetype membership from K-means</w:t>
            </w:r>
          </w:p>
        </w:tc>
      </w:tr>
      <w:tr>
        <w:tc>
          <w:tcPr>
            <w:tcW w:type="dxa" w:w="2880"/>
            <w:shd w:val="clear" w:color="auto" w:fill="EFF6FF"/>
          </w:tcPr>
          <w:p>
            <w:r>
              <w:rPr>
                <w:sz w:val="18"/>
              </w:rPr>
              <w:t>steam_ghg_share</w:t>
            </w:r>
          </w:p>
        </w:tc>
        <w:tc>
          <w:tcPr>
            <w:tcW w:type="dxa" w:w="2016"/>
            <w:shd w:val="clear" w:color="auto" w:fill="EFF6FF"/>
          </w:tcPr>
          <w:p>
            <w:r>
              <w:rPr>
                <w:sz w:val="18"/>
              </w:rPr>
              <w:t>~5%</w:t>
            </w:r>
          </w:p>
        </w:tc>
        <w:tc>
          <w:tcPr>
            <w:tcW w:type="dxa" w:w="4320"/>
            <w:shd w:val="clear" w:color="auto" w:fill="EFF6FF"/>
          </w:tcPr>
          <w:p>
            <w:r>
              <w:rPr>
                <w:sz w:val="18"/>
              </w:rPr>
              <w:t>Fraction of building GHG attributable to steam</w:t>
            </w:r>
          </w:p>
        </w:tc>
      </w:tr>
      <w:tr>
        <w:tc>
          <w:tcPr>
            <w:tcW w:type="dxa" w:w="2880"/>
          </w:tcPr>
          <w:p>
            <w:r>
              <w:rPr>
                <w:sz w:val="18"/>
              </w:rPr>
              <w:t>energy_star</w:t>
            </w:r>
          </w:p>
        </w:tc>
        <w:tc>
          <w:tcPr>
            <w:tcW w:type="dxa" w:w="2016"/>
          </w:tcPr>
          <w:p>
            <w:r>
              <w:rPr>
                <w:sz w:val="18"/>
              </w:rPr>
              <w:t>~4%</w:t>
            </w:r>
          </w:p>
        </w:tc>
        <w:tc>
          <w:tcPr>
            <w:tcW w:type="dxa" w:w="4320"/>
          </w:tcPr>
          <w:p>
            <w:r>
              <w:rPr>
                <w:sz w:val="18"/>
              </w:rPr>
              <w:t>Efficiency benchmark</w:t>
            </w:r>
          </w:p>
        </w:tc>
      </w:tr>
      <w:tr>
        <w:tc>
          <w:tcPr>
            <w:tcW w:type="dxa" w:w="2880"/>
            <w:shd w:val="clear" w:color="auto" w:fill="EFF6FF"/>
          </w:tcPr>
          <w:p>
            <w:r>
              <w:rPr>
                <w:sz w:val="18"/>
              </w:rPr>
              <w:t>year_built</w:t>
            </w:r>
          </w:p>
        </w:tc>
        <w:tc>
          <w:tcPr>
            <w:tcW w:type="dxa" w:w="2016"/>
            <w:shd w:val="clear" w:color="auto" w:fill="EFF6FF"/>
          </w:tcPr>
          <w:p>
            <w:r>
              <w:rPr>
                <w:sz w:val="18"/>
              </w:rPr>
              <w:t>~2%</w:t>
            </w:r>
          </w:p>
        </w:tc>
        <w:tc>
          <w:tcPr>
            <w:tcW w:type="dxa" w:w="4320"/>
            <w:shd w:val="clear" w:color="auto" w:fill="EFF6FF"/>
          </w:tcPr>
          <w:p>
            <w:r>
              <w:rPr>
                <w:sz w:val="18"/>
              </w:rPr>
              <w:t>Building age proxy</w:t>
            </w:r>
          </w:p>
        </w:tc>
      </w:tr>
      <w:tr>
        <w:tc>
          <w:tcPr>
            <w:tcW w:type="dxa" w:w="2880"/>
          </w:tcPr>
          <w:p>
            <w:r>
              <w:rPr>
                <w:sz w:val="18"/>
              </w:rPr>
              <w:t>log_dob_jobs</w:t>
            </w:r>
          </w:p>
        </w:tc>
        <w:tc>
          <w:tcPr>
            <w:tcW w:type="dxa" w:w="2016"/>
          </w:tcPr>
          <w:p>
            <w:r>
              <w:rPr>
                <w:sz w:val="18"/>
              </w:rPr>
              <w:t>~2%</w:t>
            </w:r>
          </w:p>
        </w:tc>
        <w:tc>
          <w:tcPr>
            <w:tcW w:type="dxa" w:w="4320"/>
          </w:tcPr>
          <w:p>
            <w:r>
              <w:rPr>
                <w:sz w:val="18"/>
              </w:rPr>
              <w:t>24-month permit activity</w:t>
            </w:r>
          </w:p>
        </w:tc>
      </w:tr>
      <w:tr>
        <w:tc>
          <w:tcPr>
            <w:tcW w:type="dxa" w:w="2880"/>
            <w:shd w:val="clear" w:color="auto" w:fill="EFF6FF"/>
          </w:tcPr>
          <w:p>
            <w:r>
              <w:rPr>
                <w:sz w:val="18"/>
              </w:rPr>
              <w:t>use_type_ord</w:t>
            </w:r>
          </w:p>
        </w:tc>
        <w:tc>
          <w:tcPr>
            <w:tcW w:type="dxa" w:w="2016"/>
            <w:shd w:val="clear" w:color="auto" w:fill="EFF6FF"/>
          </w:tcPr>
          <w:p>
            <w:r>
              <w:rPr>
                <w:sz w:val="18"/>
              </w:rPr>
              <w:t>~1%</w:t>
            </w:r>
          </w:p>
        </w:tc>
        <w:tc>
          <w:tcPr>
            <w:tcW w:type="dxa" w:w="4320"/>
            <w:shd w:val="clear" w:color="auto" w:fill="EFF6FF"/>
          </w:tcPr>
          <w:p>
            <w:r>
              <w:rPr>
                <w:sz w:val="18"/>
              </w:rPr>
              <w:t>Electrification sensitivity ordinal</w:t>
            </w:r>
          </w:p>
        </w:tc>
      </w:tr>
    </w:tbl>
    <w:p/>
    <w:p>
      <w:pPr>
        <w:jc w:val="center"/>
      </w:pPr>
      <w:r>
        <w:drawing>
          <wp:inline xmlns:a="http://schemas.openxmlformats.org/drawingml/2006/main" xmlns:pic="http://schemas.openxmlformats.org/drawingml/2006/picture">
            <wp:extent cx="5029200" cy="309619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096194"/>
                    </a:xfrm>
                    <a:prstGeom prst="rect"/>
                  </pic:spPr>
                </pic:pic>
              </a:graphicData>
            </a:graphic>
          </wp:inline>
        </w:drawing>
      </w:r>
    </w:p>
    <w:p/>
    <w:p>
      <w:pPr>
        <w:jc w:val="center"/>
      </w:pPr>
      <w:r>
        <w:drawing>
          <wp:inline xmlns:a="http://schemas.openxmlformats.org/drawingml/2006/main" xmlns:pic="http://schemas.openxmlformats.org/drawingml/2006/picture">
            <wp:extent cx="5029200" cy="282408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824089"/>
                    </a:xfrm>
                    <a:prstGeom prst="rect"/>
                  </pic:spPr>
                </pic:pic>
              </a:graphicData>
            </a:graphic>
          </wp:inline>
        </w:drawing>
      </w:r>
    </w:p>
    <w:p>
      <w:pPr>
        <w:pStyle w:val="Heading3"/>
        <w:jc w:val="left"/>
      </w:pPr>
      <w:r>
        <w:rPr>
          <w:sz w:val="24"/>
        </w:rPr>
        <w:t>Risk Tier Thresholds:</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color="auto" w:fill="1E3A5F"/>
          </w:tcPr>
          <w:p>
            <w:r>
              <w:rPr>
                <w:b/>
                <w:color w:val="FFFFFF"/>
                <w:sz w:val="18"/>
              </w:rPr>
              <w:t>Tier</w:t>
            </w:r>
          </w:p>
        </w:tc>
        <w:tc>
          <w:tcPr>
            <w:tcW w:type="dxa" w:w="1728"/>
            <w:shd w:val="clear" w:color="auto" w:fill="1E3A5F"/>
          </w:tcPr>
          <w:p>
            <w:r>
              <w:rPr>
                <w:b/>
                <w:color w:val="FFFFFF"/>
                <w:sz w:val="18"/>
              </w:rPr>
              <w:t>Score Range</w:t>
            </w:r>
          </w:p>
        </w:tc>
        <w:tc>
          <w:tcPr>
            <w:tcW w:type="dxa" w:w="2016"/>
            <w:shd w:val="clear" w:color="auto" w:fill="1E3A5F"/>
          </w:tcPr>
          <w:p>
            <w:r>
              <w:rPr>
                <w:b/>
                <w:color w:val="FFFFFF"/>
                <w:sz w:val="18"/>
              </w:rPr>
              <w:t>Buildings</w:t>
            </w:r>
          </w:p>
        </w:tc>
        <w:tc>
          <w:tcPr>
            <w:tcW w:type="dxa" w:w="4320"/>
            <w:shd w:val="clear" w:color="auto" w:fill="1E3A5F"/>
          </w:tcPr>
          <w:p>
            <w:r>
              <w:rPr>
                <w:b/>
                <w:color w:val="FFFFFF"/>
                <w:sz w:val="18"/>
              </w:rPr>
              <w:t>Description</w:t>
            </w:r>
          </w:p>
        </w:tc>
      </w:tr>
      <w:tr>
        <w:tc>
          <w:tcPr>
            <w:tcW w:type="dxa" w:w="1152"/>
          </w:tcPr>
          <w:p>
            <w:r>
              <w:rPr>
                <w:sz w:val="18"/>
              </w:rPr>
              <w:t>High</w:t>
            </w:r>
          </w:p>
        </w:tc>
        <w:tc>
          <w:tcPr>
            <w:tcW w:type="dxa" w:w="1728"/>
          </w:tcPr>
          <w:p>
            <w:r>
              <w:rPr>
                <w:sz w:val="18"/>
              </w:rPr>
              <w:t>≥ 0.70</w:t>
            </w:r>
          </w:p>
        </w:tc>
        <w:tc>
          <w:tcPr>
            <w:tcW w:type="dxa" w:w="2016"/>
          </w:tcPr>
          <w:p>
            <w:r>
              <w:rPr>
                <w:sz w:val="18"/>
              </w:rPr>
              <w:t>58  (4.8%)</w:t>
            </w:r>
          </w:p>
        </w:tc>
        <w:tc>
          <w:tcPr>
            <w:tcW w:type="dxa" w:w="4320"/>
          </w:tcPr>
          <w:p>
            <w:r>
              <w:rPr>
                <w:sz w:val="18"/>
              </w:rPr>
              <w:t>Strong churn signal; immediate account management attention</w:t>
            </w:r>
          </w:p>
        </w:tc>
      </w:tr>
      <w:tr>
        <w:tc>
          <w:tcPr>
            <w:tcW w:type="dxa" w:w="1152"/>
            <w:shd w:val="clear" w:color="auto" w:fill="EFF6FF"/>
          </w:tcPr>
          <w:p>
            <w:r>
              <w:rPr>
                <w:sz w:val="18"/>
              </w:rPr>
              <w:t>Medium</w:t>
            </w:r>
          </w:p>
        </w:tc>
        <w:tc>
          <w:tcPr>
            <w:tcW w:type="dxa" w:w="1728"/>
            <w:shd w:val="clear" w:color="auto" w:fill="EFF6FF"/>
          </w:tcPr>
          <w:p>
            <w:r>
              <w:rPr>
                <w:sz w:val="18"/>
              </w:rPr>
              <w:t>0.30–0.70</w:t>
            </w:r>
          </w:p>
        </w:tc>
        <w:tc>
          <w:tcPr>
            <w:tcW w:type="dxa" w:w="2016"/>
            <w:shd w:val="clear" w:color="auto" w:fill="EFF6FF"/>
          </w:tcPr>
          <w:p>
            <w:r>
              <w:rPr>
                <w:sz w:val="18"/>
              </w:rPr>
              <w:t>11  (0.9%)</w:t>
            </w:r>
          </w:p>
        </w:tc>
        <w:tc>
          <w:tcPr>
            <w:tcW w:type="dxa" w:w="4320"/>
            <w:shd w:val="clear" w:color="auto" w:fill="EFF6FF"/>
          </w:tcPr>
          <w:p>
            <w:r>
              <w:rPr>
                <w:sz w:val="18"/>
              </w:rPr>
              <w:t>Moderate signal; monitor quarterly</w:t>
            </w:r>
          </w:p>
        </w:tc>
      </w:tr>
      <w:tr>
        <w:tc>
          <w:tcPr>
            <w:tcW w:type="dxa" w:w="1152"/>
          </w:tcPr>
          <w:p>
            <w:r>
              <w:rPr>
                <w:sz w:val="18"/>
              </w:rPr>
              <w:t>Low</w:t>
            </w:r>
          </w:p>
        </w:tc>
        <w:tc>
          <w:tcPr>
            <w:tcW w:type="dxa" w:w="1728"/>
          </w:tcPr>
          <w:p>
            <w:r>
              <w:rPr>
                <w:sz w:val="18"/>
              </w:rPr>
              <w:t>&lt; 0.30</w:t>
            </w:r>
          </w:p>
        </w:tc>
        <w:tc>
          <w:tcPr>
            <w:tcW w:type="dxa" w:w="2016"/>
          </w:tcPr>
          <w:p>
            <w:r>
              <w:rPr>
                <w:sz w:val="18"/>
              </w:rPr>
              <w:t>1,141  (94.3%)</w:t>
            </w:r>
          </w:p>
        </w:tc>
        <w:tc>
          <w:tcPr>
            <w:tcW w:type="dxa" w:w="4320"/>
          </w:tcPr>
          <w:p>
            <w:r>
              <w:rPr>
                <w:sz w:val="18"/>
              </w:rPr>
              <w:t>No strong signal; routine stewardship</w:t>
            </w:r>
          </w:p>
        </w:tc>
      </w:tr>
    </w:tbl>
    <w:p>
      <w:r>
        <w:br w:type="page"/>
      </w:r>
    </w:p>
    <w:p>
      <w:pPr>
        <w:pStyle w:val="Heading1"/>
        <w:jc w:val="left"/>
      </w:pPr>
      <w:r>
        <w:rPr>
          <w:color w:val="C81D25"/>
          <w:sz w:val="36"/>
        </w:rPr>
        <w:t>Section 4 — LL97 Equations &amp; Penalty Model</w:t>
      </w:r>
    </w:p>
    <w:p>
      <w:r>
        <w:rPr>
          <w:b w:val="0"/>
          <w:sz w:val="20"/>
        </w:rPr>
        <w:t>NYC Local Law 97 (2019) mandates annual carbon intensity limits for buildings over 25,000 sq ft. The dashboard computes compliance status and projected fines for both the 2024 (Phase 1) and 2030 (Phase 2) thresholds.</w:t>
      </w:r>
    </w:p>
    <w:p/>
    <w:p>
      <w:pPr>
        <w:jc w:val="center"/>
      </w:pPr>
      <w:r>
        <w:drawing>
          <wp:inline xmlns:a="http://schemas.openxmlformats.org/drawingml/2006/main" xmlns:pic="http://schemas.openxmlformats.org/drawingml/2006/picture">
            <wp:extent cx="5486400" cy="199756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997565"/>
                    </a:xfrm>
                    <a:prstGeom prst="rect"/>
                  </pic:spPr>
                </pic:pic>
              </a:graphicData>
            </a:graphic>
          </wp:inline>
        </w:drawing>
      </w:r>
    </w:p>
    <w:p/>
    <w:p>
      <w:pPr>
        <w:pStyle w:val="Heading2"/>
        <w:jc w:val="left"/>
      </w:pPr>
      <w:r>
        <w:rPr>
          <w:color w:val="C81D25"/>
          <w:sz w:val="28"/>
        </w:rPr>
        <w:t>4.1  Steam → GHG Conversion</w:t>
      </w:r>
    </w:p>
    <w:p>
      <w:pPr>
        <w:spacing w:before="80" w:after="80"/>
        <w:ind w:left="576"/>
        <w:shd w:val="clear" w:color="auto" w:fill="F1F5F9"/>
      </w:pPr>
      <w:r>
        <w:rPr>
          <w:b/>
          <w:sz w:val="20"/>
        </w:rPr>
        <w:t xml:space="preserve">  GHG (MT CO₂e/yr):  </w:t>
      </w:r>
      <w:r>
        <w:rPr>
          <w:rFonts w:ascii="Courier New" w:hAnsi="Courier New"/>
          <w:b/>
          <w:sz w:val="20"/>
        </w:rPr>
        <w:t>GHG = steam_kBtu × 0.00004493</w:t>
      </w:r>
    </w:p>
    <w:p>
      <w:pPr>
        <w:ind w:left="576"/>
      </w:pPr>
      <w:r>
        <w:rPr>
          <w:color w:val="475669"/>
          <w:sz w:val="18"/>
        </w:rPr>
        <w:t xml:space="preserve">  → 0.00004493 MT CO₂e/kBtu is the LL97-specific binding coefficient (NYC DOB Chapter 103 Rules). Note: EPA eGRID cites ~6.68×10⁻⁵ — LL97 uses the lower value as the official regulatory standard.</w:t>
      </w:r>
    </w:p>
    <w:p/>
    <w:p>
      <w:pPr>
        <w:pStyle w:val="Heading2"/>
        <w:jc w:val="left"/>
      </w:pPr>
      <w:r>
        <w:rPr>
          <w:color w:val="C81D25"/>
          <w:sz w:val="28"/>
        </w:rPr>
        <w:t>4.2  Annual Cap Calculation</w:t>
      </w:r>
    </w:p>
    <w:p>
      <w:pPr>
        <w:spacing w:before="80" w:after="80"/>
        <w:ind w:left="576"/>
        <w:shd w:val="clear" w:color="auto" w:fill="F1F5F9"/>
      </w:pPr>
      <w:r>
        <w:rPr>
          <w:b/>
          <w:sz w:val="20"/>
        </w:rPr>
        <w:t xml:space="preserve">  Emission cap (MT CO₂e/yr):  </w:t>
      </w:r>
      <w:r>
        <w:rPr>
          <w:rFonts w:ascii="Courier New" w:hAnsi="Courier New"/>
          <w:b/>
          <w:sz w:val="20"/>
        </w:rPr>
        <w:t>cap = floor_sqft × intensity_limit[use_type][phase]</w:t>
      </w:r>
    </w:p>
    <w:p>
      <w:pPr>
        <w:ind w:left="576"/>
      </w:pPr>
      <w:r>
        <w:rPr>
          <w:color w:val="475669"/>
          <w:sz w:val="18"/>
        </w:rPr>
        <w:t xml:space="preserve">  → intensity_limit varies by building use type and compliance phase (see table below).</w:t>
      </w:r>
    </w:p>
    <w:p/>
    <w:p>
      <w:pPr>
        <w:pStyle w:val="Heading2"/>
        <w:jc w:val="left"/>
      </w:pPr>
      <w:r>
        <w:rPr>
          <w:color w:val="C81D25"/>
          <w:sz w:val="28"/>
        </w:rPr>
        <w:t>4.3  Excess &amp; Fine</w:t>
      </w:r>
    </w:p>
    <w:p>
      <w:pPr>
        <w:spacing w:before="80" w:after="80"/>
        <w:ind w:left="576"/>
        <w:shd w:val="clear" w:color="auto" w:fill="F1F5F9"/>
      </w:pPr>
      <w:r>
        <w:rPr>
          <w:b/>
          <w:sz w:val="20"/>
        </w:rPr>
        <w:t xml:space="preserve">  Annual fine (USD):  </w:t>
      </w:r>
      <w:r>
        <w:rPr>
          <w:rFonts w:ascii="Courier New" w:hAnsi="Courier New"/>
          <w:b/>
          <w:sz w:val="20"/>
        </w:rPr>
        <w:t>excess = max(0, GHG − cap)</w:t>
        <w:br/>
        <w:t xml:space="preserve">  fine  = excess × $268</w:t>
      </w:r>
    </w:p>
    <w:p>
      <w:pPr>
        <w:ind w:left="576"/>
      </w:pPr>
      <w:r>
        <w:rPr>
          <w:color w:val="475669"/>
          <w:sz w:val="18"/>
        </w:rPr>
        <w:t xml:space="preserve">  → $268/MT CO₂e is the statutory penalty rate. There is no cap on total fines.</w:t>
      </w:r>
    </w:p>
    <w:p/>
    <w:p>
      <w:pPr>
        <w:pStyle w:val="Heading2"/>
        <w:jc w:val="left"/>
      </w:pPr>
      <w:r>
        <w:rPr>
          <w:color w:val="C81D25"/>
          <w:sz w:val="28"/>
        </w:rPr>
        <w:t>4.4  LL97 Intensity Limits by Use Type</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1E3A5F"/>
          </w:tcPr>
          <w:p>
            <w:r>
              <w:rPr>
                <w:b/>
                <w:color w:val="FFFFFF"/>
                <w:sz w:val="18"/>
              </w:rPr>
              <w:t>Use Type</w:t>
            </w:r>
          </w:p>
        </w:tc>
        <w:tc>
          <w:tcPr>
            <w:tcW w:type="dxa" w:w="2736"/>
            <w:shd w:val="clear" w:color="auto" w:fill="1E3A5F"/>
          </w:tcPr>
          <w:p>
            <w:r>
              <w:rPr>
                <w:b/>
                <w:color w:val="FFFFFF"/>
                <w:sz w:val="18"/>
              </w:rPr>
              <w:t>Phase 1 Limit (2024)</w:t>
              <w:br/>
              <w:t>MT CO₂e / ft² / yr</w:t>
            </w:r>
          </w:p>
        </w:tc>
        <w:tc>
          <w:tcPr>
            <w:tcW w:type="dxa" w:w="2736"/>
            <w:shd w:val="clear" w:color="auto" w:fill="1E3A5F"/>
          </w:tcPr>
          <w:p>
            <w:r>
              <w:rPr>
                <w:b/>
                <w:color w:val="FFFFFF"/>
                <w:sz w:val="18"/>
              </w:rPr>
              <w:t>Phase 2 Limit (2030)</w:t>
              <w:br/>
              <w:t>MT CO₂e / ft² / yr</w:t>
            </w:r>
          </w:p>
        </w:tc>
      </w:tr>
      <w:tr>
        <w:tc>
          <w:tcPr>
            <w:tcW w:type="dxa" w:w="4032"/>
          </w:tcPr>
          <w:p>
            <w:r>
              <w:rPr>
                <w:sz w:val="18"/>
              </w:rPr>
              <w:t>Office / Financial Office</w:t>
            </w:r>
          </w:p>
        </w:tc>
        <w:tc>
          <w:tcPr>
            <w:tcW w:type="dxa" w:w="2736"/>
          </w:tcPr>
          <w:p>
            <w:r>
              <w:rPr>
                <w:sz w:val="18"/>
              </w:rPr>
              <w:t>0.00846</w:t>
            </w:r>
          </w:p>
        </w:tc>
        <w:tc>
          <w:tcPr>
            <w:tcW w:type="dxa" w:w="2736"/>
          </w:tcPr>
          <w:p>
            <w:r>
              <w:rPr>
                <w:sz w:val="18"/>
              </w:rPr>
              <w:t>0.00453</w:t>
            </w:r>
          </w:p>
        </w:tc>
      </w:tr>
      <w:tr>
        <w:tc>
          <w:tcPr>
            <w:tcW w:type="dxa" w:w="4032"/>
            <w:shd w:val="clear" w:color="auto" w:fill="EFF6FF"/>
          </w:tcPr>
          <w:p>
            <w:r>
              <w:rPr>
                <w:sz w:val="18"/>
              </w:rPr>
              <w:t>Multifamily Housing / Dorm</w:t>
            </w:r>
          </w:p>
        </w:tc>
        <w:tc>
          <w:tcPr>
            <w:tcW w:type="dxa" w:w="2736"/>
            <w:shd w:val="clear" w:color="auto" w:fill="EFF6FF"/>
          </w:tcPr>
          <w:p>
            <w:r>
              <w:rPr>
                <w:sz w:val="18"/>
              </w:rPr>
              <w:t>0.00675</w:t>
            </w:r>
          </w:p>
        </w:tc>
        <w:tc>
          <w:tcPr>
            <w:tcW w:type="dxa" w:w="2736"/>
            <w:shd w:val="clear" w:color="auto" w:fill="EFF6FF"/>
          </w:tcPr>
          <w:p>
            <w:r>
              <w:rPr>
                <w:sz w:val="18"/>
              </w:rPr>
              <w:t>0.00400</w:t>
            </w:r>
          </w:p>
        </w:tc>
      </w:tr>
      <w:tr>
        <w:tc>
          <w:tcPr>
            <w:tcW w:type="dxa" w:w="4032"/>
          </w:tcPr>
          <w:p>
            <w:r>
              <w:rPr>
                <w:sz w:val="18"/>
              </w:rPr>
              <w:t>Hotel</w:t>
            </w:r>
          </w:p>
        </w:tc>
        <w:tc>
          <w:tcPr>
            <w:tcW w:type="dxa" w:w="2736"/>
          </w:tcPr>
          <w:p>
            <w:r>
              <w:rPr>
                <w:sz w:val="18"/>
              </w:rPr>
              <w:t>0.01450</w:t>
            </w:r>
          </w:p>
        </w:tc>
        <w:tc>
          <w:tcPr>
            <w:tcW w:type="dxa" w:w="2736"/>
          </w:tcPr>
          <w:p>
            <w:r>
              <w:rPr>
                <w:sz w:val="18"/>
              </w:rPr>
              <w:t>0.00700</w:t>
            </w:r>
          </w:p>
        </w:tc>
      </w:tr>
      <w:tr>
        <w:tc>
          <w:tcPr>
            <w:tcW w:type="dxa" w:w="4032"/>
            <w:shd w:val="clear" w:color="auto" w:fill="EFF6FF"/>
          </w:tcPr>
          <w:p>
            <w:r>
              <w:rPr>
                <w:sz w:val="18"/>
              </w:rPr>
              <w:t>Retail Store</w:t>
            </w:r>
          </w:p>
        </w:tc>
        <w:tc>
          <w:tcPr>
            <w:tcW w:type="dxa" w:w="2736"/>
            <w:shd w:val="clear" w:color="auto" w:fill="EFF6FF"/>
          </w:tcPr>
          <w:p>
            <w:r>
              <w:rPr>
                <w:sz w:val="18"/>
              </w:rPr>
              <w:t>0.00846</w:t>
            </w:r>
          </w:p>
        </w:tc>
        <w:tc>
          <w:tcPr>
            <w:tcW w:type="dxa" w:w="2736"/>
            <w:shd w:val="clear" w:color="auto" w:fill="EFF6FF"/>
          </w:tcPr>
          <w:p>
            <w:r>
              <w:rPr>
                <w:sz w:val="18"/>
              </w:rPr>
              <w:t>0.00403</w:t>
            </w:r>
          </w:p>
        </w:tc>
      </w:tr>
      <w:tr>
        <w:tc>
          <w:tcPr>
            <w:tcW w:type="dxa" w:w="4032"/>
          </w:tcPr>
          <w:p>
            <w:r>
              <w:rPr>
                <w:sz w:val="18"/>
              </w:rPr>
              <w:t>K-12 School / College</w:t>
            </w:r>
          </w:p>
        </w:tc>
        <w:tc>
          <w:tcPr>
            <w:tcW w:type="dxa" w:w="2736"/>
          </w:tcPr>
          <w:p>
            <w:r>
              <w:rPr>
                <w:sz w:val="18"/>
              </w:rPr>
              <w:t>0.00846</w:t>
            </w:r>
          </w:p>
        </w:tc>
        <w:tc>
          <w:tcPr>
            <w:tcW w:type="dxa" w:w="2736"/>
          </w:tcPr>
          <w:p>
            <w:r>
              <w:rPr>
                <w:sz w:val="18"/>
              </w:rPr>
              <w:t>0.00453</w:t>
            </w:r>
          </w:p>
        </w:tc>
      </w:tr>
      <w:tr>
        <w:tc>
          <w:tcPr>
            <w:tcW w:type="dxa" w:w="4032"/>
            <w:shd w:val="clear" w:color="auto" w:fill="EFF6FF"/>
          </w:tcPr>
          <w:p>
            <w:r>
              <w:rPr>
                <w:sz w:val="18"/>
              </w:rPr>
              <w:t>Hospital / Clinic</w:t>
            </w:r>
          </w:p>
        </w:tc>
        <w:tc>
          <w:tcPr>
            <w:tcW w:type="dxa" w:w="2736"/>
            <w:shd w:val="clear" w:color="auto" w:fill="EFF6FF"/>
          </w:tcPr>
          <w:p>
            <w:r>
              <w:rPr>
                <w:sz w:val="18"/>
              </w:rPr>
              <w:t>0.02381</w:t>
            </w:r>
          </w:p>
        </w:tc>
        <w:tc>
          <w:tcPr>
            <w:tcW w:type="dxa" w:w="2736"/>
            <w:shd w:val="clear" w:color="auto" w:fill="EFF6FF"/>
          </w:tcPr>
          <w:p>
            <w:r>
              <w:rPr>
                <w:sz w:val="18"/>
              </w:rPr>
              <w:t>0.00840</w:t>
            </w:r>
          </w:p>
        </w:tc>
      </w:tr>
      <w:tr>
        <w:tc>
          <w:tcPr>
            <w:tcW w:type="dxa" w:w="4032"/>
          </w:tcPr>
          <w:p>
            <w:r>
              <w:rPr>
                <w:sz w:val="18"/>
              </w:rPr>
              <w:t>Performing Arts / Museum</w:t>
            </w:r>
          </w:p>
        </w:tc>
        <w:tc>
          <w:tcPr>
            <w:tcW w:type="dxa" w:w="2736"/>
          </w:tcPr>
          <w:p>
            <w:r>
              <w:rPr>
                <w:sz w:val="18"/>
              </w:rPr>
              <w:t>0.01074</w:t>
            </w:r>
          </w:p>
        </w:tc>
        <w:tc>
          <w:tcPr>
            <w:tcW w:type="dxa" w:w="2736"/>
          </w:tcPr>
          <w:p>
            <w:r>
              <w:rPr>
                <w:sz w:val="18"/>
              </w:rPr>
              <w:t>0.00420</w:t>
            </w:r>
          </w:p>
        </w:tc>
      </w:tr>
      <w:tr>
        <w:tc>
          <w:tcPr>
            <w:tcW w:type="dxa" w:w="4032"/>
            <w:shd w:val="clear" w:color="auto" w:fill="EFF6FF"/>
          </w:tcPr>
          <w:p>
            <w:r>
              <w:rPr>
                <w:sz w:val="18"/>
              </w:rPr>
              <w:t>Worship Facility</w:t>
            </w:r>
          </w:p>
        </w:tc>
        <w:tc>
          <w:tcPr>
            <w:tcW w:type="dxa" w:w="2736"/>
            <w:shd w:val="clear" w:color="auto" w:fill="EFF6FF"/>
          </w:tcPr>
          <w:p>
            <w:r>
              <w:rPr>
                <w:sz w:val="18"/>
              </w:rPr>
              <w:t>0.01074</w:t>
            </w:r>
          </w:p>
        </w:tc>
        <w:tc>
          <w:tcPr>
            <w:tcW w:type="dxa" w:w="2736"/>
            <w:shd w:val="clear" w:color="auto" w:fill="EFF6FF"/>
          </w:tcPr>
          <w:p>
            <w:r>
              <w:rPr>
                <w:sz w:val="18"/>
              </w:rPr>
              <w:t>0.00420</w:t>
            </w:r>
          </w:p>
        </w:tc>
      </w:tr>
      <w:tr>
        <w:tc>
          <w:tcPr>
            <w:tcW w:type="dxa" w:w="4032"/>
          </w:tcPr>
          <w:p>
            <w:r>
              <w:rPr>
                <w:sz w:val="18"/>
              </w:rPr>
              <w:t>Default (Other)</w:t>
            </w:r>
          </w:p>
        </w:tc>
        <w:tc>
          <w:tcPr>
            <w:tcW w:type="dxa" w:w="2736"/>
          </w:tcPr>
          <w:p>
            <w:r>
              <w:rPr>
                <w:sz w:val="18"/>
              </w:rPr>
              <w:t>0.00846</w:t>
            </w:r>
          </w:p>
        </w:tc>
        <w:tc>
          <w:tcPr>
            <w:tcW w:type="dxa" w:w="2736"/>
          </w:tcPr>
          <w:p>
            <w:r>
              <w:rPr>
                <w:sz w:val="18"/>
              </w:rPr>
              <w:t>0.00453</w:t>
            </w:r>
          </w:p>
        </w:tc>
      </w:tr>
    </w:tbl>
    <w:p/>
    <w:p>
      <w:pPr>
        <w:pStyle w:val="Heading2"/>
        <w:jc w:val="left"/>
      </w:pPr>
      <w:r>
        <w:rPr>
          <w:color w:val="C81D25"/>
          <w:sz w:val="28"/>
        </w:rPr>
        <w:t>4.5  Portfolio LL97 Exposure</w:t>
      </w:r>
    </w:p>
    <w:tbl>
      <w:tblPr>
        <w:tblStyle w:val="TableGrid"/>
        <w:tblW w:type="auto" w:w="0"/>
        <w:tblLook w:firstColumn="1" w:firstRow="1" w:lastColumn="0" w:lastRow="0" w:noHBand="0" w:noVBand="1" w:val="04A0"/>
      </w:tblPr>
      <w:tblGrid>
        <w:gridCol w:w="3120"/>
        <w:gridCol w:w="3120"/>
        <w:gridCol w:w="3120"/>
      </w:tblGrid>
      <w:tr>
        <w:tc>
          <w:tcPr>
            <w:tcW w:type="dxa" w:w="3600"/>
            <w:shd w:val="clear" w:color="auto" w:fill="1E3A5F"/>
          </w:tcPr>
          <w:p>
            <w:r>
              <w:rPr>
                <w:b/>
                <w:color w:val="FFFFFF"/>
                <w:sz w:val="18"/>
              </w:rPr>
              <w:t>Metric</w:t>
            </w:r>
          </w:p>
        </w:tc>
        <w:tc>
          <w:tcPr>
            <w:tcW w:type="dxa" w:w="2592"/>
            <w:shd w:val="clear" w:color="auto" w:fill="1E3A5F"/>
          </w:tcPr>
          <w:p>
            <w:r>
              <w:rPr>
                <w:b/>
                <w:color w:val="FFFFFF"/>
                <w:sz w:val="18"/>
              </w:rPr>
              <w:t>2024 (Phase 1)</w:t>
            </w:r>
          </w:p>
        </w:tc>
        <w:tc>
          <w:tcPr>
            <w:tcW w:type="dxa" w:w="2592"/>
            <w:shd w:val="clear" w:color="auto" w:fill="1E3A5F"/>
          </w:tcPr>
          <w:p>
            <w:r>
              <w:rPr>
                <w:b/>
                <w:color w:val="FFFFFF"/>
                <w:sz w:val="18"/>
              </w:rPr>
              <w:t>2030 (Phase 2)</w:t>
            </w:r>
          </w:p>
        </w:tc>
      </w:tr>
      <w:tr>
        <w:tc>
          <w:tcPr>
            <w:tcW w:type="dxa" w:w="3600"/>
          </w:tcPr>
          <w:p>
            <w:r>
              <w:rPr>
                <w:sz w:val="18"/>
              </w:rPr>
              <w:t>Total portfolio fines (all buildings)</w:t>
            </w:r>
          </w:p>
        </w:tc>
        <w:tc>
          <w:tcPr>
            <w:tcW w:type="dxa" w:w="2592"/>
          </w:tcPr>
          <w:p>
            <w:r>
              <w:rPr>
                <w:sz w:val="18"/>
              </w:rPr>
              <w:t>$81,875,711</w:t>
            </w:r>
          </w:p>
        </w:tc>
        <w:tc>
          <w:tcPr>
            <w:tcW w:type="dxa" w:w="2592"/>
          </w:tcPr>
          <w:p>
            <w:r>
              <w:rPr>
                <w:sz w:val="18"/>
              </w:rPr>
              <w:t>$270,916,416</w:t>
            </w:r>
          </w:p>
        </w:tc>
      </w:tr>
      <w:tr>
        <w:tc>
          <w:tcPr>
            <w:tcW w:type="dxa" w:w="3600"/>
            <w:shd w:val="clear" w:color="auto" w:fill="EFF6FF"/>
          </w:tcPr>
          <w:p>
            <w:r>
              <w:rPr>
                <w:sz w:val="18"/>
              </w:rPr>
              <w:t>Buildings over limit</w:t>
            </w:r>
          </w:p>
        </w:tc>
        <w:tc>
          <w:tcPr>
            <w:tcW w:type="dxa" w:w="2592"/>
            <w:shd w:val="clear" w:color="auto" w:fill="EFF6FF"/>
          </w:tcPr>
          <w:p>
            <w:r>
              <w:rPr>
                <w:sz w:val="18"/>
              </w:rPr>
              <w:t>~516</w:t>
            </w:r>
          </w:p>
        </w:tc>
        <w:tc>
          <w:tcPr>
            <w:tcW w:type="dxa" w:w="2592"/>
            <w:shd w:val="clear" w:color="auto" w:fill="EFF6FF"/>
          </w:tcPr>
          <w:p>
            <w:r>
              <w:rPr>
                <w:sz w:val="18"/>
              </w:rPr>
              <w:t>~760 (est.)</w:t>
            </w:r>
          </w:p>
        </w:tc>
      </w:tr>
      <w:tr>
        <w:tc>
          <w:tcPr>
            <w:tcW w:type="dxa" w:w="3600"/>
          </w:tcPr>
          <w:p>
            <w:r>
              <w:rPr>
                <w:sz w:val="18"/>
              </w:rPr>
              <w:t>Multiplier vs. 2024</w:t>
            </w:r>
          </w:p>
        </w:tc>
        <w:tc>
          <w:tcPr>
            <w:tcW w:type="dxa" w:w="2592"/>
          </w:tcPr>
          <w:p>
            <w:r>
              <w:rPr>
                <w:sz w:val="18"/>
              </w:rPr>
              <w:t>1.0×</w:t>
            </w:r>
          </w:p>
        </w:tc>
        <w:tc>
          <w:tcPr>
            <w:tcW w:type="dxa" w:w="2592"/>
          </w:tcPr>
          <w:p>
            <w:r>
              <w:rPr>
                <w:sz w:val="18"/>
              </w:rPr>
              <w:t>~3.3×</w:t>
            </w:r>
          </w:p>
        </w:tc>
      </w:tr>
      <w:tr>
        <w:tc>
          <w:tcPr>
            <w:tcW w:type="dxa" w:w="3600"/>
            <w:shd w:val="clear" w:color="auto" w:fill="EFF6FF"/>
          </w:tcPr>
          <w:p>
            <w:r>
              <w:rPr>
                <w:sz w:val="18"/>
              </w:rPr>
              <w:t>Top fine: 31 W 34th St</w:t>
            </w:r>
          </w:p>
        </w:tc>
        <w:tc>
          <w:tcPr>
            <w:tcW w:type="dxa" w:w="2592"/>
            <w:shd w:val="clear" w:color="auto" w:fill="EFF6FF"/>
          </w:tcPr>
          <w:p>
            <w:r>
              <w:rPr>
                <w:sz w:val="18"/>
              </w:rPr>
              <w:t>$16,987,675</w:t>
            </w:r>
          </w:p>
        </w:tc>
        <w:tc>
          <w:tcPr>
            <w:tcW w:type="dxa" w:w="2592"/>
            <w:shd w:val="clear" w:color="auto" w:fill="EFF6FF"/>
          </w:tcPr>
          <w:p>
            <w:r>
              <w:rPr>
                <w:sz w:val="18"/>
              </w:rPr>
              <w:t>~$56M (est.)</w:t>
            </w:r>
          </w:p>
        </w:tc>
      </w:tr>
      <w:tr>
        <w:tc>
          <w:tcPr>
            <w:tcW w:type="dxa" w:w="3600"/>
          </w:tcPr>
          <w:p>
            <w:r>
              <w:rPr>
                <w:sz w:val="18"/>
              </w:rPr>
              <w:t>2nd: Columbia Univ (116 St complex)</w:t>
            </w:r>
          </w:p>
        </w:tc>
        <w:tc>
          <w:tcPr>
            <w:tcW w:type="dxa" w:w="2592"/>
          </w:tcPr>
          <w:p>
            <w:r>
              <w:rPr>
                <w:sz w:val="18"/>
              </w:rPr>
              <w:t>$12,504,928</w:t>
            </w:r>
          </w:p>
        </w:tc>
        <w:tc>
          <w:tcPr>
            <w:tcW w:type="dxa" w:w="2592"/>
          </w:tcPr>
          <w:p>
            <w:r>
              <w:rPr>
                <w:sz w:val="18"/>
              </w:rPr>
              <w:t>~$41M (est.)</w:t>
            </w:r>
          </w:p>
        </w:tc>
      </w:tr>
    </w:tbl>
    <w:p/>
    <w:p>
      <w:pPr>
        <w:jc w:val="center"/>
      </w:pPr>
      <w:r>
        <w:drawing>
          <wp:inline xmlns:a="http://schemas.openxmlformats.org/drawingml/2006/main" xmlns:pic="http://schemas.openxmlformats.org/drawingml/2006/picture">
            <wp:extent cx="5029200" cy="248486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2484867"/>
                    </a:xfrm>
                    <a:prstGeom prst="rect"/>
                  </pic:spPr>
                </pic:pic>
              </a:graphicData>
            </a:graphic>
          </wp:inline>
        </w:drawing>
      </w:r>
    </w:p>
    <w:p>
      <w:r>
        <w:br w:type="page"/>
      </w:r>
    </w:p>
    <w:p>
      <w:pPr>
        <w:pStyle w:val="Heading1"/>
        <w:jc w:val="left"/>
      </w:pPr>
      <w:r>
        <w:rPr>
          <w:color w:val="C81D25"/>
          <w:sz w:val="36"/>
        </w:rPr>
        <w:t>Section 5 — Dashboard Components</w:t>
      </w:r>
    </w:p>
    <w:p>
      <w:pPr>
        <w:jc w:val="center"/>
      </w:pPr>
      <w:r>
        <w:drawing>
          <wp:inline xmlns:a="http://schemas.openxmlformats.org/drawingml/2006/main" xmlns:pic="http://schemas.openxmlformats.org/drawingml/2006/picture">
            <wp:extent cx="5669280" cy="343866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438666"/>
                    </a:xfrm>
                    <a:prstGeom prst="rect"/>
                  </pic:spPr>
                </pic:pic>
              </a:graphicData>
            </a:graphic>
          </wp:inline>
        </w:drawing>
      </w:r>
    </w:p>
    <w:p/>
    <w:p>
      <w:pPr>
        <w:pStyle w:val="Heading2"/>
        <w:jc w:val="left"/>
      </w:pPr>
      <w:r>
        <w:rPr>
          <w:color w:val="C81D25"/>
          <w:sz w:val="28"/>
        </w:rPr>
        <w:t>5.x  KPI Cards (top bar)</w:t>
      </w:r>
    </w:p>
    <w:p>
      <w:r>
        <w:rPr>
          <w:b w:val="0"/>
          <w:sz w:val="20"/>
        </w:rPr>
        <w:t>Four summary statistics: Total Portfolio (1,210), High-Risk count (58), LL97 2024 Exposure ($81.9M), and filtered/watchlist count. Values update reactively when filters or watchlist change.</w:t>
      </w:r>
    </w:p>
    <w:p/>
    <w:p>
      <w:pPr>
        <w:pStyle w:val="Heading2"/>
        <w:jc w:val="left"/>
      </w:pPr>
      <w:r>
        <w:rPr>
          <w:color w:val="C81D25"/>
          <w:sz w:val="28"/>
        </w:rPr>
        <w:t>5.x  RiskTable</w:t>
      </w:r>
    </w:p>
    <w:p>
      <w:r>
        <w:rPr>
          <w:b w:val="0"/>
          <w:sz w:val="20"/>
        </w:rPr>
        <w:t>Sortable, filterable table of all buildings. Columns: Address, EUI (kBtu/ft²), Steam (kBtu/yr), DOB Permits (24mo), Cluster Archetype, LL97 2024 fine, Risk Score. Filters: archetype dropdown, steam signal (big_drop/stable/growth), LL97 compliance status. Click a row to open BuildingPanel. Star button to add to Watchlist.</w:t>
      </w:r>
    </w:p>
    <w:p/>
    <w:p>
      <w:pPr>
        <w:pStyle w:val="Heading2"/>
        <w:jc w:val="left"/>
      </w:pPr>
      <w:r>
        <w:rPr>
          <w:color w:val="C81D25"/>
          <w:sz w:val="28"/>
        </w:rPr>
        <w:t>5.x  BuildingPanel</w:t>
      </w:r>
    </w:p>
    <w:p>
      <w:r>
        <w:rPr>
          <w:b w:val="0"/>
          <w:sz w:val="20"/>
        </w:rPr>
        <w:t>Right-side detail panel for the selected building. Shows: EUI, YoY steam delta (22→23 and 23→24), GBM risk score with color badge, cluster archetype name, LL97 2024 and 2030 fine, DOB permit count, steam-GHG share percentage, and building year. Appears on row click or watchlist click.</w:t>
      </w:r>
    </w:p>
    <w:p/>
    <w:p>
      <w:pPr>
        <w:pStyle w:val="Heading2"/>
        <w:jc w:val="left"/>
      </w:pPr>
      <w:r>
        <w:rPr>
          <w:color w:val="C81D25"/>
          <w:sz w:val="28"/>
        </w:rPr>
        <w:t>5.x  YoYScatter</w:t>
      </w:r>
    </w:p>
    <w:p>
      <w:r>
        <w:rPr>
          <w:b w:val="0"/>
          <w:sz w:val="20"/>
        </w:rPr>
        <w:t>Scatter plot comparing two YoY steam change periods. X-axis: 2022→2023 % change. Y-axis: 2023→2024 % change. Each dot = one building. Color = cluster archetype. Size encodes steam volume. Buildings with extreme outlier values in either year receive a highlight ring. The scatter reveals whether declines are accelerating (down-right quadrant = declining again) or one-time shocks (up-right = recovered).</w:t>
      </w:r>
    </w:p>
    <w:p/>
    <w:p>
      <w:pPr>
        <w:pStyle w:val="Heading2"/>
        <w:jc w:val="left"/>
      </w:pPr>
      <w:r>
        <w:rPr>
          <w:color w:val="C81D25"/>
          <w:sz w:val="28"/>
        </w:rPr>
        <w:t>5.x  Watchlist</w:t>
      </w:r>
    </w:p>
    <w:p>
      <w:r>
        <w:rPr>
          <w:b w:val="0"/>
          <w:sz w:val="20"/>
        </w:rPr>
        <w:t>Persistent sidebar (localStorage) for pinned buildings. Supports: add/remove individual buildings (star toggle), clear all button, click-to-select. Useful for account managers monitoring a specific set of customers across sessions.</w:t>
      </w:r>
    </w:p>
    <w:p/>
    <w:p>
      <w:pPr>
        <w:pStyle w:val="Heading2"/>
        <w:jc w:val="left"/>
      </w:pPr>
      <w:r>
        <w:rPr>
          <w:color w:val="C81D25"/>
          <w:sz w:val="28"/>
        </w:rPr>
        <w:t>5.x  AI Insights (Groq)</w:t>
      </w:r>
    </w:p>
    <w:p>
      <w:r>
        <w:rPr>
          <w:b w:val="0"/>
          <w:sz w:val="20"/>
        </w:rPr>
        <w:t>Natural language filter powered by Llama 3.3 70B via Groq API (streamed). User types a query ('show me hotels over the LL97 2030 cap') — the backend sends a system prompt + building schema to Groq, receives a JSON filter spec, and the frontend applies it client-side via groqFilter.js. No building data leaves the local network — only the query and field schema go to Groq.</w:t>
      </w:r>
    </w:p>
    <w:p/>
    <w:p>
      <w:pPr>
        <w:pStyle w:val="Heading2"/>
        <w:jc w:val="left"/>
      </w:pPr>
      <w:r>
        <w:rPr>
          <w:color w:val="C81D25"/>
          <w:sz w:val="28"/>
        </w:rPr>
        <w:t>5.x  Trends Tab</w:t>
      </w:r>
    </w:p>
    <w:p>
      <w:r>
        <w:rPr>
          <w:b w:val="0"/>
          <w:sz w:val="20"/>
        </w:rPr>
        <w:t>Per-building line charts showing annual steam consumption 2021–2024, GHG trajectory vs. LL97 cap line, and rolling DOB permit activity. Allows visual inspection of trend shape (accelerating decline vs. one-time dip).</w:t>
      </w:r>
    </w:p>
    <w:p/>
    <w:p>
      <w:r>
        <w:br w:type="page"/>
      </w:r>
    </w:p>
    <w:p>
      <w:pPr>
        <w:pStyle w:val="Heading1"/>
        <w:jc w:val="left"/>
      </w:pPr>
      <w:r>
        <w:rPr>
          <w:color w:val="C81D25"/>
          <w:sz w:val="36"/>
        </w:rPr>
        <w:t>Section 6 — Data Field Definitions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1E3A5F"/>
          </w:tcPr>
          <w:p>
            <w:r>
              <w:rPr>
                <w:b/>
                <w:color w:val="FFFFFF"/>
                <w:sz w:val="18"/>
              </w:rPr>
              <w:t>Field</w:t>
            </w:r>
          </w:p>
        </w:tc>
        <w:tc>
          <w:tcPr>
            <w:tcW w:type="dxa" w:w="1440"/>
            <w:shd w:val="clear" w:color="auto" w:fill="1E3A5F"/>
          </w:tcPr>
          <w:p>
            <w:r>
              <w:rPr>
                <w:b/>
                <w:color w:val="FFFFFF"/>
                <w:sz w:val="18"/>
              </w:rPr>
              <w:t>Unit</w:t>
            </w:r>
          </w:p>
        </w:tc>
        <w:tc>
          <w:tcPr>
            <w:tcW w:type="dxa" w:w="5760"/>
            <w:shd w:val="clear" w:color="auto" w:fill="1E3A5F"/>
          </w:tcPr>
          <w:p>
            <w:r>
              <w:rPr>
                <w:b/>
                <w:color w:val="FFFFFF"/>
                <w:sz w:val="18"/>
              </w:rPr>
              <w:t>Description</w:t>
            </w:r>
          </w:p>
        </w:tc>
      </w:tr>
      <w:tr>
        <w:tc>
          <w:tcPr>
            <w:tcW w:type="dxa" w:w="2160"/>
          </w:tcPr>
          <w:p>
            <w:r>
              <w:rPr>
                <w:sz w:val="18"/>
              </w:rPr>
              <w:t>steam</w:t>
            </w:r>
          </w:p>
        </w:tc>
        <w:tc>
          <w:tcPr>
            <w:tcW w:type="dxa" w:w="1440"/>
          </w:tcPr>
          <w:p>
            <w:r>
              <w:rPr>
                <w:sz w:val="18"/>
              </w:rPr>
              <w:t>kBtu/yr</w:t>
            </w:r>
          </w:p>
        </w:tc>
        <w:tc>
          <w:tcPr>
            <w:tcW w:type="dxa" w:w="5760"/>
          </w:tcPr>
          <w:p>
            <w:r>
              <w:rPr>
                <w:sz w:val="18"/>
              </w:rPr>
              <w:t>Annual district steam consumption (most recent year)</w:t>
            </w:r>
          </w:p>
        </w:tc>
      </w:tr>
      <w:tr>
        <w:tc>
          <w:tcPr>
            <w:tcW w:type="dxa" w:w="2160"/>
            <w:shd w:val="clear" w:color="auto" w:fill="EFF6FF"/>
          </w:tcPr>
          <w:p>
            <w:r>
              <w:rPr>
                <w:sz w:val="18"/>
              </w:rPr>
              <w:t>ghg</w:t>
            </w:r>
          </w:p>
        </w:tc>
        <w:tc>
          <w:tcPr>
            <w:tcW w:type="dxa" w:w="1440"/>
            <w:shd w:val="clear" w:color="auto" w:fill="EFF6FF"/>
          </w:tcPr>
          <w:p>
            <w:r>
              <w:rPr>
                <w:sz w:val="18"/>
              </w:rPr>
              <w:t>MT CO₂e/yr</w:t>
            </w:r>
          </w:p>
        </w:tc>
        <w:tc>
          <w:tcPr>
            <w:tcW w:type="dxa" w:w="5760"/>
            <w:shd w:val="clear" w:color="auto" w:fill="EFF6FF"/>
          </w:tcPr>
          <w:p>
            <w:r>
              <w:rPr>
                <w:sz w:val="18"/>
              </w:rPr>
              <w:t>GHG from steam: steam × 0.00004493</w:t>
            </w:r>
          </w:p>
        </w:tc>
      </w:tr>
      <w:tr>
        <w:tc>
          <w:tcPr>
            <w:tcW w:type="dxa" w:w="2160"/>
          </w:tcPr>
          <w:p>
            <w:r>
              <w:rPr>
                <w:sz w:val="18"/>
              </w:rPr>
              <w:t>eui</w:t>
            </w:r>
          </w:p>
        </w:tc>
        <w:tc>
          <w:tcPr>
            <w:tcW w:type="dxa" w:w="1440"/>
          </w:tcPr>
          <w:p>
            <w:r>
              <w:rPr>
                <w:sz w:val="18"/>
              </w:rPr>
              <w:t>kBtu/ft²/yr</w:t>
            </w:r>
          </w:p>
        </w:tc>
        <w:tc>
          <w:tcPr>
            <w:tcW w:type="dxa" w:w="5760"/>
          </w:tcPr>
          <w:p>
            <w:r>
              <w:rPr>
                <w:sz w:val="18"/>
              </w:rPr>
              <w:t>Energy Use Intensity: steam / floor_sqft</w:t>
            </w:r>
          </w:p>
        </w:tc>
      </w:tr>
      <w:tr>
        <w:tc>
          <w:tcPr>
            <w:tcW w:type="dxa" w:w="2160"/>
            <w:shd w:val="clear" w:color="auto" w:fill="EFF6FF"/>
          </w:tcPr>
          <w:p>
            <w:r>
              <w:rPr>
                <w:sz w:val="18"/>
              </w:rPr>
              <w:t>floor_sqft</w:t>
            </w:r>
          </w:p>
        </w:tc>
        <w:tc>
          <w:tcPr>
            <w:tcW w:type="dxa" w:w="1440"/>
            <w:shd w:val="clear" w:color="auto" w:fill="EFF6FF"/>
          </w:tcPr>
          <w:p>
            <w:r>
              <w:rPr>
                <w:sz w:val="18"/>
              </w:rPr>
              <w:t>ft²</w:t>
            </w:r>
          </w:p>
        </w:tc>
        <w:tc>
          <w:tcPr>
            <w:tcW w:type="dxa" w:w="5760"/>
            <w:shd w:val="clear" w:color="auto" w:fill="EFF6FF"/>
          </w:tcPr>
          <w:p>
            <w:r>
              <w:rPr>
                <w:sz w:val="18"/>
              </w:rPr>
              <w:t>Gross floor area (self-reported, NYC LL Benchmarking)</w:t>
            </w:r>
          </w:p>
        </w:tc>
      </w:tr>
      <w:tr>
        <w:tc>
          <w:tcPr>
            <w:tcW w:type="dxa" w:w="2160"/>
          </w:tcPr>
          <w:p>
            <w:r>
              <w:rPr>
                <w:sz w:val="18"/>
              </w:rPr>
              <w:t>energy_star</w:t>
            </w:r>
          </w:p>
        </w:tc>
        <w:tc>
          <w:tcPr>
            <w:tcW w:type="dxa" w:w="1440"/>
          </w:tcPr>
          <w:p>
            <w:r>
              <w:rPr>
                <w:sz w:val="18"/>
              </w:rPr>
              <w:t>0–100</w:t>
            </w:r>
          </w:p>
        </w:tc>
        <w:tc>
          <w:tcPr>
            <w:tcW w:type="dxa" w:w="5760"/>
          </w:tcPr>
          <w:p>
            <w:r>
              <w:rPr>
                <w:sz w:val="18"/>
              </w:rPr>
              <w:t>Energy Star score; imputed by use-type median when absent</w:t>
            </w:r>
          </w:p>
        </w:tc>
      </w:tr>
      <w:tr>
        <w:tc>
          <w:tcPr>
            <w:tcW w:type="dxa" w:w="2160"/>
            <w:shd w:val="clear" w:color="auto" w:fill="EFF6FF"/>
          </w:tcPr>
          <w:p>
            <w:r>
              <w:rPr>
                <w:sz w:val="18"/>
              </w:rPr>
              <w:t>peer_score</w:t>
            </w:r>
          </w:p>
        </w:tc>
        <w:tc>
          <w:tcPr>
            <w:tcW w:type="dxa" w:w="1440"/>
            <w:shd w:val="clear" w:color="auto" w:fill="EFF6FF"/>
          </w:tcPr>
          <w:p>
            <w:r>
              <w:rPr>
                <w:sz w:val="18"/>
              </w:rPr>
              <w:t>Z-score</w:t>
            </w:r>
          </w:p>
        </w:tc>
        <w:tc>
          <w:tcPr>
            <w:tcW w:type="dxa" w:w="5760"/>
            <w:shd w:val="clear" w:color="auto" w:fill="EFF6FF"/>
          </w:tcPr>
          <w:p>
            <w:r>
              <w:rPr>
                <w:sz w:val="18"/>
              </w:rPr>
              <w:t>EUI vs. same-use-type peers; negative = more efficient</w:t>
            </w:r>
          </w:p>
        </w:tc>
      </w:tr>
      <w:tr>
        <w:tc>
          <w:tcPr>
            <w:tcW w:type="dxa" w:w="2160"/>
          </w:tcPr>
          <w:p>
            <w:r>
              <w:rPr>
                <w:sz w:val="18"/>
              </w:rPr>
              <w:t>dob_jobs</w:t>
            </w:r>
          </w:p>
        </w:tc>
        <w:tc>
          <w:tcPr>
            <w:tcW w:type="dxa" w:w="1440"/>
          </w:tcPr>
          <w:p>
            <w:r>
              <w:rPr>
                <w:sz w:val="18"/>
              </w:rPr>
              <w:t>integer</w:t>
            </w:r>
          </w:p>
        </w:tc>
        <w:tc>
          <w:tcPr>
            <w:tcW w:type="dxa" w:w="5760"/>
          </w:tcPr>
          <w:p>
            <w:r>
              <w:rPr>
                <w:sz w:val="18"/>
              </w:rPr>
              <w:t>DOB NOW permit filings in trailing 24 months</w:t>
            </w:r>
          </w:p>
        </w:tc>
      </w:tr>
      <w:tr>
        <w:tc>
          <w:tcPr>
            <w:tcW w:type="dxa" w:w="2160"/>
            <w:shd w:val="clear" w:color="auto" w:fill="EFF6FF"/>
          </w:tcPr>
          <w:p>
            <w:r>
              <w:rPr>
                <w:sz w:val="18"/>
              </w:rPr>
              <w:t>log_dob_jobs</w:t>
            </w:r>
          </w:p>
        </w:tc>
        <w:tc>
          <w:tcPr>
            <w:tcW w:type="dxa" w:w="1440"/>
            <w:shd w:val="clear" w:color="auto" w:fill="EFF6FF"/>
          </w:tcPr>
          <w:p>
            <w:r>
              <w:rPr>
                <w:sz w:val="18"/>
              </w:rPr>
              <w:t>float</w:t>
            </w:r>
          </w:p>
        </w:tc>
        <w:tc>
          <w:tcPr>
            <w:tcW w:type="dxa" w:w="5760"/>
            <w:shd w:val="clear" w:color="auto" w:fill="EFF6FF"/>
          </w:tcPr>
          <w:p>
            <w:r>
              <w:rPr>
                <w:sz w:val="18"/>
              </w:rPr>
              <w:t>log1p(dob_jobs); used as ML feature</w:t>
            </w:r>
          </w:p>
        </w:tc>
      </w:tr>
      <w:tr>
        <w:tc>
          <w:tcPr>
            <w:tcW w:type="dxa" w:w="2160"/>
          </w:tcPr>
          <w:p>
            <w:r>
              <w:rPr>
                <w:sz w:val="18"/>
              </w:rPr>
              <w:t>cluster_id</w:t>
            </w:r>
          </w:p>
        </w:tc>
        <w:tc>
          <w:tcPr>
            <w:tcW w:type="dxa" w:w="1440"/>
          </w:tcPr>
          <w:p>
            <w:r>
              <w:rPr>
                <w:sz w:val="18"/>
              </w:rPr>
              <w:t>0–4</w:t>
            </w:r>
          </w:p>
        </w:tc>
        <w:tc>
          <w:tcPr>
            <w:tcW w:type="dxa" w:w="5760"/>
          </w:tcPr>
          <w:p>
            <w:r>
              <w:rPr>
                <w:sz w:val="18"/>
              </w:rPr>
              <w:t>K-means archetype assignment</w:t>
            </w:r>
          </w:p>
        </w:tc>
      </w:tr>
      <w:tr>
        <w:tc>
          <w:tcPr>
            <w:tcW w:type="dxa" w:w="2160"/>
            <w:shd w:val="clear" w:color="auto" w:fill="EFF6FF"/>
          </w:tcPr>
          <w:p>
            <w:r>
              <w:rPr>
                <w:sz w:val="18"/>
              </w:rPr>
              <w:t>cluster_name</w:t>
            </w:r>
          </w:p>
        </w:tc>
        <w:tc>
          <w:tcPr>
            <w:tcW w:type="dxa" w:w="1440"/>
            <w:shd w:val="clear" w:color="auto" w:fill="EFF6FF"/>
          </w:tcPr>
          <w:p>
            <w:r>
              <w:rPr>
                <w:sz w:val="18"/>
              </w:rPr>
              <w:t>string</w:t>
            </w:r>
          </w:p>
        </w:tc>
        <w:tc>
          <w:tcPr>
            <w:tcW w:type="dxa" w:w="5760"/>
            <w:shd w:val="clear" w:color="auto" w:fill="EFF6FF"/>
          </w:tcPr>
          <w:p>
            <w:r>
              <w:rPr>
                <w:sz w:val="18"/>
              </w:rPr>
              <w:t>Human-readable archetype name</w:t>
            </w:r>
          </w:p>
        </w:tc>
      </w:tr>
      <w:tr>
        <w:tc>
          <w:tcPr>
            <w:tcW w:type="dxa" w:w="2160"/>
          </w:tcPr>
          <w:p>
            <w:r>
              <w:rPr>
                <w:sz w:val="18"/>
              </w:rPr>
              <w:t>cluster_risk</w:t>
            </w:r>
          </w:p>
        </w:tc>
        <w:tc>
          <w:tcPr>
            <w:tcW w:type="dxa" w:w="1440"/>
          </w:tcPr>
          <w:p>
            <w:r>
              <w:rPr>
                <w:sz w:val="18"/>
              </w:rPr>
              <w:t>High/Medium/Low</w:t>
            </w:r>
          </w:p>
        </w:tc>
        <w:tc>
          <w:tcPr>
            <w:tcW w:type="dxa" w:w="5760"/>
          </w:tcPr>
          <w:p>
            <w:r>
              <w:rPr>
                <w:sz w:val="18"/>
              </w:rPr>
              <w:t>Risk tier assigned to this archetype</w:t>
            </w:r>
          </w:p>
        </w:tc>
      </w:tr>
      <w:tr>
        <w:tc>
          <w:tcPr>
            <w:tcW w:type="dxa" w:w="2160"/>
            <w:shd w:val="clear" w:color="auto" w:fill="EFF6FF"/>
          </w:tcPr>
          <w:p>
            <w:r>
              <w:rPr>
                <w:sz w:val="18"/>
              </w:rPr>
              <w:t>ml_risk</w:t>
            </w:r>
          </w:p>
        </w:tc>
        <w:tc>
          <w:tcPr>
            <w:tcW w:type="dxa" w:w="1440"/>
            <w:shd w:val="clear" w:color="auto" w:fill="EFF6FF"/>
          </w:tcPr>
          <w:p>
            <w:r>
              <w:rPr>
                <w:sz w:val="18"/>
              </w:rPr>
              <w:t>0.0–1.0</w:t>
            </w:r>
          </w:p>
        </w:tc>
        <w:tc>
          <w:tcPr>
            <w:tcW w:type="dxa" w:w="5760"/>
            <w:shd w:val="clear" w:color="auto" w:fill="EFF6FF"/>
          </w:tcPr>
          <w:p>
            <w:r>
              <w:rPr>
                <w:sz w:val="18"/>
              </w:rPr>
              <w:t>GBM predict_proba — attrition probability score</w:t>
            </w:r>
          </w:p>
        </w:tc>
      </w:tr>
      <w:tr>
        <w:tc>
          <w:tcPr>
            <w:tcW w:type="dxa" w:w="2160"/>
          </w:tcPr>
          <w:p>
            <w:r>
              <w:rPr>
                <w:sz w:val="18"/>
              </w:rPr>
              <w:t>ll97_penalty_2024</w:t>
            </w:r>
          </w:p>
        </w:tc>
        <w:tc>
          <w:tcPr>
            <w:tcW w:type="dxa" w:w="1440"/>
          </w:tcPr>
          <w:p>
            <w:r>
              <w:rPr>
                <w:sz w:val="18"/>
              </w:rPr>
              <w:t>USD/yr</w:t>
            </w:r>
          </w:p>
        </w:tc>
        <w:tc>
          <w:tcPr>
            <w:tcW w:type="dxa" w:w="5760"/>
          </w:tcPr>
          <w:p>
            <w:r>
              <w:rPr>
                <w:sz w:val="18"/>
              </w:rPr>
              <w:t>Projected annual fine under Phase 1 limits</w:t>
            </w:r>
          </w:p>
        </w:tc>
      </w:tr>
      <w:tr>
        <w:tc>
          <w:tcPr>
            <w:tcW w:type="dxa" w:w="2160"/>
            <w:shd w:val="clear" w:color="auto" w:fill="EFF6FF"/>
          </w:tcPr>
          <w:p>
            <w:r>
              <w:rPr>
                <w:sz w:val="18"/>
              </w:rPr>
              <w:t>ll97_penalty_2030</w:t>
            </w:r>
          </w:p>
        </w:tc>
        <w:tc>
          <w:tcPr>
            <w:tcW w:type="dxa" w:w="1440"/>
            <w:shd w:val="clear" w:color="auto" w:fill="EFF6FF"/>
          </w:tcPr>
          <w:p>
            <w:r>
              <w:rPr>
                <w:sz w:val="18"/>
              </w:rPr>
              <w:t>USD/yr</w:t>
            </w:r>
          </w:p>
        </w:tc>
        <w:tc>
          <w:tcPr>
            <w:tcW w:type="dxa" w:w="5760"/>
            <w:shd w:val="clear" w:color="auto" w:fill="EFF6FF"/>
          </w:tcPr>
          <w:p>
            <w:r>
              <w:rPr>
                <w:sz w:val="18"/>
              </w:rPr>
              <w:t>Projected annual fine under Phase 2 limits</w:t>
            </w:r>
          </w:p>
        </w:tc>
      </w:tr>
      <w:tr>
        <w:tc>
          <w:tcPr>
            <w:tcW w:type="dxa" w:w="2160"/>
          </w:tcPr>
          <w:p>
            <w:r>
              <w:rPr>
                <w:sz w:val="18"/>
              </w:rPr>
              <w:t>ll97_over_2024</w:t>
            </w:r>
          </w:p>
        </w:tc>
        <w:tc>
          <w:tcPr>
            <w:tcW w:type="dxa" w:w="1440"/>
          </w:tcPr>
          <w:p>
            <w:r>
              <w:rPr>
                <w:sz w:val="18"/>
              </w:rPr>
              <w:t>0/1</w:t>
            </w:r>
          </w:p>
        </w:tc>
        <w:tc>
          <w:tcPr>
            <w:tcW w:type="dxa" w:w="5760"/>
          </w:tcPr>
          <w:p>
            <w:r>
              <w:rPr>
                <w:sz w:val="18"/>
              </w:rPr>
              <w:t>Binary: building exceeds Phase 1 cap</w:t>
            </w:r>
          </w:p>
        </w:tc>
      </w:tr>
      <w:tr>
        <w:tc>
          <w:tcPr>
            <w:tcW w:type="dxa" w:w="2160"/>
            <w:shd w:val="clear" w:color="auto" w:fill="EFF6FF"/>
          </w:tcPr>
          <w:p>
            <w:r>
              <w:rPr>
                <w:sz w:val="18"/>
              </w:rPr>
              <w:t>ll97_over_2030</w:t>
            </w:r>
          </w:p>
        </w:tc>
        <w:tc>
          <w:tcPr>
            <w:tcW w:type="dxa" w:w="1440"/>
            <w:shd w:val="clear" w:color="auto" w:fill="EFF6FF"/>
          </w:tcPr>
          <w:p>
            <w:r>
              <w:rPr>
                <w:sz w:val="18"/>
              </w:rPr>
              <w:t>0/1</w:t>
            </w:r>
          </w:p>
        </w:tc>
        <w:tc>
          <w:tcPr>
            <w:tcW w:type="dxa" w:w="5760"/>
            <w:shd w:val="clear" w:color="auto" w:fill="EFF6FF"/>
          </w:tcPr>
          <w:p>
            <w:r>
              <w:rPr>
                <w:sz w:val="18"/>
              </w:rPr>
              <w:t>Binary: building exceeds Phase 2 cap</w:t>
            </w:r>
          </w:p>
        </w:tc>
      </w:tr>
      <w:tr>
        <w:tc>
          <w:tcPr>
            <w:tcW w:type="dxa" w:w="2160"/>
          </w:tcPr>
          <w:p>
            <w:r>
              <w:rPr>
                <w:sz w:val="18"/>
              </w:rPr>
              <w:t>ll97_cap_2024</w:t>
            </w:r>
          </w:p>
        </w:tc>
        <w:tc>
          <w:tcPr>
            <w:tcW w:type="dxa" w:w="1440"/>
          </w:tcPr>
          <w:p>
            <w:r>
              <w:rPr>
                <w:sz w:val="18"/>
              </w:rPr>
              <w:t>MT CO₂e/yr</w:t>
            </w:r>
          </w:p>
        </w:tc>
        <w:tc>
          <w:tcPr>
            <w:tcW w:type="dxa" w:w="5760"/>
          </w:tcPr>
          <w:p>
            <w:r>
              <w:rPr>
                <w:sz w:val="18"/>
              </w:rPr>
              <w:t>Building's Phase 1 emission allowance</w:t>
            </w:r>
          </w:p>
        </w:tc>
      </w:tr>
      <w:tr>
        <w:tc>
          <w:tcPr>
            <w:tcW w:type="dxa" w:w="2160"/>
            <w:shd w:val="clear" w:color="auto" w:fill="EFF6FF"/>
          </w:tcPr>
          <w:p>
            <w:r>
              <w:rPr>
                <w:sz w:val="18"/>
              </w:rPr>
              <w:t>steam_ghg_share</w:t>
            </w:r>
          </w:p>
        </w:tc>
        <w:tc>
          <w:tcPr>
            <w:tcW w:type="dxa" w:w="1440"/>
            <w:shd w:val="clear" w:color="auto" w:fill="EFF6FF"/>
          </w:tcPr>
          <w:p>
            <w:r>
              <w:rPr>
                <w:sz w:val="18"/>
              </w:rPr>
              <w:t>0.0–1.0</w:t>
            </w:r>
          </w:p>
        </w:tc>
        <w:tc>
          <w:tcPr>
            <w:tcW w:type="dxa" w:w="5760"/>
            <w:shd w:val="clear" w:color="auto" w:fill="EFF6FF"/>
          </w:tcPr>
          <w:p>
            <w:r>
              <w:rPr>
                <w:sz w:val="18"/>
              </w:rPr>
              <w:t>Fraction of building GHG attributable to steam</w:t>
            </w:r>
          </w:p>
        </w:tc>
      </w:tr>
      <w:tr>
        <w:tc>
          <w:tcPr>
            <w:tcW w:type="dxa" w:w="2160"/>
          </w:tcPr>
          <w:p>
            <w:r>
              <w:rPr>
                <w:sz w:val="18"/>
              </w:rPr>
              <w:t>yr</w:t>
            </w:r>
          </w:p>
        </w:tc>
        <w:tc>
          <w:tcPr>
            <w:tcW w:type="dxa" w:w="1440"/>
          </w:tcPr>
          <w:p>
            <w:r>
              <w:rPr>
                <w:sz w:val="18"/>
              </w:rPr>
              <w:t>year</w:t>
            </w:r>
          </w:p>
        </w:tc>
        <w:tc>
          <w:tcPr>
            <w:tcW w:type="dxa" w:w="5760"/>
          </w:tcPr>
          <w:p>
            <w:r>
              <w:rPr>
                <w:sz w:val="18"/>
              </w:rPr>
              <w:t>Year built (from LL Benchmarking / PLUTO)</w:t>
            </w:r>
          </w:p>
        </w:tc>
      </w:tr>
      <w:tr>
        <w:tc>
          <w:tcPr>
            <w:tcW w:type="dxa" w:w="2160"/>
            <w:shd w:val="clear" w:color="auto" w:fill="EFF6FF"/>
          </w:tcPr>
          <w:p>
            <w:r>
              <w:rPr>
                <w:sz w:val="18"/>
              </w:rPr>
              <w:t>bbl</w:t>
            </w:r>
          </w:p>
        </w:tc>
        <w:tc>
          <w:tcPr>
            <w:tcW w:type="dxa" w:w="1440"/>
            <w:shd w:val="clear" w:color="auto" w:fill="EFF6FF"/>
          </w:tcPr>
          <w:p>
            <w:r>
              <w:rPr>
                <w:sz w:val="18"/>
              </w:rPr>
              <w:t>string</w:t>
            </w:r>
          </w:p>
        </w:tc>
        <w:tc>
          <w:tcPr>
            <w:tcW w:type="dxa" w:w="5760"/>
            <w:shd w:val="clear" w:color="auto" w:fill="EFF6FF"/>
          </w:tcPr>
          <w:p>
            <w:r>
              <w:rPr>
                <w:sz w:val="18"/>
              </w:rPr>
              <w:t>Borough-Block-Lot; may be semicolon-delimited for multi-tax-lot buildings</w:t>
            </w:r>
          </w:p>
        </w:tc>
      </w:tr>
    </w:tbl>
    <w:p>
      <w:r>
        <w:br w:type="page"/>
      </w:r>
    </w:p>
    <w:p>
      <w:pPr>
        <w:pStyle w:val="Heading1"/>
        <w:jc w:val="left"/>
      </w:pPr>
      <w:r>
        <w:rPr>
          <w:color w:val="C81D25"/>
          <w:sz w:val="36"/>
        </w:rPr>
        <w:t>Section 7 — Update Runbook</w:t>
      </w:r>
    </w:p>
    <w:p>
      <w:pPr>
        <w:pStyle w:val="Heading2"/>
        <w:jc w:val="left"/>
      </w:pPr>
      <w:r>
        <w:rPr>
          <w:color w:val="C81D25"/>
          <w:sz w:val="28"/>
        </w:rPr>
        <w:t>7.1  Incremental DOB Update</w:t>
      </w:r>
    </w:p>
    <w:p>
      <w:r>
        <w:rPr>
          <w:b w:val="0"/>
          <w:sz w:val="20"/>
        </w:rPr>
        <w:t>Run from coned-dashboard/ directory:</w:t>
      </w:r>
    </w:p>
    <w:p>
      <w:pPr>
        <w:ind w:left="576"/>
      </w:pPr>
      <w:r>
        <w:rPr>
          <w:rFonts w:ascii="Courier New" w:hAnsi="Courier New"/>
          <w:sz w:val="18"/>
        </w:rPr>
        <w:t>cd coned-dashboard</w:t>
        <w:br/>
        <w:t>/opt/homebrew/bin/python3.13 update_dob_jobs.py</w:t>
        <w:br/>
        <w:t>/opt/homebrew/bin/python3.13 kmeans_model.py</w:t>
        <w:br/>
        <w:t>/opt/homebrew/bin/python3.13 ll97_model.py</w:t>
      </w:r>
    </w:p>
    <w:p/>
    <w:p>
      <w:pPr>
        <w:pStyle w:val="Heading2"/>
        <w:jc w:val="left"/>
      </w:pPr>
      <w:r>
        <w:rPr>
          <w:color w:val="C81D25"/>
          <w:sz w:val="28"/>
        </w:rPr>
        <w:t>7.2  Full ML Rebuild</w:t>
      </w:r>
    </w:p>
    <w:p>
      <w:r>
        <w:rPr>
          <w:b w:val="0"/>
          <w:sz w:val="20"/>
        </w:rPr>
        <w:t>Same three scripts as above. Takes ~2 minutes. After running, commit public/buildingEnrichment.json and cluster_profiles.json.</w:t>
      </w:r>
    </w:p>
    <w:p/>
    <w:p>
      <w:pPr>
        <w:pStyle w:val="Heading2"/>
        <w:jc w:val="left"/>
      </w:pPr>
      <w:r>
        <w:rPr>
          <w:color w:val="C81D25"/>
          <w:sz w:val="28"/>
        </w:rPr>
        <w:t>7.3  Start the Dashboard (local)</w:t>
      </w:r>
    </w:p>
    <w:p>
      <w:pPr>
        <w:ind w:left="576"/>
      </w:pPr>
      <w:r>
        <w:rPr>
          <w:rFonts w:ascii="Courier New" w:hAnsi="Courier New"/>
          <w:sz w:val="18"/>
        </w:rPr>
        <w:t># Terminal 1 — backend</w:t>
        <w:br/>
        <w:t>cd coned-dashboard &amp;&amp; node server.js</w:t>
        <w:br/>
        <w:br/>
        <w:t># Terminal 2 — frontend</w:t>
        <w:br/>
        <w:t>cd coned-dashboard &amp;&amp; npm run dev</w:t>
        <w:br/>
        <w:br/>
        <w:t># Access: http://localhost:5173</w:t>
        <w:br/>
        <w:t># Password: coned-steam-2026</w:t>
      </w:r>
    </w:p>
    <w:p/>
    <w:p>
      <w:pPr>
        <w:pStyle w:val="Heading2"/>
        <w:jc w:val="left"/>
      </w:pPr>
      <w:r>
        <w:rPr>
          <w:color w:val="C81D25"/>
          <w:sz w:val="28"/>
        </w:rPr>
        <w:t>7.4  Remote Access via Tailscale</w:t>
      </w:r>
    </w:p>
    <w:p>
      <w:r>
        <w:rPr>
          <w:b w:val="0"/>
          <w:sz w:val="20"/>
        </w:rPr>
        <w:t>Start Vite with --host to expose on all interfaces:</w:t>
        <w:br/>
        <w:t>npm run dev -- --host</w:t>
        <w:br/>
        <w:br/>
        <w:t>Other devices on Tailscale can access at: http://100.107.92.16:5173</w:t>
      </w:r>
    </w:p>
    <w:p>
      <w:r>
        <w:br w:type="page"/>
      </w:r>
    </w:p>
    <w:p>
      <w:pPr>
        <w:pStyle w:val="Heading1"/>
        <w:jc w:val="left"/>
      </w:pPr>
      <w:r>
        <w:rPr>
          <w:color w:val="C81D25"/>
          <w:sz w:val="36"/>
        </w:rPr>
        <w:t>Section 8 — Known Limitations &amp; Data Notes</w:t>
      </w:r>
    </w:p>
    <w:p>
      <w:pPr>
        <w:spacing w:after="160"/>
      </w:pPr>
      <w:r>
        <w:rPr>
          <w:b/>
          <w:sz w:val="20"/>
        </w:rPr>
        <w:t xml:space="preserve">⚠  Risk model is binary by design: </w:t>
      </w:r>
      <w:r>
        <w:rPr>
          <w:sz w:val="20"/>
        </w:rPr>
        <w:t>The GBM was trained on big_drop vs. no_signal labels. Buildings with 'moderate_drop' were excluded from training. The result: very few buildings score in the 0.30–0.70 medium band (11 buildings total). This is a modeling choice, not a bug.</w:t>
      </w:r>
    </w:p>
    <w:p>
      <w:pPr>
        <w:spacing w:after="160"/>
      </w:pPr>
      <w:r>
        <w:rPr>
          <w:b/>
          <w:sz w:val="20"/>
        </w:rPr>
        <w:t xml:space="preserve">⚠  YoY data coverage gap: </w:t>
      </w:r>
      <w:r>
        <w:rPr>
          <w:sz w:val="20"/>
        </w:rPr>
        <w:t>2022→2023 YoY delta covers 743 buildings. 2023→2024 covers only 422 buildings because 2024 benchmarking data was not yet available for all accounts at data collection time. Buildings missing 2024 data show their most recent available year.</w:t>
      </w:r>
    </w:p>
    <w:p>
      <w:pPr>
        <w:spacing w:after="160"/>
      </w:pPr>
      <w:r>
        <w:rPr>
          <w:b/>
          <w:sz w:val="20"/>
        </w:rPr>
        <w:t xml:space="preserve">⚠  LL97 2030 estimates are projections: </w:t>
      </w:r>
      <w:r>
        <w:rPr>
          <w:sz w:val="20"/>
        </w:rPr>
        <w:t>The 2030 fine calculations assume current steam consumption levels hold constant. Actual fines will depend on: LL97 regulatory changes, building renovations, and whether building owners comply via offsets, retrofits, or switching.</w:t>
      </w:r>
    </w:p>
    <w:p>
      <w:pPr>
        <w:spacing w:after="160"/>
      </w:pPr>
      <w:r>
        <w:rPr>
          <w:b/>
          <w:sz w:val="20"/>
        </w:rPr>
        <w:t xml:space="preserve">⚠  Floor area is self-reported: </w:t>
      </w:r>
      <w:r>
        <w:rPr>
          <w:sz w:val="20"/>
        </w:rPr>
        <w:t>GFA comes from NYC LL Benchmarking self-reporting. Errors in floor area directly affect EUI and LL97 penalty calculations. Some buildings show EUI outliers due to misreported floor area.</w:t>
      </w:r>
    </w:p>
    <w:p>
      <w:pPr>
        <w:spacing w:after="160"/>
      </w:pPr>
      <w:r>
        <w:rPr>
          <w:b/>
          <w:sz w:val="20"/>
        </w:rPr>
        <w:t xml:space="preserve">⚠  DOB permits proxy only: </w:t>
      </w:r>
      <w:r>
        <w:rPr>
          <w:sz w:val="20"/>
        </w:rPr>
        <w:t>dob_jobs counts permit filings, not completed work. High permit counts may indicate renovation toward electrification OR general building maintenance. The model uses this as a directional signal, not a definitive indicator.</w:t>
      </w:r>
    </w:p>
    <w:p>
      <w:pPr>
        <w:spacing w:after="160"/>
      </w:pPr>
      <w:r>
        <w:rPr>
          <w:b/>
          <w:sz w:val="20"/>
        </w:rPr>
        <w:t xml:space="preserve">⚠  LL97 fine cross-check: </w:t>
      </w:r>
      <w:r>
        <w:rPr>
          <w:sz w:val="20"/>
        </w:rPr>
        <w:t>The $81.9M total cannot yet be independently verified against NYC DEP compliance reports because official 2024 enforcement data has not been released. The calculation uses the statutory formula as written in LL97 and NYC DOB Chapter 103 Rules.</w:t>
      </w:r>
    </w:p>
    <w:p>
      <w:r>
        <w:br w:type="page"/>
      </w:r>
    </w:p>
    <w:p>
      <w:pPr>
        <w:pStyle w:val="Heading1"/>
        <w:jc w:val="left"/>
      </w:pPr>
      <w:r>
        <w:rPr>
          <w:color w:val="C81D25"/>
          <w:sz w:val="36"/>
        </w:rPr>
        <w:t>Appendix A — Quick Numbers Reference</w:t>
      </w:r>
    </w:p>
    <w:tbl>
      <w:tblPr>
        <w:tblStyle w:val="TableGrid"/>
        <w:tblW w:type="auto" w:w="0"/>
        <w:tblLook w:firstColumn="1" w:firstRow="1" w:lastColumn="0" w:lastRow="0" w:noHBand="0" w:noVBand="1" w:val="04A0"/>
      </w:tblPr>
      <w:tblGrid>
        <w:gridCol w:w="4680"/>
        <w:gridCol w:w="4680"/>
      </w:tblGrid>
      <w:tr>
        <w:tc>
          <w:tcPr>
            <w:tcW w:type="dxa" w:w="4320"/>
            <w:shd w:val="clear" w:color="auto" w:fill="1E3A5F"/>
          </w:tcPr>
          <w:p>
            <w:r>
              <w:rPr>
                <w:b/>
                <w:color w:val="FFFFFF"/>
                <w:sz w:val="18"/>
              </w:rPr>
              <w:t>Metric</w:t>
            </w:r>
          </w:p>
        </w:tc>
        <w:tc>
          <w:tcPr>
            <w:tcW w:type="dxa" w:w="4320"/>
            <w:shd w:val="clear" w:color="auto" w:fill="1E3A5F"/>
          </w:tcPr>
          <w:p>
            <w:r>
              <w:rPr>
                <w:b/>
                <w:color w:val="FFFFFF"/>
                <w:sz w:val="18"/>
              </w:rPr>
              <w:t>Value</w:t>
            </w:r>
          </w:p>
        </w:tc>
      </w:tr>
      <w:tr>
        <w:tc>
          <w:tcPr>
            <w:tcW w:type="dxa" w:w="4320"/>
          </w:tcPr>
          <w:p>
            <w:r>
              <w:rPr>
                <w:sz w:val="18"/>
              </w:rPr>
              <w:t>Portfolio size</w:t>
            </w:r>
          </w:p>
        </w:tc>
        <w:tc>
          <w:tcPr>
            <w:tcW w:type="dxa" w:w="4320"/>
          </w:tcPr>
          <w:p>
            <w:r>
              <w:rPr>
                <w:sz w:val="18"/>
              </w:rPr>
              <w:t>1,210 buildings</w:t>
            </w:r>
          </w:p>
        </w:tc>
      </w:tr>
      <w:tr>
        <w:tc>
          <w:tcPr>
            <w:tcW w:type="dxa" w:w="4320"/>
            <w:shd w:val="clear" w:color="auto" w:fill="EFF6FF"/>
          </w:tcPr>
          <w:p>
            <w:r>
              <w:rPr>
                <w:sz w:val="18"/>
              </w:rPr>
              <w:t>Borough</w:t>
            </w:r>
          </w:p>
        </w:tc>
        <w:tc>
          <w:tcPr>
            <w:tcW w:type="dxa" w:w="4320"/>
            <w:shd w:val="clear" w:color="auto" w:fill="EFF6FF"/>
          </w:tcPr>
          <w:p>
            <w:r>
              <w:rPr>
                <w:sz w:val="18"/>
              </w:rPr>
              <w:t>Manhattan only</w:t>
            </w:r>
          </w:p>
        </w:tc>
      </w:tr>
      <w:tr>
        <w:tc>
          <w:tcPr>
            <w:tcW w:type="dxa" w:w="4320"/>
          </w:tcPr>
          <w:p>
            <w:r>
              <w:rPr>
                <w:sz w:val="18"/>
              </w:rPr>
              <w:t>Steam emission factor</w:t>
            </w:r>
          </w:p>
        </w:tc>
        <w:tc>
          <w:tcPr>
            <w:tcW w:type="dxa" w:w="4320"/>
          </w:tcPr>
          <w:p>
            <w:r>
              <w:rPr>
                <w:sz w:val="18"/>
              </w:rPr>
              <w:t>0.00004493 MT CO₂e / kBtu</w:t>
            </w:r>
          </w:p>
        </w:tc>
      </w:tr>
      <w:tr>
        <w:tc>
          <w:tcPr>
            <w:tcW w:type="dxa" w:w="4320"/>
            <w:shd w:val="clear" w:color="auto" w:fill="EFF6FF"/>
          </w:tcPr>
          <w:p>
            <w:r>
              <w:rPr>
                <w:sz w:val="18"/>
              </w:rPr>
              <w:t>LL97 fine rate</w:t>
            </w:r>
          </w:p>
        </w:tc>
        <w:tc>
          <w:tcPr>
            <w:tcW w:type="dxa" w:w="4320"/>
            <w:shd w:val="clear" w:color="auto" w:fill="EFF6FF"/>
          </w:tcPr>
          <w:p>
            <w:r>
              <w:rPr>
                <w:sz w:val="18"/>
              </w:rPr>
              <w:t>$268 per MT CO₂e over cap</w:t>
            </w:r>
          </w:p>
        </w:tc>
      </w:tr>
      <w:tr>
        <w:tc>
          <w:tcPr>
            <w:tcW w:type="dxa" w:w="4320"/>
          </w:tcPr>
          <w:p>
            <w:r>
              <w:rPr>
                <w:sz w:val="18"/>
              </w:rPr>
              <w:t>Total LL97 2024 fine</w:t>
            </w:r>
          </w:p>
        </w:tc>
        <w:tc>
          <w:tcPr>
            <w:tcW w:type="dxa" w:w="4320"/>
          </w:tcPr>
          <w:p>
            <w:r>
              <w:rPr>
                <w:sz w:val="18"/>
              </w:rPr>
              <w:t>$81,875,711</w:t>
            </w:r>
          </w:p>
        </w:tc>
      </w:tr>
      <w:tr>
        <w:tc>
          <w:tcPr>
            <w:tcW w:type="dxa" w:w="4320"/>
            <w:shd w:val="clear" w:color="auto" w:fill="EFF6FF"/>
          </w:tcPr>
          <w:p>
            <w:r>
              <w:rPr>
                <w:sz w:val="18"/>
              </w:rPr>
              <w:t>Total LL97 2030 fine</w:t>
            </w:r>
          </w:p>
        </w:tc>
        <w:tc>
          <w:tcPr>
            <w:tcW w:type="dxa" w:w="4320"/>
            <w:shd w:val="clear" w:color="auto" w:fill="EFF6FF"/>
          </w:tcPr>
          <w:p>
            <w:r>
              <w:rPr>
                <w:sz w:val="18"/>
              </w:rPr>
              <w:t>$270,916,416</w:t>
            </w:r>
          </w:p>
        </w:tc>
      </w:tr>
      <w:tr>
        <w:tc>
          <w:tcPr>
            <w:tcW w:type="dxa" w:w="4320"/>
          </w:tcPr>
          <w:p>
            <w:r>
              <w:rPr>
                <w:sz w:val="18"/>
              </w:rPr>
              <w:t>High-risk buildings</w:t>
            </w:r>
          </w:p>
        </w:tc>
        <w:tc>
          <w:tcPr>
            <w:tcW w:type="dxa" w:w="4320"/>
          </w:tcPr>
          <w:p>
            <w:r>
              <w:rPr>
                <w:sz w:val="18"/>
              </w:rPr>
              <w:t>58 (score ≥ 0.70)</w:t>
            </w:r>
          </w:p>
        </w:tc>
      </w:tr>
      <w:tr>
        <w:tc>
          <w:tcPr>
            <w:tcW w:type="dxa" w:w="4320"/>
            <w:shd w:val="clear" w:color="auto" w:fill="EFF6FF"/>
          </w:tcPr>
          <w:p>
            <w:r>
              <w:rPr>
                <w:sz w:val="18"/>
              </w:rPr>
              <w:t>Medium-risk buildings</w:t>
            </w:r>
          </w:p>
        </w:tc>
        <w:tc>
          <w:tcPr>
            <w:tcW w:type="dxa" w:w="4320"/>
            <w:shd w:val="clear" w:color="auto" w:fill="EFF6FF"/>
          </w:tcPr>
          <w:p>
            <w:r>
              <w:rPr>
                <w:sz w:val="18"/>
              </w:rPr>
              <w:t>11 (score 0.30–0.70)</w:t>
            </w:r>
          </w:p>
        </w:tc>
      </w:tr>
      <w:tr>
        <w:tc>
          <w:tcPr>
            <w:tcW w:type="dxa" w:w="4320"/>
          </w:tcPr>
          <w:p>
            <w:r>
              <w:rPr>
                <w:sz w:val="18"/>
              </w:rPr>
              <w:t>Low-risk buildings</w:t>
            </w:r>
          </w:p>
        </w:tc>
        <w:tc>
          <w:tcPr>
            <w:tcW w:type="dxa" w:w="4320"/>
          </w:tcPr>
          <w:p>
            <w:r>
              <w:rPr>
                <w:sz w:val="18"/>
              </w:rPr>
              <w:t>1,141 (score &lt; 0.30)</w:t>
            </w:r>
          </w:p>
        </w:tc>
      </w:tr>
      <w:tr>
        <w:tc>
          <w:tcPr>
            <w:tcW w:type="dxa" w:w="4320"/>
            <w:shd w:val="clear" w:color="auto" w:fill="EFF6FF"/>
          </w:tcPr>
          <w:p>
            <w:r>
              <w:rPr>
                <w:sz w:val="18"/>
              </w:rPr>
              <w:t>K-means K</w:t>
            </w:r>
          </w:p>
        </w:tc>
        <w:tc>
          <w:tcPr>
            <w:tcW w:type="dxa" w:w="4320"/>
            <w:shd w:val="clear" w:color="auto" w:fill="EFF6FF"/>
          </w:tcPr>
          <w:p>
            <w:r>
              <w:rPr>
                <w:sz w:val="18"/>
              </w:rPr>
              <w:t>5 clusters</w:t>
            </w:r>
          </w:p>
        </w:tc>
      </w:tr>
      <w:tr>
        <w:tc>
          <w:tcPr>
            <w:tcW w:type="dxa" w:w="4320"/>
          </w:tcPr>
          <w:p>
            <w:r>
              <w:rPr>
                <w:sz w:val="18"/>
              </w:rPr>
              <w:t>Silhouette score @ K=5</w:t>
            </w:r>
          </w:p>
        </w:tc>
        <w:tc>
          <w:tcPr>
            <w:tcW w:type="dxa" w:w="4320"/>
          </w:tcPr>
          <w:p>
            <w:r>
              <w:rPr>
                <w:sz w:val="18"/>
              </w:rPr>
              <w:t>0.191</w:t>
            </w:r>
          </w:p>
        </w:tc>
      </w:tr>
      <w:tr>
        <w:tc>
          <w:tcPr>
            <w:tcW w:type="dxa" w:w="4320"/>
            <w:shd w:val="clear" w:color="auto" w:fill="EFF6FF"/>
          </w:tcPr>
          <w:p>
            <w:r>
              <w:rPr>
                <w:sz w:val="18"/>
              </w:rPr>
              <w:t>DOB records total</w:t>
            </w:r>
          </w:p>
        </w:tc>
        <w:tc>
          <w:tcPr>
            <w:tcW w:type="dxa" w:w="4320"/>
            <w:shd w:val="clear" w:color="auto" w:fill="EFF6FF"/>
          </w:tcPr>
          <w:p>
            <w:r>
              <w:rPr>
                <w:sz w:val="18"/>
              </w:rPr>
              <w:t>19,879 (through 2026-06-13)</w:t>
            </w:r>
          </w:p>
        </w:tc>
      </w:tr>
      <w:tr>
        <w:tc>
          <w:tcPr>
            <w:tcW w:type="dxa" w:w="4320"/>
          </w:tcPr>
          <w:p>
            <w:r>
              <w:rPr>
                <w:sz w:val="18"/>
              </w:rPr>
              <w:t>DOB rolling window</w:t>
            </w:r>
          </w:p>
        </w:tc>
        <w:tc>
          <w:tcPr>
            <w:tcW w:type="dxa" w:w="4320"/>
          </w:tcPr>
          <w:p>
            <w:r>
              <w:rPr>
                <w:sz w:val="18"/>
              </w:rPr>
              <w:t>24 months</w:t>
            </w:r>
          </w:p>
        </w:tc>
      </w:tr>
      <w:tr>
        <w:tc>
          <w:tcPr>
            <w:tcW w:type="dxa" w:w="4320"/>
            <w:shd w:val="clear" w:color="auto" w:fill="EFF6FF"/>
          </w:tcPr>
          <w:p>
            <w:r>
              <w:rPr>
                <w:sz w:val="18"/>
              </w:rPr>
              <w:t>GBM features</w:t>
            </w:r>
          </w:p>
        </w:tc>
        <w:tc>
          <w:tcPr>
            <w:tcW w:type="dxa" w:w="4320"/>
            <w:shd w:val="clear" w:color="auto" w:fill="EFF6FF"/>
          </w:tcPr>
          <w:p>
            <w:r>
              <w:rPr>
                <w:sz w:val="18"/>
              </w:rPr>
              <w:t>12</w:t>
            </w:r>
          </w:p>
        </w:tc>
      </w:tr>
      <w:tr>
        <w:tc>
          <w:tcPr>
            <w:tcW w:type="dxa" w:w="4320"/>
          </w:tcPr>
          <w:p>
            <w:r>
              <w:rPr>
                <w:sz w:val="18"/>
              </w:rPr>
              <w:t>Dashboard password</w:t>
            </w:r>
          </w:p>
        </w:tc>
        <w:tc>
          <w:tcPr>
            <w:tcW w:type="dxa" w:w="4320"/>
          </w:tcPr>
          <w:p>
            <w:r>
              <w:rPr>
                <w:sz w:val="18"/>
              </w:rPr>
              <w:t>coned-steam-2026</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