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2469"/>
          <w:sz w:val="40"/>
        </w:rPr>
        <w:t>ADDENDUM — TECHNICAL CHANGE DOCUMENT</w:t>
      </w:r>
    </w:p>
    <w:p>
      <w:pPr>
        <w:jc w:val="center"/>
      </w:pPr>
      <w:r>
        <w:rPr>
          <w:color w:val="C81D25"/>
          <w:sz w:val="28"/>
        </w:rPr>
        <w:t>ConEd Steam Attrition Intelligence Dashboard</w:t>
      </w:r>
    </w:p>
    <w:p>
      <w:pPr>
        <w:jc w:val="center"/>
      </w:pPr>
      <w:r>
        <w:rPr>
          <w:color w:val="475669"/>
          <w:sz w:val="20"/>
        </w:rPr>
        <w:t>Baseline: June 13, 2026 (commit d8848bf)  →  Current: June 14, 2026 (commit 516cef4)</w:t>
      </w:r>
    </w:p>
    <w:p>
      <w:pPr>
        <w:jc w:val="center"/>
      </w:pPr>
      <w:r>
        <w:rPr>
          <w:i/>
          <w:color w:val="475669"/>
          <w:sz w:val="18"/>
        </w:rPr>
        <w:t>Prepared by: Neo (RRC) · Pursuit Fellowship Data Team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Commit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4dee668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CSV export injection hardening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2eddce6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YoY delta backfill + hallucination guards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dae6e48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Data/UI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Uncertain tier removed — 100% ML coverage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0f44fd0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Pre-Blackstone hardening (Helmet, rate limits, CRLF)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33cea13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Click-to-filter charts, Toast, useKeyboard, useUrlState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ff3b82f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Pagination, multi-sort, bulk select, TrendChart, /api/buildings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516cef4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Feature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Server-side watchlist sync + TrendChart LL97 cap line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2469"/>
          <w:sz w:val="32"/>
        </w:rPr>
        <w:t>1. Data Quality Updates</w:t>
      </w:r>
    </w:p>
    <w:p>
      <w:pPr>
        <w:pStyle w:val="Heading2"/>
        <w:jc w:val="left"/>
      </w:pPr>
      <w:r>
        <w:rPr>
          <w:color w:val="C81D25"/>
          <w:sz w:val="26"/>
        </w:rPr>
        <w:t>1.1  Uncertain Tier Elimination</w:t>
      </w:r>
    </w:p>
    <w:p>
      <w:r>
        <w:rPr>
          <w:b w:val="0"/>
          <w:i w:val="0"/>
          <w:sz w:val="20"/>
        </w:rPr>
        <w:t>The Uncertain tier — buildings excluded from ML training due to missing GHG/floor-area/year-built data — was present in the original manual as 50 buildings displayed in purple. A programmatic audit confirmed that all 1,210 buildings in the current dataset have ml_risk values in buildingEnrichment.json. The Uncertain tier is now permanently removed from all UI components and documentation.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Manual Baseline (d8848bf)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Current (516cef4)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Total buildings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1,260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1,210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ML coverage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~96% (uncertain: 50)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High risk (score &gt; 0.7)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59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Medium risk (0.4–0.7)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Low risk (≤ 0.4)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1,145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1,145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Uncertain tier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50 (purple)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Eliminated</w:t>
            </w:r>
          </w:p>
        </w:tc>
      </w:tr>
    </w:tbl>
    <w:p/>
    <w:p>
      <w:pPr>
        <w:pStyle w:val="Heading2"/>
        <w:jc w:val="left"/>
      </w:pPr>
      <w:r>
        <w:rPr>
          <w:color w:val="C81D25"/>
          <w:sz w:val="26"/>
        </w:rPr>
        <w:t>1.2  YoY Delta Backfill</w:t>
      </w:r>
    </w:p>
    <w:p>
      <w:r>
        <w:rPr>
          <w:b w:val="0"/>
          <w:i w:val="0"/>
          <w:sz w:val="20"/>
        </w:rPr>
        <w:t>The public/yoy_deltas.json data file was regenerated with normalized year-over-year steam deltas for all 1,605 building-year pairs. Prior versions had gaps where 2022–2023 or 2023–2024 comparisons were missing for buildings that appeared in only some LL84 filing years.</w:t>
      </w:r>
    </w:p>
    <w:p>
      <w:pPr>
        <w:ind w:left="567"/>
        <w:shd w:val="clear" w:color="auto" w:fill="F1F5F9"/>
      </w:pPr>
      <w:r>
        <w:rPr>
          <w:rFonts w:ascii="Courier New" w:hAnsi="Courier New"/>
          <w:color w:val="1E293B"/>
          <w:sz w:val="18"/>
        </w:rPr>
        <w:t>norm_delta_23_24 = (steam_2024 - steam_2023) / max(steam_2023, steam_2024)</w:t>
      </w:r>
    </w:p>
    <w:p>
      <w:r>
        <w:rPr>
          <w:b w:val="0"/>
          <w:i/>
          <w:sz w:val="20"/>
        </w:rPr>
        <w:t>Buildings with a single year on record (first LL84 filer in 2024) receive null for the 2022–2023 delta but a valid 2023–2024 delta using a synthetic 2023 peer-median value from the same use-type/cluster group. This reduces the 'skip-year' count from 213 to 87.</w:t>
      </w:r>
    </w:p>
    <w:p/>
    <w:p>
      <w:r>
        <w:rPr>
          <w:b w:val="0"/>
          <w:i/>
          <w:sz w:val="18"/>
        </w:rPr>
        <w:t>Figure 1. Risk distribution histogram — 1,210 buildings with 100% ML coverage.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798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9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color w:val="002469"/>
          <w:sz w:val="32"/>
        </w:rPr>
        <w:t>2. Reference Formulas (LL97 Calculations)</w:t>
      </w:r>
    </w:p>
    <w:p>
      <w:pPr>
        <w:pStyle w:val="Heading2"/>
        <w:jc w:val="left"/>
      </w:pPr>
      <w:r>
        <w:rPr>
          <w:color w:val="C81D25"/>
          <w:sz w:val="26"/>
        </w:rPr>
        <w:t>2.1  GHG Emissions from Steam</w:t>
      </w:r>
    </w:p>
    <w:p>
      <w:r>
        <w:rPr>
          <w:b w:val="0"/>
          <w:i w:val="0"/>
          <w:sz w:val="20"/>
        </w:rPr>
        <w:t>Local Law 97 uses the following emission factor for district steam (Chapter 103 Rules):</w:t>
      </w:r>
    </w:p>
    <w:p>
      <w:pPr>
        <w:ind w:left="567"/>
        <w:shd w:val="clear" w:color="auto" w:fill="F1F5F9"/>
      </w:pPr>
      <w:r>
        <w:rPr>
          <w:rFonts w:ascii="Courier New" w:hAnsi="Courier New"/>
          <w:color w:val="1E293B"/>
          <w:sz w:val="18"/>
        </w:rPr>
        <w:t>GHG_steam (MT CO₂e) = steam_kBtu × 4.493 × 10⁻⁵</w:t>
      </w:r>
    </w:p>
    <w:p>
      <w:r>
        <w:rPr>
          <w:b w:val="0"/>
          <w:i w:val="0"/>
          <w:sz w:val="20"/>
        </w:rPr>
        <w:t>Note: This is the LL97 regulatory coefficient. It differs from the EPA eGRID value (6.68 × 10⁻⁵) — the LL97 value is used throughout the model for compliance consistency.</w:t>
      </w:r>
    </w:p>
    <w:p>
      <w:pPr>
        <w:pStyle w:val="Heading2"/>
        <w:jc w:val="left"/>
      </w:pPr>
      <w:r>
        <w:rPr>
          <w:color w:val="C81D25"/>
          <w:sz w:val="26"/>
        </w:rPr>
        <w:t>2.2  Annual Penalty Calculation</w:t>
      </w:r>
    </w:p>
    <w:p>
      <w:pPr>
        <w:ind w:left="567"/>
        <w:shd w:val="clear" w:color="auto" w:fill="F1F5F9"/>
      </w:pPr>
      <w:r>
        <w:rPr>
          <w:rFonts w:ascii="Courier New" w:hAnsi="Courier New"/>
          <w:color w:val="1E293B"/>
          <w:sz w:val="18"/>
        </w:rPr>
        <w:t>Penalty ($/yr) = max(0, Actual_GHG - (Floor_Area_ft² × Intensity_Limit)) × $268/ton CO₂e</w:t>
      </w:r>
    </w:p>
    <w:p>
      <w:r>
        <w:rPr>
          <w:b w:val="0"/>
          <w:i w:val="0"/>
          <w:sz w:val="20"/>
        </w:rPr>
        <w:t>Intensity limits by period and use type (MT CO₂e / ft²):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Use Type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2024–2029 Limit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2030–2034 Limit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Office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0.00846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0.00453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Multifamily Housing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0.00675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0.00334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Hotel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0.00901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0.00417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K-12 School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0.00758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0.00407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Retail Store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0.01667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0.00420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Hospital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0.02381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0.00820</w:t>
            </w:r>
          </w:p>
        </w:tc>
      </w:tr>
    </w:tbl>
    <w:p/>
    <w:p>
      <w:pPr>
        <w:pStyle w:val="Heading2"/>
        <w:jc w:val="left"/>
      </w:pPr>
      <w:r>
        <w:rPr>
          <w:color w:val="C81D25"/>
          <w:sz w:val="26"/>
        </w:rPr>
        <w:t>2.3  LL97 Cap → Steam Threshold (TrendChart Conversion)</w:t>
      </w:r>
    </w:p>
    <w:p>
      <w:r>
        <w:rPr>
          <w:b w:val="0"/>
          <w:i w:val="0"/>
          <w:sz w:val="20"/>
        </w:rPr>
        <w:t>The new TrendChart in BuildingPanel plots the LL97 cap as a steam kBtu threshold line so analysts can see whether a building’s steam consumption is above or below its compliance threshold. The conversion inverts the GHG formula:</w:t>
      </w:r>
    </w:p>
    <w:p>
      <w:pPr>
        <w:ind w:left="567"/>
        <w:shd w:val="clear" w:color="auto" w:fill="F1F5F9"/>
      </w:pPr>
      <w:r>
        <w:rPr>
          <w:rFonts w:ascii="Courier New" w:hAnsi="Courier New"/>
          <w:color w:val="1E293B"/>
          <w:sz w:val="18"/>
        </w:rPr>
        <w:t>cap_steam_kBtu = ll97_cap_MT_CO₂e / 4.493 × 10⁻⁵</w:t>
      </w:r>
    </w:p>
    <w:p>
      <w:r>
        <w:rPr>
          <w:b w:val="0"/>
          <w:i w:val="0"/>
          <w:sz w:val="20"/>
        </w:rPr>
        <w:t>Where ll97_cap_MT_CO₂e = Floor_Area × Intensity_Limit (period-specific). The chart shows a red dashed line for the applicable period cap. If a building’s steam trend line is above the red line, it is over its cap and faces a penalty.</w:t>
      </w:r>
    </w:p>
    <w:p/>
    <w:p>
      <w:r>
        <w:rPr>
          <w:b w:val="0"/>
          <w:i/>
          <w:sz w:val="18"/>
        </w:rPr>
        <w:t>Figure 2. LL97 penalty exposure ($M/yr) by risk tier — 2024 vs 2030 cap periods.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0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0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color w:val="002469"/>
          <w:sz w:val="32"/>
        </w:rPr>
        <w:t>3. New UI/UX Features</w:t>
      </w:r>
    </w:p>
    <w:p>
      <w:pPr>
        <w:pStyle w:val="Heading2"/>
        <w:jc w:val="left"/>
      </w:pPr>
      <w:r>
        <w:rPr>
          <w:color w:val="C81D25"/>
          <w:sz w:val="26"/>
        </w:rPr>
        <w:t>3.1  RiskTable Enhancements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Component Location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Cross-field search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Searches address, use type, archetype, SC class, BBL simultaneously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RiskTable.jsx:97–103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Pagination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50 rows per page, Prev/Next controls, ‘Showing X–Y of Z’ counter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RiskTable.jsx:167–171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Multi-column sort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sortStack[] — click header to add, click again to toggle asc/desc, click third time to remove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RiskTable.jsx:61–75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Bulk select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Checkboxes per row, select-all header, batch actions bar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RiskTable.jsx:77–92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CSV loading state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Button shows ‘Exporting…’ spinner; filename tagged YYYY-MM-DD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RiskTable.jsx:173</w:t>
            </w:r>
          </w:p>
        </w:tc>
      </w:tr>
    </w:tbl>
    <w:p>
      <w:pPr>
        <w:pStyle w:val="Heading2"/>
        <w:jc w:val="left"/>
      </w:pPr>
      <w:r>
        <w:rPr>
          <w:color w:val="C81D25"/>
          <w:sz w:val="26"/>
        </w:rPr>
        <w:t>3.2  Multi-Column Sort Algorithm</w:t>
      </w:r>
    </w:p>
    <w:p>
      <w:r>
        <w:rPr>
          <w:b w:val="0"/>
          <w:i w:val="0"/>
          <w:sz w:val="20"/>
        </w:rPr>
        <w:t>The sortStack replaces the previous single-key sort. Each entry is { key, dir }:</w:t>
      </w:r>
    </w:p>
    <w:p>
      <w:pPr>
        <w:ind w:left="567"/>
        <w:shd w:val="clear" w:color="auto" w:fill="F1F5F9"/>
      </w:pPr>
      <w:r>
        <w:rPr>
          <w:rFonts w:ascii="Courier New" w:hAnsi="Courier New"/>
          <w:color w:val="1E293B"/>
          <w:sz w:val="18"/>
        </w:rPr>
        <w:t>// Click behavior:</w:t>
        <w:br/>
        <w:t>not in stack → append { key, dir: 'desc' }</w:t>
        <w:br/>
        <w:t>in stack, dir='desc' → update to dir='asc'</w:t>
        <w:br/>
        <w:t>in stack, dir='asc' → remove from stack</w:t>
        <w:br/>
        <w:br/>
        <w:t>// Sort comparator:</w:t>
        <w:br/>
        <w:t>rows.sort((a, b) =&gt; {</w:t>
        <w:br/>
        <w:t xml:space="preserve">  for (const { key, dir } of sortStack) {</w:t>
        <w:br/>
        <w:t xml:space="preserve">    if (a[key] &lt; b[key]) return dir === 'asc' ? -1 : 1;</w:t>
        <w:br/>
        <w:t xml:space="preserve">    if (a[key] &gt; b[key]) return dir === 'asc' ? 1 : -1;</w:t>
        <w:br/>
        <w:t xml:space="preserve">  }</w:t>
        <w:br/>
        <w:t xml:space="preserve">  return 0;</w:t>
        <w:br/>
        <w:t>});</w:t>
      </w:r>
    </w:p>
    <w:p>
      <w:pPr>
        <w:pStyle w:val="Heading2"/>
        <w:jc w:val="left"/>
      </w:pPr>
      <w:r>
        <w:rPr>
          <w:color w:val="C81D25"/>
          <w:sz w:val="26"/>
        </w:rPr>
        <w:t>3.3  Click-to-Filter Charts</w:t>
      </w:r>
    </w:p>
    <w:p>
      <w:r>
        <w:rPr>
          <w:b w:val="0"/>
          <w:i w:val="0"/>
          <w:sz w:val="20"/>
        </w:rPr>
        <w:t>Both the Risk Histogram and YoY Scatter chart now emit filter events back to App.jsx, which passes them as props to RiskTable. Clicking a histogram bar filters the Rankings tab to that risk bucket; clicking a scatter dot opens the BuildingPanel; clicking a cluster legend item filters by archetype.</w:t>
      </w:r>
    </w:p>
    <w:p>
      <w:pPr>
        <w:ind w:left="567"/>
        <w:shd w:val="clear" w:color="auto" w:fill="F1F5F9"/>
      </w:pPr>
      <w:r>
        <w:rPr>
          <w:rFonts w:ascii="Courier New" w:hAnsi="Courier New"/>
          <w:color w:val="1E293B"/>
          <w:sz w:val="18"/>
        </w:rPr>
        <w:t>// App.jsx handlers:</w:t>
        <w:br/>
        <w:t>handleHistogramFilter(min, max)  =&gt; setRiskMin/Max (prop to RiskTable)</w:t>
        <w:br/>
        <w:t>handleScatterFilterCluster(name) =&gt; setClusterFilter (prop to RiskTable)</w:t>
        <w:br/>
        <w:t>handleScatterSelect(building)    =&gt; setSelected (BuildingPanel)</w:t>
        <w:br/>
        <w:br/>
        <w:t>// RiskTable useEffect sync:</w:t>
        <w:br/>
        <w:t>useEffect(() =&gt; { setChartRiskMin(initialRiskMin ?? null); }, [initialRiskMin, initialRiskMax]);</w:t>
        <w:br/>
        <w:t>useEffect(() =&gt; { if (initialClusterFilter != null) setClusterFilter(initialClusterFilter); }, [initialClusterFilter]);</w:t>
      </w:r>
    </w:p>
    <w:p>
      <w:pPr>
        <w:pStyle w:val="Heading2"/>
        <w:jc w:val="left"/>
      </w:pPr>
      <w:r>
        <w:rPr>
          <w:color w:val="C81D25"/>
          <w:sz w:val="26"/>
        </w:rPr>
        <w:t>3.4  Keyboard Shortcuts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Shortcut</w:t>
            </w:r>
          </w:p>
        </w:tc>
        <w:tc>
          <w:tcPr>
            <w:tcW w:type="dxa" w:w="4703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8"/>
              </w:rPr>
              <w:t>Switch to Attrition Rankings tab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Switch to YoY Trends tab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8"/>
              </w:rPr>
              <w:t>Switch to Top Targets tab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Switch to Watch List tab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8"/>
              </w:rPr>
              <w:t>Switch to AI Agent tab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Ctrl + F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Focus search input in Rankings (jumps to tab if needed)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18"/>
              </w:rPr>
              <w:t>Escape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8"/>
              </w:rPr>
              <w:t>Close building side panel</w:t>
            </w:r>
          </w:p>
        </w:tc>
      </w:tr>
    </w:tbl>
    <w:p>
      <w:r>
        <w:rPr>
          <w:b w:val="0"/>
          <w:i w:val="0"/>
          <w:sz w:val="20"/>
        </w:rPr>
        <w:t>Implemented via useKeyboard hook (src/hooks/useKeyboard.js). Hook auto-exempts INPUT / TEXTAREA / SELECT elements so typing in filters doesn’t trigger shortcuts (except Escape, which always fires).</w:t>
      </w:r>
    </w:p>
    <w:p>
      <w:pPr>
        <w:pStyle w:val="Heading2"/>
        <w:jc w:val="left"/>
      </w:pPr>
      <w:r>
        <w:rPr>
          <w:color w:val="C81D25"/>
          <w:sz w:val="26"/>
        </w:rPr>
        <w:t>3.5  TrendChart (BuildingPanel.jsx)</w:t>
      </w:r>
    </w:p>
    <w:p>
      <w:r>
        <w:rPr>
          <w:b w:val="0"/>
          <w:i w:val="0"/>
          <w:sz w:val="20"/>
        </w:rPr>
        <w:t>Replaces the old SteamTrend static bar chart. Shows three Recharts LineChart series: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Series</w:t>
            </w:r>
          </w:p>
        </w:tc>
        <w:tc>
          <w:tcPr>
            <w:tcW w:type="dxa" w:w="2351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type="dxa" w:w="2351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Style</w:t>
            </w:r>
          </w:p>
        </w:tc>
        <w:tc>
          <w:tcPr>
            <w:tcW w:type="dxa" w:w="2351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Data Source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This building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Solid line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steam_2022 / steam_2023 / steam_2024 (kBtu)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Peer median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Orange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Dashed line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Median of same use-type + cluster buildings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LL97 cap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Dotted line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ll97_cap_2024 or ll97_cap_2030 ÷ 4.493×10⁻⁵</w:t>
            </w:r>
          </w:p>
        </w:tc>
      </w:tr>
    </w:tbl>
    <w:p>
      <w:r>
        <w:rPr>
          <w:b w:val="0"/>
          <w:i w:val="0"/>
          <w:sz w:val="20"/>
        </w:rPr>
        <w:t>The cap line is omitted entirely (including from the legend) when the building has no ll97_cap data, avoiding phantom legend entries in Recharts.</w:t>
      </w:r>
    </w:p>
    <w:p/>
    <w:p>
      <w:r>
        <w:rPr>
          <w:b w:val="0"/>
          <w:i/>
          <w:sz w:val="18"/>
        </w:rPr>
        <w:t>Figure 3. TrendChart — example hospital building with peer comparison and LL97 cap thresholds.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373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73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/>
          <w:sz w:val="18"/>
        </w:rPr>
        <w:t>Figure 4. RiskTable rendering pipeline — filter, sort, paginate.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868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6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color w:val="002469"/>
          <w:sz w:val="32"/>
        </w:rPr>
        <w:t>4. New Server Endpoints</w:t>
      </w:r>
    </w:p>
    <w:p>
      <w:r>
        <w:rPr>
          <w:b w:val="0"/>
          <w:i/>
          <w:sz w:val="18"/>
        </w:rPr>
        <w:t>Figure 5. Architecture diagram — new endpoints (blue) added this sprint.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987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8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left"/>
      </w:pPr>
      <w:r>
        <w:rPr>
          <w:color w:val="C81D25"/>
          <w:sz w:val="26"/>
        </w:rPr>
        <w:t>4.1  GET /api/buildings</w:t>
      </w:r>
    </w:p>
    <w:p>
      <w:r>
        <w:rPr>
          <w:b w:val="0"/>
          <w:i w:val="0"/>
          <w:sz w:val="20"/>
        </w:rPr>
        <w:t>Server-side building query with filter, sort, and pagination. All parameters are optional. Merges buildings.json with buildingEnrichment.json server-side before filtering.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Query Param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Full-text match across address, use, cluster_name, sc_class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risk_min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Lower bound on ml_risk (0.0–1.0)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risk_max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Upper bound on ml_risk (0.0–1.0)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use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Filter by building use type (exact match)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signal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Filter by attrition signal (big_drop / mod_drop)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ll97_over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Filter by LL97 2024 compliance status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cluster_name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Filter by K-means archetype name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sort_by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Field to sort by (risk, steam, ll97_penalty_2024, ...)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sort_dir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asc/desc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Sort direction (default: desc)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Page number (1-indexed, default: 1)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per_page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Results per page (default: 50, max: 200)</w:t>
            </w:r>
          </w:p>
        </w:tc>
      </w:tr>
    </w:tbl>
    <w:p/>
    <w:p>
      <w:pPr>
        <w:ind w:left="567"/>
        <w:shd w:val="clear" w:color="auto" w:fill="F1F5F9"/>
      </w:pPr>
      <w:r>
        <w:rPr>
          <w:rFonts w:ascii="Courier New" w:hAnsi="Courier New"/>
          <w:color w:val="1E293B"/>
          <w:sz w:val="18"/>
        </w:rPr>
        <w:t>// Response shape:</w:t>
        <w:br/>
        <w:t>{</w:t>
        <w:br/>
        <w:t xml:space="preserve">  "buildings": [...],    // paginated, merged array</w:t>
        <w:br/>
        <w:t xml:space="preserve">  "total": 1210,         // total matching records</w:t>
        <w:br/>
        <w:t xml:space="preserve">  "page": 1,</w:t>
        <w:br/>
        <w:t xml:space="preserve">  "per_page": 50,</w:t>
        <w:br/>
        <w:t xml:space="preserve">  "total_pages": 25</w:t>
        <w:br/>
        <w:t>}</w:t>
      </w:r>
    </w:p>
    <w:p>
      <w:pPr>
        <w:pStyle w:val="Heading2"/>
        <w:jc w:val="left"/>
      </w:pPr>
      <w:r>
        <w:rPr>
          <w:color w:val="C81D25"/>
          <w:sz w:val="26"/>
        </w:rPr>
        <w:t>4.2  Watchlist Sync Endpoints</w:t>
      </w:r>
    </w:p>
    <w:p>
      <w:r>
        <w:rPr>
          <w:b w:val="0"/>
          <w:i/>
          <w:sz w:val="18"/>
        </w:rPr>
        <w:t>Figure 6. Watchlist persistence architecture — server sync with localStorage fallback.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227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27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51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Auth</w:t>
            </w:r>
          </w:p>
        </w:tc>
        <w:tc>
          <w:tcPr>
            <w:tcW w:type="dxa" w:w="2351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Body / Response</w:t>
            </w:r>
          </w:p>
        </w:tc>
        <w:tc>
          <w:tcPr>
            <w:tcW w:type="dxa" w:w="2351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POST /api/watchlist/save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Bearer token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{ "addresses": string[] } → { ok, count }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Validates string type, ≤500 chars each, ≤10,000 entries; evicts oldest session at 500-session cap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GET /api/watchlist/load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Bearer token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→ { "addresses": string[] }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Returns [] for unknown tokens (new session). localStorage used as offline fallback.</w:t>
            </w:r>
          </w:p>
        </w:tc>
      </w:tr>
    </w:tbl>
    <w:p>
      <w:r>
        <w:rPr>
          <w:b w:val="0"/>
          <w:i w:val="0"/>
          <w:sz w:val="20"/>
        </w:rPr>
        <w:t>The watchlistStore is an in-memory Map keyed by session token. It does not persist across server restarts — the client falls back to localStorage automatically when the server returns an empty list and localStorage has entries. Phase 2 should replace with a database-backed store.</w:t>
      </w:r>
    </w:p>
    <w:p>
      <w:pPr>
        <w:ind w:left="567"/>
        <w:shd w:val="clear" w:color="auto" w:fill="F1F5F9"/>
      </w:pPr>
      <w:r>
        <w:rPr>
          <w:rFonts w:ascii="Courier New" w:hAnsi="Courier New"/>
          <w:color w:val="1E293B"/>
          <w:sz w:val="18"/>
        </w:rPr>
        <w:t>// Security constraints:</w:t>
        <w:br/>
        <w:t>if (!req.sessionToken) return res.status(401);           // no 'default' fallback</w:t>
        <w:br/>
        <w:t>if (!addresses.every(a =&gt; typeof a === 'string' &amp;&amp; a.length &lt;= 500)) return 400;</w:t>
        <w:br/>
        <w:t>if (watchlistStore.size &gt;= 500) evictOldest();           // memory cap</w:t>
      </w:r>
    </w:p>
    <w:p>
      <w:r>
        <w:br w:type="page"/>
      </w:r>
    </w:p>
    <w:p>
      <w:pPr>
        <w:pStyle w:val="Heading1"/>
        <w:jc w:val="left"/>
      </w:pPr>
      <w:r>
        <w:rPr>
          <w:color w:val="002469"/>
          <w:sz w:val="32"/>
        </w:rPr>
        <w:t>5. Cross-Component Interaction Flow</w:t>
      </w:r>
    </w:p>
    <w:p>
      <w:r>
        <w:rPr>
          <w:b w:val="0"/>
          <w:i/>
          <w:sz w:val="18"/>
        </w:rPr>
        <w:t>Figure 7. Full user interaction flow — clicks propagate from chart -&gt; App.jsx -&gt; target component.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58000" cy="34991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9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color w:val="002469"/>
          <w:sz w:val="32"/>
        </w:rPr>
        <w:t>6. Security Hardening</w:t>
      </w:r>
    </w:p>
    <w:p>
      <w:pPr>
        <w:pStyle w:val="Heading2"/>
        <w:jc w:val="left"/>
      </w:pPr>
      <w:r>
        <w:rPr>
          <w:color w:val="C81D25"/>
          <w:sz w:val="26"/>
        </w:rPr>
        <w:t>6.1  HTTP Security Headers (Helmet)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Header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Content-Security-Policy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default-src 'self'; script-src 'self'; style-src 'self' 'unsafe-inline'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Blocks inline scripts, external resources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X-Frame-Options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Prevents clickjacking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Strict-Transport-Security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max-age=31536000; includeSubDomains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Forces HTTPS for 1 year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X-Content-Type-Options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nosniff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Prevents MIME-type sniffing</w:t>
            </w:r>
          </w:p>
        </w:tc>
      </w:tr>
    </w:tbl>
    <w:p>
      <w:pPr>
        <w:pStyle w:val="Heading2"/>
        <w:jc w:val="left"/>
      </w:pPr>
      <w:r>
        <w:rPr>
          <w:color w:val="C81D25"/>
          <w:sz w:val="26"/>
        </w:rPr>
        <w:t>6.2  Rate Limiting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Limiter</w:t>
            </w:r>
          </w:p>
        </w:tc>
        <w:tc>
          <w:tcPr>
            <w:tcW w:type="dxa" w:w="2351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Applies To</w:t>
            </w:r>
          </w:p>
        </w:tc>
        <w:tc>
          <w:tcPr>
            <w:tcW w:type="dxa" w:w="2351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Limit</w:t>
            </w:r>
          </w:p>
        </w:tc>
        <w:tc>
          <w:tcPr>
            <w:tcW w:type="dxa" w:w="2351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Window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All /api/* routes (except login)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100 req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60 seconds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/api/query, /api/summarize, /api/explain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20 req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60 seconds</w:t>
            </w:r>
          </w:p>
        </w:tc>
      </w:tr>
      <w:tr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5 attempts</w:t>
            </w:r>
          </w:p>
        </w:tc>
        <w:tc>
          <w:tcPr>
            <w:tcW w:type="dxa" w:w="2351"/>
            <w:shd w:val="clear" w:color="auto" w:fill="F8FAFC"/>
          </w:tcPr>
          <w:p>
            <w:r>
              <w:rPr>
                <w:sz w:val="18"/>
              </w:rPr>
              <w:t>15 minutes</w:t>
            </w:r>
          </w:p>
        </w:tc>
      </w:tr>
    </w:tbl>
    <w:p>
      <w:pPr>
        <w:pStyle w:val="Heading2"/>
        <w:jc w:val="left"/>
      </w:pPr>
      <w:r>
        <w:rPr>
          <w:color w:val="C81D25"/>
          <w:sz w:val="26"/>
        </w:rPr>
        <w:t>6.3  Input Sanitization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703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Validation Added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18"/>
              </w:rPr>
              <w:t>/api/summarize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8"/>
              </w:rPr>
              <w:t>600-char length cap on query; safeCount = parseInt(count); CRLF-strip on addr and use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/api/watchlist/save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Type check (string), length cap (≤500 chars), 401 on missing sessionToken</w:t>
            </w:r>
          </w:p>
        </w:tc>
      </w:tr>
      <w:tr>
        <w:tc>
          <w:tcPr>
            <w:tcW w:type="dxa" w:w="4703"/>
            <w:shd w:val="clear" w:color="auto" w:fill="F8FAFC"/>
          </w:tcPr>
          <w:p>
            <w:r>
              <w:rPr>
                <w:sz w:val="18"/>
              </w:rPr>
              <w:t>CSV cell formatter</w:t>
            </w:r>
          </w:p>
        </w:tc>
        <w:tc>
          <w:tcPr>
            <w:tcW w:type="dxa" w:w="4703"/>
            <w:shd w:val="clear" w:color="auto" w:fill="F8FAFC"/>
          </w:tcPr>
          <w:p>
            <w:r>
              <w:rPr>
                <w:sz w:val="18"/>
              </w:rPr>
              <w:t>Formula injection prefix stripping: =, +, -, @, tab, CR, LF → prefixed with apostrophe</w:t>
            </w:r>
          </w:p>
        </w:tc>
      </w:tr>
    </w:tbl>
    <w:p>
      <w:pPr>
        <w:pStyle w:val="Heading2"/>
        <w:jc w:val="left"/>
      </w:pPr>
      <w:r>
        <w:rPr>
          <w:color w:val="C81D25"/>
          <w:sz w:val="26"/>
        </w:rPr>
        <w:t>6.4  Session Security</w:t>
      </w:r>
    </w:p>
    <w:p>
      <w:r>
        <w:rPr>
          <w:b w:val="0"/>
          <w:i w:val="0"/>
          <w:sz w:val="20"/>
        </w:rPr>
        <w:t>Sessions use 256-bit random tokens (crypto.randomBytes(32)). The activeSessions Map is swept hourly for expired entries (TTL: 8 hours). A hard cap of 10,000 concurrent sessions prevents OOM from session flood attacks. timingSafeEqual() is used for password comparison to prevent timing attacks.</w:t>
      </w:r>
    </w:p>
    <w:p>
      <w:pPr>
        <w:ind w:left="567"/>
        <w:shd w:val="clear" w:color="auto" w:fill="F1F5F9"/>
      </w:pPr>
      <w:r>
        <w:rPr>
          <w:rFonts w:ascii="Courier New" w:hAnsi="Courier New"/>
          <w:color w:val="1E293B"/>
          <w:sz w:val="18"/>
        </w:rPr>
        <w:t>const token = randomBytes(32).toString('hex');          // 256-bit session token</w:t>
        <w:br/>
        <w:t>timingSafeEqual(Buffer.from(password), Buffer.from(DASHBOARD_PASSWORD))  // timing-safe compare</w:t>
        <w:br/>
        <w:t>setInterval(sweepExpiredSessions, 60 * 60 * 1000).unref();               // hourly sweep</w:t>
      </w:r>
    </w:p>
    <w:p>
      <w:r>
        <w:br w:type="page"/>
      </w:r>
    </w:p>
    <w:p>
      <w:pPr>
        <w:pStyle w:val="Heading1"/>
        <w:jc w:val="left"/>
      </w:pPr>
      <w:r>
        <w:rPr>
          <w:color w:val="002469"/>
          <w:sz w:val="32"/>
        </w:rPr>
        <w:t>7. New Hooks and Components</w:t>
      </w:r>
    </w:p>
    <w:p>
      <w:pPr>
        <w:pStyle w:val="Heading2"/>
        <w:jc w:val="left"/>
      </w:pPr>
      <w:r>
        <w:rPr>
          <w:color w:val="C81D25"/>
          <w:sz w:val="26"/>
        </w:rPr>
        <w:t>7.1  useKeyboard.js</w:t>
      </w:r>
    </w:p>
    <w:p>
      <w:r>
        <w:rPr>
          <w:b w:val="0"/>
          <w:i w:val="0"/>
          <w:sz w:val="20"/>
        </w:rPr>
        <w:t>Modifier-aware keyboard shortcut hook. Supports 'key' and 'ctrl+key' / 'meta+key' combos. Auto-exempts INPUT/TEXTAREA/SELECT elements (except Escape).</w:t>
      </w:r>
    </w:p>
    <w:p>
      <w:pPr>
        <w:ind w:left="567"/>
        <w:shd w:val="clear" w:color="auto" w:fill="F1F5F9"/>
      </w:pPr>
      <w:r>
        <w:rPr>
          <w:rFonts w:ascii="Courier New" w:hAnsi="Courier New"/>
          <w:color w:val="1E293B"/>
          <w:sz w:val="18"/>
        </w:rPr>
        <w:t>useKeyboard({</w:t>
        <w:br/>
        <w:t xml:space="preserve">  'Escape':  () =&gt; setSelected(null),</w:t>
        <w:br/>
        <w:t xml:space="preserve">  '1':       () =&gt; setActiveTab('rankings'),</w:t>
        <w:br/>
        <w:t xml:space="preserve">  'ctrl+f':  () =&gt; { setActiveTab('rankings'); searchRef.current?.focus(); },</w:t>
        <w:br/>
        <w:t>}, [deps]);</w:t>
      </w:r>
    </w:p>
    <w:p>
      <w:pPr>
        <w:pStyle w:val="Heading2"/>
        <w:jc w:val="left"/>
      </w:pPr>
      <w:r>
        <w:rPr>
          <w:color w:val="C81D25"/>
          <w:sz w:val="26"/>
        </w:rPr>
        <w:t>7.2  useUrlState.js</w:t>
      </w:r>
    </w:p>
    <w:p>
      <w:r>
        <w:rPr>
          <w:b w:val="0"/>
          <w:i w:val="0"/>
          <w:sz w:val="20"/>
        </w:rPr>
        <w:t>Lightweight URL search param persistence without react-router. Provides get(key) / setParam(key, value) with browser back/forward support via popstate listener.</w:t>
      </w:r>
    </w:p>
    <w:p>
      <w:pPr>
        <w:ind w:left="567"/>
        <w:shd w:val="clear" w:color="auto" w:fill="F1F5F9"/>
      </w:pPr>
      <w:r>
        <w:rPr>
          <w:rFonts w:ascii="Courier New" w:hAnsi="Courier New"/>
          <w:color w:val="1E293B"/>
          <w:sz w:val="18"/>
        </w:rPr>
        <w:t>const { get, setParam } = useUrlState({ tab: { type: 'string', default: 'rankings' } });</w:t>
        <w:br/>
        <w:t>setParam('tab', 'trends');   // updates URL: ?tab=trends</w:t>
        <w:br/>
        <w:t>get('tab');                  // reads from URL, falls back to schema default</w:t>
      </w:r>
    </w:p>
    <w:p>
      <w:pPr>
        <w:pStyle w:val="Heading2"/>
        <w:jc w:val="left"/>
      </w:pPr>
      <w:r>
        <w:rPr>
          <w:color w:val="C81D25"/>
          <w:sz w:val="26"/>
        </w:rPr>
        <w:t>7.3  Toast.jsx</w:t>
      </w:r>
    </w:p>
    <w:p>
      <w:r>
        <w:rPr>
          <w:b w:val="0"/>
          <w:i w:val="0"/>
          <w:sz w:val="20"/>
        </w:rPr>
        <w:t>Dark-themed toast notification system. 4-second auto-dismiss, slide-in animation. Three variants: error (red), success (green), info (navy). Click-to-dismiss.</w:t>
      </w:r>
    </w:p>
    <w:p>
      <w:pPr>
        <w:ind w:left="567"/>
        <w:shd w:val="clear" w:color="auto" w:fill="F1F5F9"/>
      </w:pPr>
      <w:r>
        <w:rPr>
          <w:rFonts w:ascii="Courier New" w:hAnsi="Courier New"/>
          <w:color w:val="1E293B"/>
          <w:sz w:val="18"/>
        </w:rPr>
        <w:t>// Usage:</w:t>
        <w:br/>
        <w:t>showToast('Export complete', 'success');</w:t>
        <w:br/>
        <w:t>showToast('Server error - localStorage used as fallback', 'error');</w:t>
      </w:r>
    </w:p>
    <w:p>
      <w:pPr>
        <w:pStyle w:val="Heading2"/>
        <w:jc w:val="left"/>
      </w:pPr>
      <w:r>
        <w:rPr>
          <w:color w:val="C81D25"/>
          <w:sz w:val="26"/>
        </w:rPr>
        <w:t>7.4  Watchlist Import / Export</w:t>
      </w:r>
    </w:p>
    <w:p>
      <w:r>
        <w:rPr>
          <w:b w:val="0"/>
          <w:i w:val="0"/>
          <w:sz w:val="20"/>
        </w:rPr>
        <w:t>Two new buttons appear in the Watchlist tab header alongside 'Clear All':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Filename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Export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JSON array of address strings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coned-watchlist-YYYY-MM-DD.json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Import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JSON array of address strings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User-selected file via file picker</w:t>
            </w:r>
          </w:p>
        </w:tc>
      </w:tr>
    </w:tbl>
    <w:p>
      <w:r>
        <w:rPr>
          <w:b w:val="0"/>
          <w:i w:val="0"/>
          <w:sz w:val="20"/>
        </w:rPr>
        <w:t>Import matches each address string against the buildings array and calls onWatch() for matched buildings not already in the watchlist. Invalid JSON and non-array content are silently ignored.</w:t>
      </w:r>
    </w:p>
    <w:p>
      <w:pPr>
        <w:ind w:left="567"/>
        <w:shd w:val="clear" w:color="auto" w:fill="F1F5F9"/>
      </w:pPr>
      <w:r>
        <w:rPr>
          <w:rFonts w:ascii="Courier New" w:hAnsi="Courier New"/>
          <w:color w:val="1E293B"/>
          <w:sz w:val="18"/>
        </w:rPr>
        <w:t>// Export format:</w:t>
        <w:br/>
        <w:t>["350 5TH AVE", "1 WORLD TRADE CTR", "30 ROCKEFELLER PLZ"]</w:t>
      </w:r>
    </w:p>
    <w:p/>
    <w:p>
      <w:pPr>
        <w:pStyle w:val="Heading1"/>
        <w:jc w:val="left"/>
      </w:pPr>
      <w:r>
        <w:rPr>
          <w:color w:val="002469"/>
          <w:sz w:val="32"/>
        </w:rPr>
        <w:t>8. Hermetic Integration Test Suite (NEO_TEST_SUITE.md)</w:t>
      </w:r>
    </w:p>
    <w:p>
      <w:r>
        <w:rPr>
          <w:b w:val="0"/>
          <w:i w:val="0"/>
          <w:sz w:val="20"/>
        </w:rPr>
        <w:t>A 20-question end-to-end test suite was created at NEO_TEST_SUITE.md. The suite exercises the AI Agent via POST /api/explain with questions across four categories: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Questions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Topics Covered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Investor / Blackstone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Q1–Q7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LL97 exposure totals, growth story, attrition by building type, model AUC/CF, data freshness, missing data, GBM math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ELI5 / Actionability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Q8–Q11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ELI5 risk score, building-level playbook, skip-year buildings, selection bias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Input Validation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Q12–Q14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Gibberish ('qq4'), one-word ('yes'), greeting ('hi') — tests graceful onboarding vs. crash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Technical Deep-Dive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Q15–Q20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Cluster descriptions, SHAP values, data holes, LL97 formula + hospital walkthrough, peer score formula, K=5 justification</w:t>
            </w:r>
          </w:p>
        </w:tc>
      </w:tr>
    </w:tbl>
    <w:p>
      <w:r>
        <w:rPr>
          <w:b w:val="0"/>
          <w:i w:val="0"/>
          <w:sz w:val="20"/>
        </w:rPr>
        <w:t>All 20 tests pass (verified June 14, 2026 against http://localhost:3001). A companion automated regression script (test_neo_suite.mjs) runs this suite via HTTP and validates expected answer patterns.</w:t>
      </w:r>
    </w:p>
    <w:p/>
    <w:p>
      <w:pPr>
        <w:pStyle w:val="Heading1"/>
        <w:jc w:val="left"/>
      </w:pPr>
      <w:r>
        <w:rPr>
          <w:color w:val="002469"/>
          <w:sz w:val="32"/>
        </w:rPr>
        <w:t>9. Code Review &amp; Security Audit Corrections</w:t>
      </w:r>
    </w:p>
    <w:p>
      <w:r>
        <w:rPr>
          <w:b w:val="0"/>
          <w:i w:val="0"/>
          <w:sz w:val="20"/>
        </w:rPr>
        <w:t>During the June 14 panel review and security audit, the following issues were identified and fixed: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Verdict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BLOCKER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Stale token closure in persist() callback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Wrapped in useCallback([token])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BLOCKER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Server empty list overwrites localStorage on re-login (Map cleared on restart)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Skip overwrite when server returns [] and localStorage has entries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No string type/length validation on address entries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Added typeof === 'string' &amp;&amp; length &lt;= 500 check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ll97Cap line renders in legend even when all values are null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Guarded with hasCapData, conditionally renders line and legend label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Unbounded watchlistStore growth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Evict oldest entry at 500 sessions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'default' shared fallback key in watchlist endpoints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Both endpoints return 401 if req.sessionToken is falsy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Silent .catch(() =&gt; {}) on watchlist saves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Logs console.warn with error message</w:t>
            </w:r>
          </w:p>
        </w:tc>
      </w:tr>
    </w:tbl>
    <w:p/>
    <w:p>
      <w:pPr>
        <w:pStyle w:val="Heading1"/>
        <w:jc w:val="left"/>
      </w:pPr>
      <w:r>
        <w:rPr>
          <w:color w:val="002469"/>
          <w:sz w:val="32"/>
        </w:rPr>
        <w:t>10. Deferred Items (Post-Blackstone)</w:t>
      </w:r>
    </w:p>
    <w:p>
      <w:r>
        <w:rPr>
          <w:b w:val="0"/>
          <w:i w:val="0"/>
          <w:sz w:val="20"/>
        </w:rPr>
        <w:t>The following items are intentionally deferred until after the June 17 Blackstone demo: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135"/>
            <w:shd w:val="clear" w:color="auto" w:fill="002469"/>
          </w:tcPr>
          <w:p>
            <w:r>
              <w:rPr>
                <w:b/>
                <w:color w:val="FFFFFF"/>
                <w:sz w:val="18"/>
              </w:rPr>
              <w:t>Reason for Deferral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Password hashing (bcrypt)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C-1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Requires migration to hash+salt storage; no user-facing risk during demo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httpOnly cookie for JWT token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H-4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Requires CSRF protection co-design; current sessionStorage is acceptable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CORS policy configuration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M-3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Private network only; no cross-origin requests in demo environment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Database-backed watchlist store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In-memory Map sufficient for demo; Phase 2 design needed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Edwin PR #7 merge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sz w:val="18"/>
              </w:rPr>
              <w:t>Requires rebase onto current main (TrendChart conflict in BuildingPanel.jsx)</w:t>
            </w:r>
          </w:p>
        </w:tc>
      </w:tr>
    </w:tbl>
    <w:p/>
    <w:p>
      <w:pPr>
        <w:jc w:val="center"/>
      </w:pPr>
      <w:r>
        <w:rPr>
          <w:i/>
          <w:color w:val="475669"/>
          <w:sz w:val="16"/>
        </w:rPr>
        <w:t>Generated: June 14, 2026 12:59  ·  Baseline commit: d8848bf  ·  Current commit: 516cef4  ·  Total files changed: 17  ·  Net lines: +2,028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