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3730" w14:textId="77777777" w:rsidR="00213836" w:rsidRDefault="00213836" w:rsidP="00213836">
      <w:pPr>
        <w:spacing w:after="0" w:line="259" w:lineRule="auto"/>
        <w:ind w:left="41" w:right="8" w:hanging="10"/>
        <w:jc w:val="center"/>
        <w:rPr>
          <w:b/>
          <w:sz w:val="36"/>
        </w:rPr>
      </w:pPr>
      <w:r>
        <w:rPr>
          <w:b/>
          <w:sz w:val="36"/>
        </w:rPr>
        <w:t xml:space="preserve">Sri Lanka Institute of Information Technology </w:t>
      </w:r>
    </w:p>
    <w:p w14:paraId="68E9CA70" w14:textId="77777777" w:rsidR="00213836" w:rsidRDefault="00213836" w:rsidP="00213836">
      <w:pPr>
        <w:spacing w:after="0" w:line="259" w:lineRule="auto"/>
        <w:ind w:left="41" w:right="8" w:hanging="10"/>
        <w:jc w:val="center"/>
      </w:pPr>
    </w:p>
    <w:p w14:paraId="705FFC15" w14:textId="77777777" w:rsidR="00213836" w:rsidRDefault="00213836" w:rsidP="00213836">
      <w:pPr>
        <w:spacing w:after="0" w:line="259" w:lineRule="auto"/>
        <w:ind w:left="3492" w:firstLine="0"/>
      </w:pPr>
      <w:r>
        <w:rPr>
          <w:noProof/>
        </w:rPr>
        <w:drawing>
          <wp:inline distT="0" distB="0" distL="0" distR="0" wp14:anchorId="2DD53485" wp14:editId="030DD0DD">
            <wp:extent cx="1508760" cy="1866900"/>
            <wp:effectExtent l="0" t="0" r="0" b="0"/>
            <wp:docPr id="139" name="Picture 139" descr="A logo with a lion and a blue and orange desig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A logo with a lion and a blue and orange desig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981" w14:textId="30977BB2" w:rsidR="00A80ED7" w:rsidRPr="001D0671" w:rsidRDefault="00213836" w:rsidP="00213836">
      <w:pPr>
        <w:spacing w:after="261" w:line="259" w:lineRule="auto"/>
        <w:ind w:left="0" w:right="3463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726CA4A3" w14:textId="77777777" w:rsidR="00213836" w:rsidRDefault="00213836" w:rsidP="00213836">
      <w:pPr>
        <w:spacing w:after="194" w:line="259" w:lineRule="auto"/>
        <w:ind w:left="41" w:hanging="10"/>
        <w:jc w:val="center"/>
      </w:pPr>
      <w:r>
        <w:rPr>
          <w:b/>
          <w:sz w:val="36"/>
        </w:rPr>
        <w:t xml:space="preserve">IT2011  </w:t>
      </w:r>
    </w:p>
    <w:p w14:paraId="4CF4F727" w14:textId="77777777" w:rsidR="00213836" w:rsidRDefault="00213836" w:rsidP="00213836">
      <w:pPr>
        <w:spacing w:after="194" w:line="259" w:lineRule="auto"/>
        <w:ind w:left="41" w:right="7" w:hanging="10"/>
        <w:jc w:val="center"/>
      </w:pPr>
      <w:r>
        <w:rPr>
          <w:b/>
          <w:sz w:val="36"/>
        </w:rPr>
        <w:t xml:space="preserve">Artificial Intelligence &amp; Machine Learning </w:t>
      </w:r>
    </w:p>
    <w:p w14:paraId="6CBA6968" w14:textId="77777777" w:rsidR="00213836" w:rsidRDefault="00213836" w:rsidP="00213836">
      <w:pPr>
        <w:spacing w:after="194" w:line="259" w:lineRule="auto"/>
        <w:ind w:left="41" w:right="5" w:hanging="10"/>
        <w:jc w:val="center"/>
      </w:pPr>
      <w:r>
        <w:rPr>
          <w:b/>
          <w:sz w:val="36"/>
        </w:rPr>
        <w:t xml:space="preserve">2025 </w:t>
      </w:r>
    </w:p>
    <w:p w14:paraId="466ABD9B" w14:textId="77777777" w:rsidR="00213836" w:rsidRDefault="00213836" w:rsidP="00213836">
      <w:pPr>
        <w:spacing w:after="194" w:line="259" w:lineRule="auto"/>
        <w:ind w:left="41" w:right="5" w:hanging="10"/>
        <w:jc w:val="center"/>
      </w:pPr>
      <w:r>
        <w:rPr>
          <w:b/>
          <w:sz w:val="36"/>
        </w:rPr>
        <w:t xml:space="preserve">Year 2 Semester 1 </w:t>
      </w:r>
    </w:p>
    <w:p w14:paraId="07F8C2D9" w14:textId="77777777" w:rsidR="00213836" w:rsidRDefault="00213836" w:rsidP="00213836">
      <w:pPr>
        <w:spacing w:after="193" w:line="259" w:lineRule="auto"/>
        <w:ind w:left="104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38EC7323" w14:textId="77777777" w:rsidR="00A80ED7" w:rsidRDefault="00A80ED7" w:rsidP="00213836">
      <w:pPr>
        <w:spacing w:after="193" w:line="259" w:lineRule="auto"/>
        <w:ind w:left="104" w:firstLine="0"/>
        <w:jc w:val="center"/>
        <w:rPr>
          <w:b/>
          <w:sz w:val="36"/>
        </w:rPr>
      </w:pPr>
    </w:p>
    <w:p w14:paraId="2F62014E" w14:textId="77777777" w:rsidR="00A80ED7" w:rsidRDefault="00A80ED7" w:rsidP="00213836">
      <w:pPr>
        <w:spacing w:after="193" w:line="259" w:lineRule="auto"/>
        <w:ind w:left="104" w:firstLine="0"/>
        <w:jc w:val="center"/>
        <w:rPr>
          <w:b/>
          <w:sz w:val="36"/>
        </w:rPr>
      </w:pPr>
    </w:p>
    <w:p w14:paraId="606F5177" w14:textId="77777777" w:rsidR="00A80ED7" w:rsidRDefault="00A80ED7" w:rsidP="00213836">
      <w:pPr>
        <w:spacing w:after="193" w:line="259" w:lineRule="auto"/>
        <w:ind w:left="104" w:firstLine="0"/>
        <w:jc w:val="center"/>
        <w:rPr>
          <w:b/>
          <w:sz w:val="36"/>
        </w:rPr>
      </w:pPr>
    </w:p>
    <w:p w14:paraId="599C021D" w14:textId="77777777" w:rsidR="00A80ED7" w:rsidRDefault="00A80ED7" w:rsidP="00213836">
      <w:pPr>
        <w:spacing w:after="193" w:line="259" w:lineRule="auto"/>
        <w:ind w:left="104" w:firstLine="0"/>
        <w:jc w:val="center"/>
        <w:rPr>
          <w:b/>
          <w:sz w:val="36"/>
        </w:rPr>
      </w:pPr>
    </w:p>
    <w:p w14:paraId="0658FE0F" w14:textId="77777777" w:rsidR="00A80ED7" w:rsidRDefault="00A80ED7" w:rsidP="00213836">
      <w:pPr>
        <w:spacing w:after="193" w:line="259" w:lineRule="auto"/>
        <w:ind w:left="104" w:firstLine="0"/>
        <w:jc w:val="center"/>
        <w:rPr>
          <w:b/>
          <w:sz w:val="36"/>
        </w:rPr>
      </w:pPr>
    </w:p>
    <w:p w14:paraId="56CAA678" w14:textId="77777777" w:rsidR="00A80ED7" w:rsidRDefault="00A80ED7" w:rsidP="00213836">
      <w:pPr>
        <w:spacing w:after="193" w:line="259" w:lineRule="auto"/>
        <w:ind w:left="104" w:firstLine="0"/>
        <w:jc w:val="center"/>
      </w:pPr>
    </w:p>
    <w:p w14:paraId="6D57A2A5" w14:textId="77777777" w:rsidR="00213836" w:rsidRDefault="00213836" w:rsidP="00213836">
      <w:pPr>
        <w:spacing w:after="195" w:line="259" w:lineRule="auto"/>
        <w:ind w:left="1721" w:hanging="10"/>
      </w:pPr>
      <w:r>
        <w:rPr>
          <w:b/>
          <w:sz w:val="36"/>
        </w:rPr>
        <w:t xml:space="preserve">Group ID: 2025-Y2-S1-MLB-B11G1-05 </w:t>
      </w:r>
    </w:p>
    <w:p w14:paraId="17405B97" w14:textId="2A4A85C0" w:rsidR="00A80ED7" w:rsidRPr="001D0671" w:rsidRDefault="00213836" w:rsidP="001D0671">
      <w:pPr>
        <w:spacing w:after="0" w:line="259" w:lineRule="auto"/>
        <w:ind w:left="194" w:hanging="10"/>
        <w:jc w:val="center"/>
        <w:rPr>
          <w:b/>
          <w:sz w:val="36"/>
        </w:rPr>
      </w:pPr>
      <w:r>
        <w:rPr>
          <w:b/>
          <w:sz w:val="36"/>
        </w:rPr>
        <w:t>Project Topic: Stroke Prediction Using Clinical Features</w:t>
      </w:r>
    </w:p>
    <w:p w14:paraId="637BB33E" w14:textId="77777777" w:rsidR="00A80ED7" w:rsidRDefault="00A80ED7" w:rsidP="00213836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70C0C1BC" w14:textId="1B06807B" w:rsidR="00213836" w:rsidRDefault="003403B0" w:rsidP="00213836">
      <w:pPr>
        <w:spacing w:after="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="00213836" w:rsidRPr="00213836">
        <w:rPr>
          <w:b/>
          <w:sz w:val="32"/>
          <w:szCs w:val="32"/>
        </w:rPr>
        <w:t xml:space="preserve">Models Developed </w:t>
      </w:r>
    </w:p>
    <w:p w14:paraId="19A72C93" w14:textId="4021CAB1" w:rsidR="00213836" w:rsidRDefault="00213836" w:rsidP="00213836">
      <w:pPr>
        <w:spacing w:after="0" w:line="259" w:lineRule="auto"/>
        <w:ind w:left="0" w:firstLine="0"/>
        <w:rPr>
          <w:bCs/>
          <w:sz w:val="32"/>
          <w:szCs w:val="32"/>
        </w:rPr>
      </w:pPr>
    </w:p>
    <w:p w14:paraId="2551E305" w14:textId="77777777" w:rsidR="0016113E" w:rsidRPr="00565DB3" w:rsidRDefault="0016113E" w:rsidP="0016113E">
      <w:pPr>
        <w:numPr>
          <w:ilvl w:val="0"/>
          <w:numId w:val="1"/>
        </w:numPr>
        <w:spacing w:after="160" w:line="278" w:lineRule="auto"/>
      </w:pPr>
      <w:r w:rsidRPr="00565DB3">
        <w:t>Decision Tree (DecisionTreeClassifier)</w:t>
      </w:r>
    </w:p>
    <w:p w14:paraId="517EF9A7" w14:textId="77777777" w:rsidR="0016113E" w:rsidRPr="00565DB3" w:rsidRDefault="0016113E" w:rsidP="0016113E">
      <w:pPr>
        <w:numPr>
          <w:ilvl w:val="0"/>
          <w:numId w:val="1"/>
        </w:numPr>
        <w:spacing w:after="160" w:line="278" w:lineRule="auto"/>
      </w:pPr>
      <w:r w:rsidRPr="00565DB3">
        <w:t>K-Nearest Neighbors (KNN) (KNeighborsClassifier)</w:t>
      </w:r>
    </w:p>
    <w:p w14:paraId="0F3C5669" w14:textId="77777777" w:rsidR="0016113E" w:rsidRPr="00565DB3" w:rsidRDefault="0016113E" w:rsidP="0016113E">
      <w:pPr>
        <w:numPr>
          <w:ilvl w:val="0"/>
          <w:numId w:val="1"/>
        </w:numPr>
        <w:spacing w:after="160" w:line="278" w:lineRule="auto"/>
      </w:pPr>
      <w:r w:rsidRPr="00565DB3">
        <w:t>XGBoost (XGBClassifier)</w:t>
      </w:r>
    </w:p>
    <w:p w14:paraId="18CBAC59" w14:textId="77777777" w:rsidR="0016113E" w:rsidRPr="00565DB3" w:rsidRDefault="0016113E" w:rsidP="0016113E">
      <w:pPr>
        <w:numPr>
          <w:ilvl w:val="0"/>
          <w:numId w:val="1"/>
        </w:numPr>
        <w:spacing w:after="160" w:line="278" w:lineRule="auto"/>
      </w:pPr>
      <w:r w:rsidRPr="00565DB3">
        <w:t>Random Forest (RandomForestClassifier)</w:t>
      </w:r>
    </w:p>
    <w:p w14:paraId="589FA0A2" w14:textId="77777777" w:rsidR="0016113E" w:rsidRDefault="0016113E" w:rsidP="0016113E">
      <w:pPr>
        <w:numPr>
          <w:ilvl w:val="0"/>
          <w:numId w:val="1"/>
        </w:numPr>
        <w:spacing w:after="160" w:line="278" w:lineRule="auto"/>
      </w:pPr>
      <w:r w:rsidRPr="00565DB3">
        <w:t>Logistic Regression (LogisticRegression)</w:t>
      </w:r>
    </w:p>
    <w:p w14:paraId="7EE23992" w14:textId="77777777" w:rsidR="0016113E" w:rsidRPr="00565DB3" w:rsidRDefault="0016113E" w:rsidP="0016113E">
      <w:pPr>
        <w:numPr>
          <w:ilvl w:val="0"/>
          <w:numId w:val="1"/>
        </w:numPr>
        <w:spacing w:after="160" w:line="278" w:lineRule="auto"/>
      </w:pPr>
      <w:r>
        <w:t>LightGBM (</w:t>
      </w:r>
      <w:r w:rsidRPr="002A5CA0">
        <w:t>LGBMClassifier</w:t>
      </w:r>
      <w:r>
        <w:t>)</w:t>
      </w:r>
    </w:p>
    <w:p w14:paraId="35FC2630" w14:textId="77777777" w:rsidR="0016113E" w:rsidRPr="0016113E" w:rsidRDefault="0016113E" w:rsidP="00213836">
      <w:pPr>
        <w:spacing w:after="0" w:line="259" w:lineRule="auto"/>
        <w:ind w:left="0" w:firstLine="0"/>
        <w:rPr>
          <w:bCs/>
          <w:sz w:val="32"/>
          <w:szCs w:val="32"/>
        </w:rPr>
      </w:pPr>
    </w:p>
    <w:tbl>
      <w:tblPr>
        <w:tblStyle w:val="TableGrid0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736"/>
        <w:gridCol w:w="1560"/>
        <w:gridCol w:w="1458"/>
        <w:gridCol w:w="1167"/>
        <w:gridCol w:w="1143"/>
        <w:gridCol w:w="1143"/>
        <w:gridCol w:w="1143"/>
      </w:tblGrid>
      <w:tr w:rsidR="0016113E" w14:paraId="09B507F8" w14:textId="77777777" w:rsidTr="008B4A36">
        <w:tc>
          <w:tcPr>
            <w:tcW w:w="2008" w:type="dxa"/>
          </w:tcPr>
          <w:p w14:paraId="4CE93BEF" w14:textId="77777777" w:rsidR="0016113E" w:rsidRDefault="0016113E" w:rsidP="008B4A36">
            <w:pPr>
              <w:jc w:val="center"/>
            </w:pPr>
            <w:r w:rsidRPr="00565DB3">
              <w:t>Model</w:t>
            </w:r>
          </w:p>
        </w:tc>
        <w:tc>
          <w:tcPr>
            <w:tcW w:w="1251" w:type="dxa"/>
          </w:tcPr>
          <w:p w14:paraId="2AAD2847" w14:textId="77777777" w:rsidR="0016113E" w:rsidRDefault="0016113E" w:rsidP="008B4A36">
            <w:pPr>
              <w:jc w:val="center"/>
            </w:pPr>
            <w:r w:rsidRPr="00565DB3">
              <w:t>Cross-Validation Accuracy</w:t>
            </w:r>
          </w:p>
        </w:tc>
        <w:tc>
          <w:tcPr>
            <w:tcW w:w="1272" w:type="dxa"/>
          </w:tcPr>
          <w:p w14:paraId="4FEEE736" w14:textId="77777777" w:rsidR="0016113E" w:rsidRDefault="0016113E" w:rsidP="008B4A36">
            <w:pPr>
              <w:jc w:val="center"/>
            </w:pPr>
            <w:r w:rsidRPr="00565DB3">
              <w:t>Test Accuracy</w:t>
            </w:r>
          </w:p>
        </w:tc>
        <w:tc>
          <w:tcPr>
            <w:tcW w:w="1273" w:type="dxa"/>
          </w:tcPr>
          <w:p w14:paraId="1B28DE08" w14:textId="77777777" w:rsidR="0016113E" w:rsidRDefault="0016113E" w:rsidP="008B4A36">
            <w:pPr>
              <w:jc w:val="center"/>
            </w:pPr>
            <w:r w:rsidRPr="00565DB3">
              <w:t>Precision</w:t>
            </w:r>
          </w:p>
        </w:tc>
        <w:tc>
          <w:tcPr>
            <w:tcW w:w="1182" w:type="dxa"/>
          </w:tcPr>
          <w:p w14:paraId="09DAA377" w14:textId="77777777" w:rsidR="0016113E" w:rsidRDefault="0016113E" w:rsidP="008B4A36">
            <w:pPr>
              <w:jc w:val="center"/>
            </w:pPr>
            <w:r w:rsidRPr="00565DB3">
              <w:t>Recall</w:t>
            </w:r>
          </w:p>
        </w:tc>
        <w:tc>
          <w:tcPr>
            <w:tcW w:w="1182" w:type="dxa"/>
          </w:tcPr>
          <w:p w14:paraId="23BDB571" w14:textId="77777777" w:rsidR="0016113E" w:rsidRDefault="0016113E" w:rsidP="008B4A36">
            <w:pPr>
              <w:jc w:val="center"/>
            </w:pPr>
            <w:r w:rsidRPr="00565DB3">
              <w:t>F1-Score</w:t>
            </w:r>
          </w:p>
        </w:tc>
        <w:tc>
          <w:tcPr>
            <w:tcW w:w="1182" w:type="dxa"/>
          </w:tcPr>
          <w:p w14:paraId="3FE68625" w14:textId="77777777" w:rsidR="0016113E" w:rsidRDefault="0016113E" w:rsidP="008B4A36">
            <w:pPr>
              <w:jc w:val="center"/>
            </w:pPr>
            <w:r w:rsidRPr="00565DB3">
              <w:t>ROC-AUC</w:t>
            </w:r>
          </w:p>
        </w:tc>
      </w:tr>
      <w:tr w:rsidR="0016113E" w14:paraId="7969FA21" w14:textId="77777777" w:rsidTr="008B4A36">
        <w:tc>
          <w:tcPr>
            <w:tcW w:w="2008" w:type="dxa"/>
          </w:tcPr>
          <w:p w14:paraId="00FF765C" w14:textId="77777777" w:rsidR="0016113E" w:rsidRDefault="0016113E" w:rsidP="0016113E">
            <w:pPr>
              <w:jc w:val="center"/>
            </w:pPr>
            <w:r w:rsidRPr="00565DB3">
              <w:t>Logistic Regression (Baseline)</w:t>
            </w:r>
          </w:p>
        </w:tc>
        <w:tc>
          <w:tcPr>
            <w:tcW w:w="1251" w:type="dxa"/>
          </w:tcPr>
          <w:p w14:paraId="636C62EA" w14:textId="77777777" w:rsidR="0016113E" w:rsidRDefault="0016113E" w:rsidP="008B4A36">
            <w:pPr>
              <w:jc w:val="center"/>
            </w:pPr>
          </w:p>
          <w:p w14:paraId="501B8D64" w14:textId="77777777" w:rsidR="0016113E" w:rsidRDefault="0016113E" w:rsidP="008B4A36">
            <w:pPr>
              <w:jc w:val="center"/>
            </w:pPr>
            <w:r w:rsidRPr="00565DB3">
              <w:t>None</w:t>
            </w:r>
          </w:p>
        </w:tc>
        <w:tc>
          <w:tcPr>
            <w:tcW w:w="1272" w:type="dxa"/>
          </w:tcPr>
          <w:p w14:paraId="4C0C0739" w14:textId="77777777" w:rsidR="0016113E" w:rsidRDefault="0016113E" w:rsidP="008B4A36">
            <w:pPr>
              <w:jc w:val="center"/>
            </w:pPr>
          </w:p>
          <w:p w14:paraId="047E0401" w14:textId="33BF7401" w:rsidR="0016113E" w:rsidRDefault="00D9331B" w:rsidP="008B4A36">
            <w:pPr>
              <w:jc w:val="center"/>
            </w:pPr>
            <w:r w:rsidRPr="00D9331B">
              <w:t>0.837573</w:t>
            </w:r>
          </w:p>
        </w:tc>
        <w:tc>
          <w:tcPr>
            <w:tcW w:w="1273" w:type="dxa"/>
          </w:tcPr>
          <w:p w14:paraId="716C5C39" w14:textId="77777777" w:rsidR="0016113E" w:rsidRDefault="0016113E" w:rsidP="008B4A36">
            <w:pPr>
              <w:jc w:val="center"/>
            </w:pPr>
          </w:p>
          <w:p w14:paraId="651AE9F2" w14:textId="3029DE33" w:rsidR="0016113E" w:rsidRDefault="00D9331B" w:rsidP="008B4A36">
            <w:pPr>
              <w:jc w:val="center"/>
            </w:pPr>
            <w:r w:rsidRPr="00D9331B">
              <w:t>0.166667</w:t>
            </w:r>
          </w:p>
        </w:tc>
        <w:tc>
          <w:tcPr>
            <w:tcW w:w="1182" w:type="dxa"/>
          </w:tcPr>
          <w:p w14:paraId="548DD0D7" w14:textId="77777777" w:rsidR="0016113E" w:rsidRDefault="0016113E" w:rsidP="008B4A36">
            <w:pPr>
              <w:jc w:val="center"/>
            </w:pPr>
          </w:p>
          <w:p w14:paraId="5F919F78" w14:textId="49EB1169" w:rsidR="0016113E" w:rsidRDefault="00D9331B" w:rsidP="008B4A36">
            <w:pPr>
              <w:jc w:val="center"/>
            </w:pPr>
            <w:r w:rsidRPr="00D9331B">
              <w:t>0.419355</w:t>
            </w:r>
          </w:p>
        </w:tc>
        <w:tc>
          <w:tcPr>
            <w:tcW w:w="1182" w:type="dxa"/>
          </w:tcPr>
          <w:p w14:paraId="709FB6DA" w14:textId="77777777" w:rsidR="0016113E" w:rsidRDefault="0016113E" w:rsidP="008B4A36">
            <w:pPr>
              <w:jc w:val="center"/>
            </w:pPr>
          </w:p>
          <w:p w14:paraId="3A36B77E" w14:textId="360A42C3" w:rsidR="0016113E" w:rsidRDefault="00786CF1" w:rsidP="008B4A36">
            <w:pPr>
              <w:jc w:val="center"/>
            </w:pPr>
            <w:r w:rsidRPr="00786CF1">
              <w:t>0.238532</w:t>
            </w:r>
          </w:p>
        </w:tc>
        <w:tc>
          <w:tcPr>
            <w:tcW w:w="1182" w:type="dxa"/>
          </w:tcPr>
          <w:p w14:paraId="602A1EA2" w14:textId="77777777" w:rsidR="0016113E" w:rsidRDefault="0016113E" w:rsidP="008B4A36">
            <w:pPr>
              <w:jc w:val="center"/>
            </w:pPr>
          </w:p>
          <w:p w14:paraId="4AE62017" w14:textId="06C3036F" w:rsidR="0016113E" w:rsidRDefault="00786CF1" w:rsidP="008B4A36">
            <w:pPr>
              <w:jc w:val="center"/>
            </w:pPr>
            <w:r w:rsidRPr="00786CF1">
              <w:t>0.641969</w:t>
            </w:r>
          </w:p>
        </w:tc>
      </w:tr>
      <w:tr w:rsidR="0016113E" w14:paraId="56DB2E96" w14:textId="77777777" w:rsidTr="008B4A36">
        <w:trPr>
          <w:trHeight w:val="683"/>
        </w:trPr>
        <w:tc>
          <w:tcPr>
            <w:tcW w:w="2008" w:type="dxa"/>
          </w:tcPr>
          <w:p w14:paraId="71ADB3C7" w14:textId="77777777" w:rsidR="0016113E" w:rsidRDefault="0016113E" w:rsidP="0016113E">
            <w:pPr>
              <w:jc w:val="center"/>
            </w:pPr>
            <w:r w:rsidRPr="00565DB3">
              <w:t>Random Forest (Baseline)</w:t>
            </w:r>
          </w:p>
        </w:tc>
        <w:tc>
          <w:tcPr>
            <w:tcW w:w="1251" w:type="dxa"/>
          </w:tcPr>
          <w:p w14:paraId="2FD6D9CC" w14:textId="77777777" w:rsidR="0016113E" w:rsidRDefault="0016113E" w:rsidP="008B4A36">
            <w:pPr>
              <w:jc w:val="center"/>
            </w:pPr>
          </w:p>
          <w:p w14:paraId="606E2E5D" w14:textId="77777777" w:rsidR="0016113E" w:rsidRDefault="0016113E" w:rsidP="008B4A36">
            <w:pPr>
              <w:jc w:val="center"/>
            </w:pPr>
            <w:r w:rsidRPr="00565DB3">
              <w:t>None</w:t>
            </w:r>
          </w:p>
        </w:tc>
        <w:tc>
          <w:tcPr>
            <w:tcW w:w="1272" w:type="dxa"/>
          </w:tcPr>
          <w:p w14:paraId="7DF59C05" w14:textId="77777777" w:rsidR="0016113E" w:rsidRDefault="0016113E" w:rsidP="008B4A36">
            <w:pPr>
              <w:jc w:val="center"/>
            </w:pPr>
          </w:p>
          <w:p w14:paraId="526F5DC8" w14:textId="77777777" w:rsidR="0016113E" w:rsidRDefault="0016113E" w:rsidP="008B4A36">
            <w:pPr>
              <w:jc w:val="center"/>
            </w:pPr>
            <w:r w:rsidRPr="00565DB3">
              <w:t>0.9491</w:t>
            </w:r>
            <w:r>
              <w:t>0</w:t>
            </w:r>
          </w:p>
        </w:tc>
        <w:tc>
          <w:tcPr>
            <w:tcW w:w="1273" w:type="dxa"/>
          </w:tcPr>
          <w:p w14:paraId="156DA623" w14:textId="77777777" w:rsidR="0016113E" w:rsidRDefault="0016113E" w:rsidP="008B4A36">
            <w:pPr>
              <w:jc w:val="center"/>
            </w:pPr>
          </w:p>
          <w:p w14:paraId="2A8B5672" w14:textId="77777777" w:rsidR="0016113E" w:rsidRDefault="0016113E" w:rsidP="008B4A36">
            <w:pPr>
              <w:jc w:val="center"/>
            </w:pPr>
            <w:r w:rsidRPr="00565DB3">
              <w:t>0.0000</w:t>
            </w:r>
            <w:r>
              <w:t>0</w:t>
            </w:r>
          </w:p>
        </w:tc>
        <w:tc>
          <w:tcPr>
            <w:tcW w:w="1182" w:type="dxa"/>
          </w:tcPr>
          <w:p w14:paraId="3E802310" w14:textId="77777777" w:rsidR="0016113E" w:rsidRDefault="0016113E" w:rsidP="008B4A36">
            <w:pPr>
              <w:jc w:val="center"/>
            </w:pPr>
          </w:p>
          <w:p w14:paraId="54CDF9DF" w14:textId="77777777" w:rsidR="0016113E" w:rsidRDefault="0016113E" w:rsidP="008B4A36">
            <w:pPr>
              <w:jc w:val="center"/>
            </w:pPr>
            <w:r w:rsidRPr="00565DB3">
              <w:t>0.0000</w:t>
            </w:r>
            <w:r>
              <w:t>0</w:t>
            </w:r>
          </w:p>
        </w:tc>
        <w:tc>
          <w:tcPr>
            <w:tcW w:w="1182" w:type="dxa"/>
          </w:tcPr>
          <w:p w14:paraId="7CF7D0C7" w14:textId="77777777" w:rsidR="0016113E" w:rsidRDefault="0016113E" w:rsidP="008B4A36">
            <w:pPr>
              <w:jc w:val="center"/>
            </w:pPr>
          </w:p>
          <w:p w14:paraId="4A114A4B" w14:textId="77777777" w:rsidR="0016113E" w:rsidRDefault="0016113E" w:rsidP="008B4A36">
            <w:pPr>
              <w:jc w:val="center"/>
            </w:pPr>
            <w:r w:rsidRPr="00565DB3">
              <w:t>0.0000</w:t>
            </w:r>
            <w:r>
              <w:t>0</w:t>
            </w:r>
          </w:p>
        </w:tc>
        <w:tc>
          <w:tcPr>
            <w:tcW w:w="1182" w:type="dxa"/>
          </w:tcPr>
          <w:p w14:paraId="145BFD95" w14:textId="77777777" w:rsidR="0016113E" w:rsidRDefault="0016113E" w:rsidP="008B4A36">
            <w:pPr>
              <w:jc w:val="center"/>
            </w:pPr>
          </w:p>
          <w:p w14:paraId="281C0AE8" w14:textId="77777777" w:rsidR="0016113E" w:rsidRDefault="0016113E" w:rsidP="008B4A36">
            <w:pPr>
              <w:jc w:val="center"/>
            </w:pPr>
            <w:r w:rsidRPr="00565DB3">
              <w:t>0.5000</w:t>
            </w:r>
            <w:r>
              <w:t>0</w:t>
            </w:r>
          </w:p>
        </w:tc>
      </w:tr>
      <w:tr w:rsidR="0016113E" w14:paraId="13B0F591" w14:textId="77777777" w:rsidTr="008B4A36">
        <w:trPr>
          <w:trHeight w:val="620"/>
        </w:trPr>
        <w:tc>
          <w:tcPr>
            <w:tcW w:w="2008" w:type="dxa"/>
          </w:tcPr>
          <w:p w14:paraId="31971532" w14:textId="77777777" w:rsidR="0016113E" w:rsidRPr="00565DB3" w:rsidRDefault="0016113E" w:rsidP="0016113E">
            <w:pPr>
              <w:jc w:val="center"/>
            </w:pPr>
            <w:r w:rsidRPr="0000716B">
              <w:t>KNN (Baseline)</w:t>
            </w:r>
          </w:p>
        </w:tc>
        <w:tc>
          <w:tcPr>
            <w:tcW w:w="1251" w:type="dxa"/>
          </w:tcPr>
          <w:p w14:paraId="0C14FDCD" w14:textId="77777777" w:rsidR="0016113E" w:rsidRDefault="0016113E" w:rsidP="008B4A36">
            <w:pPr>
              <w:jc w:val="center"/>
            </w:pPr>
          </w:p>
          <w:p w14:paraId="1C5964C3" w14:textId="77777777" w:rsidR="0016113E" w:rsidRPr="00565DB3" w:rsidRDefault="0016113E" w:rsidP="008B4A36">
            <w:pPr>
              <w:jc w:val="center"/>
            </w:pPr>
            <w:r w:rsidRPr="0000716B">
              <w:t>N</w:t>
            </w:r>
            <w:r>
              <w:t>one</w:t>
            </w:r>
          </w:p>
        </w:tc>
        <w:tc>
          <w:tcPr>
            <w:tcW w:w="1272" w:type="dxa"/>
          </w:tcPr>
          <w:p w14:paraId="2C7B44AA" w14:textId="77777777" w:rsidR="0016113E" w:rsidRDefault="0016113E" w:rsidP="008B4A36">
            <w:pPr>
              <w:jc w:val="center"/>
            </w:pPr>
          </w:p>
          <w:p w14:paraId="1005ED9A" w14:textId="77777777" w:rsidR="0016113E" w:rsidRPr="00565DB3" w:rsidRDefault="0016113E" w:rsidP="008B4A36">
            <w:pPr>
              <w:jc w:val="center"/>
            </w:pPr>
            <w:r w:rsidRPr="0000716B">
              <w:t>0.936399</w:t>
            </w:r>
          </w:p>
        </w:tc>
        <w:tc>
          <w:tcPr>
            <w:tcW w:w="1273" w:type="dxa"/>
          </w:tcPr>
          <w:p w14:paraId="4E78D721" w14:textId="77777777" w:rsidR="0016113E" w:rsidRDefault="0016113E" w:rsidP="008B4A36">
            <w:pPr>
              <w:jc w:val="center"/>
            </w:pPr>
          </w:p>
          <w:p w14:paraId="0CE1F0F2" w14:textId="77777777" w:rsidR="0016113E" w:rsidRPr="00565DB3" w:rsidRDefault="0016113E" w:rsidP="008B4A36">
            <w:pPr>
              <w:jc w:val="center"/>
            </w:pPr>
            <w:r w:rsidRPr="0000716B">
              <w:t>0.000000</w:t>
            </w:r>
          </w:p>
        </w:tc>
        <w:tc>
          <w:tcPr>
            <w:tcW w:w="1182" w:type="dxa"/>
          </w:tcPr>
          <w:p w14:paraId="52E5333A" w14:textId="77777777" w:rsidR="0016113E" w:rsidRDefault="0016113E" w:rsidP="008B4A36">
            <w:pPr>
              <w:jc w:val="center"/>
            </w:pPr>
          </w:p>
          <w:p w14:paraId="3DEB2491" w14:textId="77777777" w:rsidR="0016113E" w:rsidRPr="00565DB3" w:rsidRDefault="0016113E" w:rsidP="008B4A36">
            <w:pPr>
              <w:jc w:val="center"/>
            </w:pPr>
            <w:r w:rsidRPr="0000716B">
              <w:t>0.000000</w:t>
            </w:r>
          </w:p>
        </w:tc>
        <w:tc>
          <w:tcPr>
            <w:tcW w:w="1182" w:type="dxa"/>
          </w:tcPr>
          <w:p w14:paraId="00E6A91E" w14:textId="77777777" w:rsidR="0016113E" w:rsidRDefault="0016113E" w:rsidP="008B4A36">
            <w:pPr>
              <w:jc w:val="center"/>
            </w:pPr>
          </w:p>
          <w:p w14:paraId="2BF2A098" w14:textId="77777777" w:rsidR="0016113E" w:rsidRPr="00565DB3" w:rsidRDefault="0016113E" w:rsidP="008B4A36">
            <w:pPr>
              <w:jc w:val="center"/>
            </w:pPr>
            <w:r w:rsidRPr="0000716B">
              <w:t>0.000000</w:t>
            </w:r>
          </w:p>
        </w:tc>
        <w:tc>
          <w:tcPr>
            <w:tcW w:w="1182" w:type="dxa"/>
          </w:tcPr>
          <w:p w14:paraId="16079FA5" w14:textId="77777777" w:rsidR="0016113E" w:rsidRDefault="0016113E" w:rsidP="008B4A36">
            <w:pPr>
              <w:jc w:val="center"/>
            </w:pPr>
          </w:p>
          <w:p w14:paraId="3D84334D" w14:textId="77777777" w:rsidR="0016113E" w:rsidRPr="00565DB3" w:rsidRDefault="0016113E" w:rsidP="008B4A36">
            <w:pPr>
              <w:jc w:val="center"/>
            </w:pPr>
            <w:r w:rsidRPr="0000716B">
              <w:t>0.498437</w:t>
            </w:r>
          </w:p>
        </w:tc>
      </w:tr>
      <w:tr w:rsidR="0016113E" w14:paraId="668E2782" w14:textId="77777777" w:rsidTr="008B4A36">
        <w:tc>
          <w:tcPr>
            <w:tcW w:w="2008" w:type="dxa"/>
          </w:tcPr>
          <w:p w14:paraId="06C97CB8" w14:textId="77777777" w:rsidR="0016113E" w:rsidRPr="0000716B" w:rsidRDefault="0016113E" w:rsidP="0016113E">
            <w:pPr>
              <w:jc w:val="center"/>
            </w:pPr>
            <w:r w:rsidRPr="0000716B">
              <w:t>XGBoost (Baseline)</w:t>
            </w:r>
          </w:p>
        </w:tc>
        <w:tc>
          <w:tcPr>
            <w:tcW w:w="1251" w:type="dxa"/>
          </w:tcPr>
          <w:p w14:paraId="7AC2456E" w14:textId="77777777" w:rsidR="0016113E" w:rsidRDefault="0016113E" w:rsidP="008B4A36">
            <w:pPr>
              <w:jc w:val="center"/>
            </w:pPr>
          </w:p>
          <w:p w14:paraId="09EE7BB5" w14:textId="77777777" w:rsidR="0016113E" w:rsidRPr="0000716B" w:rsidRDefault="0016113E" w:rsidP="008B4A36">
            <w:pPr>
              <w:jc w:val="center"/>
            </w:pPr>
            <w:r>
              <w:t>None</w:t>
            </w:r>
          </w:p>
        </w:tc>
        <w:tc>
          <w:tcPr>
            <w:tcW w:w="1272" w:type="dxa"/>
          </w:tcPr>
          <w:p w14:paraId="1D0C9437" w14:textId="77777777" w:rsidR="0016113E" w:rsidRDefault="0016113E" w:rsidP="008B4A36">
            <w:pPr>
              <w:jc w:val="center"/>
            </w:pPr>
          </w:p>
          <w:p w14:paraId="069EC412" w14:textId="77777777" w:rsidR="0016113E" w:rsidRPr="0000716B" w:rsidRDefault="0016113E" w:rsidP="008B4A36">
            <w:pPr>
              <w:jc w:val="center"/>
            </w:pPr>
            <w:r w:rsidRPr="0000716B">
              <w:t>0.937378</w:t>
            </w:r>
          </w:p>
        </w:tc>
        <w:tc>
          <w:tcPr>
            <w:tcW w:w="1273" w:type="dxa"/>
          </w:tcPr>
          <w:p w14:paraId="13D4A1F6" w14:textId="77777777" w:rsidR="0016113E" w:rsidRDefault="0016113E" w:rsidP="008B4A36">
            <w:pPr>
              <w:jc w:val="center"/>
            </w:pPr>
          </w:p>
          <w:p w14:paraId="5F560F6A" w14:textId="77777777" w:rsidR="0016113E" w:rsidRPr="0000716B" w:rsidRDefault="0016113E" w:rsidP="008B4A36">
            <w:pPr>
              <w:jc w:val="center"/>
            </w:pPr>
            <w:r w:rsidRPr="0000716B">
              <w:t>0.428571</w:t>
            </w:r>
          </w:p>
        </w:tc>
        <w:tc>
          <w:tcPr>
            <w:tcW w:w="1182" w:type="dxa"/>
          </w:tcPr>
          <w:p w14:paraId="039A466E" w14:textId="77777777" w:rsidR="0016113E" w:rsidRDefault="0016113E" w:rsidP="008B4A36">
            <w:pPr>
              <w:jc w:val="center"/>
            </w:pPr>
          </w:p>
          <w:p w14:paraId="508C932C" w14:textId="77777777" w:rsidR="0016113E" w:rsidRPr="0000716B" w:rsidRDefault="0016113E" w:rsidP="008B4A36">
            <w:pPr>
              <w:jc w:val="center"/>
            </w:pPr>
            <w:r w:rsidRPr="0000716B">
              <w:t>0.096774</w:t>
            </w:r>
          </w:p>
        </w:tc>
        <w:tc>
          <w:tcPr>
            <w:tcW w:w="1182" w:type="dxa"/>
          </w:tcPr>
          <w:p w14:paraId="3BF6D514" w14:textId="77777777" w:rsidR="0016113E" w:rsidRDefault="0016113E" w:rsidP="008B4A36">
            <w:pPr>
              <w:jc w:val="center"/>
            </w:pPr>
          </w:p>
          <w:p w14:paraId="07592ECB" w14:textId="77777777" w:rsidR="0016113E" w:rsidRPr="0000716B" w:rsidRDefault="0016113E" w:rsidP="008B4A36">
            <w:pPr>
              <w:jc w:val="center"/>
            </w:pPr>
            <w:r w:rsidRPr="0000716B">
              <w:t>0.157895</w:t>
            </w:r>
          </w:p>
        </w:tc>
        <w:tc>
          <w:tcPr>
            <w:tcW w:w="1182" w:type="dxa"/>
          </w:tcPr>
          <w:p w14:paraId="0364E303" w14:textId="77777777" w:rsidR="0016113E" w:rsidRDefault="0016113E" w:rsidP="008B4A36">
            <w:pPr>
              <w:jc w:val="center"/>
            </w:pPr>
          </w:p>
          <w:p w14:paraId="5065A595" w14:textId="77777777" w:rsidR="0016113E" w:rsidRPr="0000716B" w:rsidRDefault="0016113E" w:rsidP="008B4A36">
            <w:pPr>
              <w:jc w:val="center"/>
            </w:pPr>
            <w:r w:rsidRPr="0000716B">
              <w:t>0.544220</w:t>
            </w:r>
          </w:p>
        </w:tc>
      </w:tr>
      <w:tr w:rsidR="0016113E" w14:paraId="2EF44CE4" w14:textId="77777777" w:rsidTr="008B4A36">
        <w:tc>
          <w:tcPr>
            <w:tcW w:w="2008" w:type="dxa"/>
          </w:tcPr>
          <w:p w14:paraId="768E9305" w14:textId="77777777" w:rsidR="0016113E" w:rsidRPr="0000716B" w:rsidRDefault="0016113E" w:rsidP="0016113E">
            <w:pPr>
              <w:jc w:val="center"/>
            </w:pPr>
            <w:r w:rsidRPr="001F7E60">
              <w:t>LightGBM (Baseline)</w:t>
            </w:r>
          </w:p>
        </w:tc>
        <w:tc>
          <w:tcPr>
            <w:tcW w:w="1251" w:type="dxa"/>
          </w:tcPr>
          <w:p w14:paraId="56AB1D21" w14:textId="77777777" w:rsidR="0016113E" w:rsidRDefault="0016113E" w:rsidP="008B4A36">
            <w:pPr>
              <w:jc w:val="center"/>
            </w:pPr>
          </w:p>
          <w:p w14:paraId="7D894DA1" w14:textId="77777777" w:rsidR="0016113E" w:rsidRDefault="0016113E" w:rsidP="008B4A36">
            <w:pPr>
              <w:jc w:val="center"/>
            </w:pPr>
            <w:r>
              <w:t>None</w:t>
            </w:r>
          </w:p>
        </w:tc>
        <w:tc>
          <w:tcPr>
            <w:tcW w:w="1272" w:type="dxa"/>
          </w:tcPr>
          <w:p w14:paraId="1774271B" w14:textId="77777777" w:rsidR="0016113E" w:rsidRDefault="0016113E" w:rsidP="008B4A36">
            <w:pPr>
              <w:jc w:val="center"/>
            </w:pPr>
          </w:p>
          <w:p w14:paraId="5E0CF5F9" w14:textId="77777777" w:rsidR="0016113E" w:rsidRPr="0000716B" w:rsidRDefault="0016113E" w:rsidP="008B4A36">
            <w:pPr>
              <w:jc w:val="center"/>
            </w:pPr>
            <w:r w:rsidRPr="001F7E60">
              <w:t>0.937378</w:t>
            </w:r>
          </w:p>
        </w:tc>
        <w:tc>
          <w:tcPr>
            <w:tcW w:w="1273" w:type="dxa"/>
          </w:tcPr>
          <w:p w14:paraId="32453005" w14:textId="77777777" w:rsidR="0016113E" w:rsidRDefault="0016113E" w:rsidP="008B4A36">
            <w:pPr>
              <w:jc w:val="center"/>
            </w:pPr>
          </w:p>
          <w:p w14:paraId="234FEC23" w14:textId="77777777" w:rsidR="0016113E" w:rsidRPr="0000716B" w:rsidRDefault="0016113E" w:rsidP="008B4A36">
            <w:pPr>
              <w:jc w:val="center"/>
            </w:pPr>
            <w:r w:rsidRPr="001F7E60">
              <w:t>0.400000</w:t>
            </w:r>
          </w:p>
        </w:tc>
        <w:tc>
          <w:tcPr>
            <w:tcW w:w="1182" w:type="dxa"/>
          </w:tcPr>
          <w:p w14:paraId="4C22B6A8" w14:textId="77777777" w:rsidR="0016113E" w:rsidRDefault="0016113E" w:rsidP="008B4A36">
            <w:pPr>
              <w:jc w:val="center"/>
            </w:pPr>
          </w:p>
          <w:p w14:paraId="6AC630DB" w14:textId="77777777" w:rsidR="0016113E" w:rsidRPr="0000716B" w:rsidRDefault="0016113E" w:rsidP="008B4A36">
            <w:pPr>
              <w:jc w:val="center"/>
            </w:pPr>
            <w:r w:rsidRPr="001F7E60">
              <w:t>0.064516</w:t>
            </w:r>
          </w:p>
        </w:tc>
        <w:tc>
          <w:tcPr>
            <w:tcW w:w="1182" w:type="dxa"/>
          </w:tcPr>
          <w:p w14:paraId="504D3BFE" w14:textId="77777777" w:rsidR="0016113E" w:rsidRDefault="0016113E" w:rsidP="008B4A36">
            <w:pPr>
              <w:jc w:val="center"/>
            </w:pPr>
          </w:p>
          <w:p w14:paraId="3E03519F" w14:textId="77777777" w:rsidR="0016113E" w:rsidRPr="0000716B" w:rsidRDefault="0016113E" w:rsidP="008B4A36">
            <w:pPr>
              <w:jc w:val="center"/>
            </w:pPr>
            <w:r w:rsidRPr="001F7E60">
              <w:t>0.111111</w:t>
            </w:r>
          </w:p>
        </w:tc>
        <w:tc>
          <w:tcPr>
            <w:tcW w:w="1182" w:type="dxa"/>
          </w:tcPr>
          <w:p w14:paraId="205F0C24" w14:textId="77777777" w:rsidR="0016113E" w:rsidRDefault="0016113E" w:rsidP="008B4A36">
            <w:pPr>
              <w:jc w:val="center"/>
            </w:pPr>
          </w:p>
          <w:p w14:paraId="79619093" w14:textId="77777777" w:rsidR="0016113E" w:rsidRPr="0000716B" w:rsidRDefault="0016113E" w:rsidP="008B4A36">
            <w:pPr>
              <w:jc w:val="center"/>
            </w:pPr>
            <w:r w:rsidRPr="001F7E60">
              <w:t>0.529133</w:t>
            </w:r>
          </w:p>
        </w:tc>
      </w:tr>
      <w:tr w:rsidR="0016113E" w14:paraId="4E6BCDA1" w14:textId="77777777" w:rsidTr="008B4A36">
        <w:tc>
          <w:tcPr>
            <w:tcW w:w="2008" w:type="dxa"/>
            <w:vAlign w:val="bottom"/>
          </w:tcPr>
          <w:p w14:paraId="6D369979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t>Logistic Regression (Tuned)</w:t>
            </w:r>
          </w:p>
        </w:tc>
        <w:tc>
          <w:tcPr>
            <w:tcW w:w="1251" w:type="dxa"/>
            <w:vAlign w:val="bottom"/>
          </w:tcPr>
          <w:p w14:paraId="62AA9E35" w14:textId="57B3838B" w:rsidR="0016113E" w:rsidRPr="001F7E60" w:rsidRDefault="000842E8" w:rsidP="008B4A36">
            <w:pPr>
              <w:jc w:val="center"/>
            </w:pPr>
            <w:r w:rsidRPr="000842E8">
              <w:rPr>
                <w:rFonts w:cs="Arial"/>
              </w:rPr>
              <w:t>0.871961</w:t>
            </w:r>
          </w:p>
        </w:tc>
        <w:tc>
          <w:tcPr>
            <w:tcW w:w="1272" w:type="dxa"/>
            <w:vAlign w:val="bottom"/>
          </w:tcPr>
          <w:p w14:paraId="46843CC8" w14:textId="2D7FB13B" w:rsidR="0016113E" w:rsidRPr="001F7E60" w:rsidRDefault="00C13812" w:rsidP="008B4A36">
            <w:pPr>
              <w:jc w:val="center"/>
            </w:pPr>
            <w:r w:rsidRPr="00C13812">
              <w:rPr>
                <w:rFonts w:cs="Arial"/>
              </w:rPr>
              <w:t>0.746575</w:t>
            </w:r>
          </w:p>
        </w:tc>
        <w:tc>
          <w:tcPr>
            <w:tcW w:w="1273" w:type="dxa"/>
            <w:vAlign w:val="bottom"/>
          </w:tcPr>
          <w:p w14:paraId="5A1CA337" w14:textId="2218052F" w:rsidR="0016113E" w:rsidRPr="001F7E60" w:rsidRDefault="00BA123D" w:rsidP="008B4A36">
            <w:pPr>
              <w:jc w:val="center"/>
            </w:pPr>
            <w:r w:rsidRPr="00BA123D">
              <w:rPr>
                <w:rFonts w:cs="Arial"/>
              </w:rPr>
              <w:t>0.168350</w:t>
            </w:r>
          </w:p>
        </w:tc>
        <w:tc>
          <w:tcPr>
            <w:tcW w:w="1182" w:type="dxa"/>
            <w:vAlign w:val="bottom"/>
          </w:tcPr>
          <w:p w14:paraId="17AE57AA" w14:textId="303EE4C1" w:rsidR="0016113E" w:rsidRPr="001F7E60" w:rsidRDefault="00BA123D" w:rsidP="008B4A36">
            <w:pPr>
              <w:jc w:val="center"/>
            </w:pPr>
            <w:r w:rsidRPr="001F7E60">
              <w:rPr>
                <w:rFonts w:cs="Arial"/>
              </w:rPr>
              <w:t>0.</w:t>
            </w:r>
            <w:r>
              <w:rPr>
                <w:rFonts w:cs="Arial"/>
              </w:rPr>
              <w:t>806451</w:t>
            </w:r>
          </w:p>
        </w:tc>
        <w:tc>
          <w:tcPr>
            <w:tcW w:w="1182" w:type="dxa"/>
            <w:vAlign w:val="bottom"/>
          </w:tcPr>
          <w:p w14:paraId="1665D0B4" w14:textId="6B519807" w:rsidR="0016113E" w:rsidRPr="001F7E60" w:rsidRDefault="00C13812" w:rsidP="008B4A36">
            <w:pPr>
              <w:jc w:val="center"/>
            </w:pPr>
            <w:r w:rsidRPr="00C13812">
              <w:rPr>
                <w:rFonts w:cs="Arial"/>
              </w:rPr>
              <w:t>0.27855</w:t>
            </w:r>
            <w:r w:rsidR="00725D74">
              <w:rPr>
                <w:rFonts w:cs="Arial"/>
              </w:rPr>
              <w:t>1</w:t>
            </w:r>
          </w:p>
        </w:tc>
        <w:tc>
          <w:tcPr>
            <w:tcW w:w="1182" w:type="dxa"/>
            <w:vAlign w:val="bottom"/>
          </w:tcPr>
          <w:p w14:paraId="5B0448DB" w14:textId="5601A02A" w:rsidR="0016113E" w:rsidRPr="001F7E60" w:rsidRDefault="00725D74" w:rsidP="008B4A36">
            <w:pPr>
              <w:jc w:val="center"/>
            </w:pPr>
            <w:r w:rsidRPr="00725D74">
              <w:rPr>
                <w:rFonts w:cs="Arial"/>
              </w:rPr>
              <w:t>0.774579</w:t>
            </w:r>
          </w:p>
        </w:tc>
      </w:tr>
      <w:tr w:rsidR="0016113E" w14:paraId="3EBDA924" w14:textId="77777777" w:rsidTr="008B4A36">
        <w:trPr>
          <w:trHeight w:val="739"/>
        </w:trPr>
        <w:tc>
          <w:tcPr>
            <w:tcW w:w="2008" w:type="dxa"/>
            <w:vAlign w:val="bottom"/>
          </w:tcPr>
          <w:p w14:paraId="18BC6BB0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lastRenderedPageBreak/>
              <w:t>Random Forest (Tuned)</w:t>
            </w:r>
          </w:p>
        </w:tc>
        <w:tc>
          <w:tcPr>
            <w:tcW w:w="1251" w:type="dxa"/>
            <w:vAlign w:val="bottom"/>
          </w:tcPr>
          <w:p w14:paraId="0F7BFC62" w14:textId="1296F11C" w:rsidR="0016113E" w:rsidRPr="001F7E60" w:rsidRDefault="004A1273" w:rsidP="008B4A36">
            <w:pPr>
              <w:jc w:val="center"/>
            </w:pPr>
            <w:r w:rsidRPr="004A1273">
              <w:rPr>
                <w:rFonts w:cs="Arial"/>
              </w:rPr>
              <w:t xml:space="preserve">0.959375  </w:t>
            </w:r>
          </w:p>
        </w:tc>
        <w:tc>
          <w:tcPr>
            <w:tcW w:w="1272" w:type="dxa"/>
            <w:vAlign w:val="bottom"/>
          </w:tcPr>
          <w:p w14:paraId="228DECFB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0.940313</w:t>
            </w:r>
          </w:p>
        </w:tc>
        <w:tc>
          <w:tcPr>
            <w:tcW w:w="1273" w:type="dxa"/>
            <w:vAlign w:val="bottom"/>
          </w:tcPr>
          <w:p w14:paraId="39C9278F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0.666667</w:t>
            </w:r>
          </w:p>
        </w:tc>
        <w:tc>
          <w:tcPr>
            <w:tcW w:w="1182" w:type="dxa"/>
            <w:vAlign w:val="bottom"/>
          </w:tcPr>
          <w:p w14:paraId="74FF72A3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0.032258</w:t>
            </w:r>
          </w:p>
        </w:tc>
        <w:tc>
          <w:tcPr>
            <w:tcW w:w="1182" w:type="dxa"/>
            <w:vAlign w:val="bottom"/>
          </w:tcPr>
          <w:p w14:paraId="06DDC151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0.061538</w:t>
            </w:r>
          </w:p>
        </w:tc>
        <w:tc>
          <w:tcPr>
            <w:tcW w:w="1182" w:type="dxa"/>
            <w:vAlign w:val="bottom"/>
          </w:tcPr>
          <w:p w14:paraId="044DFBB3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0.515608</w:t>
            </w:r>
          </w:p>
        </w:tc>
      </w:tr>
      <w:tr w:rsidR="0016113E" w14:paraId="67BE0FCD" w14:textId="77777777" w:rsidTr="008B4A36">
        <w:trPr>
          <w:trHeight w:val="656"/>
        </w:trPr>
        <w:tc>
          <w:tcPr>
            <w:tcW w:w="2008" w:type="dxa"/>
            <w:vAlign w:val="bottom"/>
          </w:tcPr>
          <w:p w14:paraId="0D0E9CE1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t>Decision Tree (Tuned)</w:t>
            </w:r>
          </w:p>
        </w:tc>
        <w:tc>
          <w:tcPr>
            <w:tcW w:w="1251" w:type="dxa"/>
            <w:vAlign w:val="bottom"/>
          </w:tcPr>
          <w:p w14:paraId="04A50C34" w14:textId="6512AF50" w:rsidR="0016113E" w:rsidRPr="001F7E60" w:rsidRDefault="004A1273" w:rsidP="008B4A36">
            <w:pPr>
              <w:jc w:val="center"/>
            </w:pPr>
            <w:r w:rsidRPr="004A1273">
              <w:rPr>
                <w:rFonts w:cs="Arial"/>
              </w:rPr>
              <w:t>0.928740</w:t>
            </w:r>
          </w:p>
        </w:tc>
        <w:tc>
          <w:tcPr>
            <w:tcW w:w="1272" w:type="dxa"/>
            <w:vAlign w:val="bottom"/>
          </w:tcPr>
          <w:p w14:paraId="4AD1DDAA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0.89726</w:t>
            </w:r>
          </w:p>
        </w:tc>
        <w:tc>
          <w:tcPr>
            <w:tcW w:w="1273" w:type="dxa"/>
            <w:vAlign w:val="bottom"/>
          </w:tcPr>
          <w:p w14:paraId="70319421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0.247059</w:t>
            </w:r>
          </w:p>
        </w:tc>
        <w:tc>
          <w:tcPr>
            <w:tcW w:w="1182" w:type="dxa"/>
            <w:vAlign w:val="bottom"/>
          </w:tcPr>
          <w:p w14:paraId="390C99DE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0.33871</w:t>
            </w:r>
          </w:p>
        </w:tc>
        <w:tc>
          <w:tcPr>
            <w:tcW w:w="1182" w:type="dxa"/>
            <w:vAlign w:val="bottom"/>
          </w:tcPr>
          <w:p w14:paraId="3377B86F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0.285714</w:t>
            </w:r>
          </w:p>
        </w:tc>
        <w:tc>
          <w:tcPr>
            <w:tcW w:w="1182" w:type="dxa"/>
            <w:vAlign w:val="bottom"/>
          </w:tcPr>
          <w:p w14:paraId="12EB4B8D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0.636022</w:t>
            </w:r>
          </w:p>
        </w:tc>
      </w:tr>
      <w:tr w:rsidR="0016113E" w:rsidRPr="00AD6B1F" w14:paraId="16B139F8" w14:textId="77777777" w:rsidTr="008B4A36">
        <w:trPr>
          <w:trHeight w:val="620"/>
        </w:trPr>
        <w:tc>
          <w:tcPr>
            <w:tcW w:w="2008" w:type="dxa"/>
            <w:vAlign w:val="bottom"/>
          </w:tcPr>
          <w:p w14:paraId="0171126E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t>KNN (Tuned)</w:t>
            </w:r>
          </w:p>
        </w:tc>
        <w:tc>
          <w:tcPr>
            <w:tcW w:w="1251" w:type="dxa"/>
            <w:vAlign w:val="bottom"/>
          </w:tcPr>
          <w:p w14:paraId="69DCA91A" w14:textId="2645B3E2" w:rsidR="0016113E" w:rsidRPr="001F7E60" w:rsidRDefault="004A1273" w:rsidP="008B4A36">
            <w:pPr>
              <w:jc w:val="center"/>
            </w:pPr>
            <w:r w:rsidRPr="004A1273">
              <w:rPr>
                <w:rFonts w:cs="Arial"/>
              </w:rPr>
              <w:t xml:space="preserve">0.933864  </w:t>
            </w:r>
          </w:p>
        </w:tc>
        <w:tc>
          <w:tcPr>
            <w:tcW w:w="1272" w:type="dxa"/>
            <w:vAlign w:val="bottom"/>
          </w:tcPr>
          <w:p w14:paraId="51502B8E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0.885519</w:t>
            </w:r>
          </w:p>
        </w:tc>
        <w:tc>
          <w:tcPr>
            <w:tcW w:w="1273" w:type="dxa"/>
            <w:vAlign w:val="bottom"/>
          </w:tcPr>
          <w:p w14:paraId="0BA3B51D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0.227723</w:t>
            </w:r>
          </w:p>
        </w:tc>
        <w:tc>
          <w:tcPr>
            <w:tcW w:w="1182" w:type="dxa"/>
            <w:vAlign w:val="bottom"/>
          </w:tcPr>
          <w:p w14:paraId="2267DACD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0.370968</w:t>
            </w:r>
          </w:p>
        </w:tc>
        <w:tc>
          <w:tcPr>
            <w:tcW w:w="1182" w:type="dxa"/>
            <w:vAlign w:val="bottom"/>
          </w:tcPr>
          <w:p w14:paraId="0541A5F8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0.282209</w:t>
            </w:r>
          </w:p>
        </w:tc>
        <w:tc>
          <w:tcPr>
            <w:tcW w:w="1182" w:type="dxa"/>
            <w:vAlign w:val="bottom"/>
          </w:tcPr>
          <w:p w14:paraId="4288D71D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0.644859</w:t>
            </w:r>
          </w:p>
        </w:tc>
      </w:tr>
      <w:tr w:rsidR="0016113E" w:rsidRPr="00AD6B1F" w14:paraId="2D38F02A" w14:textId="77777777" w:rsidTr="008B4A36">
        <w:trPr>
          <w:trHeight w:val="611"/>
        </w:trPr>
        <w:tc>
          <w:tcPr>
            <w:tcW w:w="2008" w:type="dxa"/>
            <w:vAlign w:val="bottom"/>
          </w:tcPr>
          <w:p w14:paraId="2809AF0B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t>XGBoost (Tuned)</w:t>
            </w:r>
          </w:p>
        </w:tc>
        <w:tc>
          <w:tcPr>
            <w:tcW w:w="1251" w:type="dxa"/>
            <w:vAlign w:val="bottom"/>
          </w:tcPr>
          <w:p w14:paraId="168D0B92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0.959375</w:t>
            </w:r>
          </w:p>
        </w:tc>
        <w:tc>
          <w:tcPr>
            <w:tcW w:w="1272" w:type="dxa"/>
            <w:vAlign w:val="bottom"/>
          </w:tcPr>
          <w:p w14:paraId="3C0199F6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0.915851</w:t>
            </w:r>
          </w:p>
        </w:tc>
        <w:tc>
          <w:tcPr>
            <w:tcW w:w="1273" w:type="dxa"/>
            <w:vAlign w:val="bottom"/>
          </w:tcPr>
          <w:p w14:paraId="247C3581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0.184211</w:t>
            </w:r>
          </w:p>
        </w:tc>
        <w:tc>
          <w:tcPr>
            <w:tcW w:w="1182" w:type="dxa"/>
            <w:vAlign w:val="bottom"/>
          </w:tcPr>
          <w:p w14:paraId="4C1D661C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0.112903</w:t>
            </w:r>
          </w:p>
        </w:tc>
        <w:tc>
          <w:tcPr>
            <w:tcW w:w="1182" w:type="dxa"/>
            <w:vAlign w:val="bottom"/>
          </w:tcPr>
          <w:p w14:paraId="1EE32E9E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0.14</w:t>
            </w:r>
            <w:r>
              <w:rPr>
                <w:rFonts w:cs="Arial"/>
              </w:rPr>
              <w:t>0000</w:t>
            </w:r>
          </w:p>
        </w:tc>
        <w:tc>
          <w:tcPr>
            <w:tcW w:w="1182" w:type="dxa"/>
            <w:vAlign w:val="bottom"/>
          </w:tcPr>
          <w:p w14:paraId="0C803333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0.540306</w:t>
            </w:r>
          </w:p>
        </w:tc>
      </w:tr>
      <w:tr w:rsidR="0016113E" w:rsidRPr="00AD6B1F" w14:paraId="63D551B7" w14:textId="77777777" w:rsidTr="008B4A36">
        <w:trPr>
          <w:trHeight w:val="521"/>
        </w:trPr>
        <w:tc>
          <w:tcPr>
            <w:tcW w:w="2008" w:type="dxa"/>
            <w:vAlign w:val="bottom"/>
          </w:tcPr>
          <w:p w14:paraId="7C623D6B" w14:textId="77777777" w:rsidR="0016113E" w:rsidRPr="001F7E60" w:rsidRDefault="0016113E" w:rsidP="0016113E">
            <w:pPr>
              <w:jc w:val="center"/>
            </w:pPr>
            <w:r w:rsidRPr="001F7E60">
              <w:rPr>
                <w:rFonts w:cs="Arial"/>
              </w:rPr>
              <w:t>LightGBM (Tuned)</w:t>
            </w:r>
          </w:p>
        </w:tc>
        <w:tc>
          <w:tcPr>
            <w:tcW w:w="1251" w:type="dxa"/>
            <w:vAlign w:val="bottom"/>
          </w:tcPr>
          <w:p w14:paraId="5FDB1A9F" w14:textId="3BFF1D3F" w:rsidR="0016113E" w:rsidRPr="001F7E60" w:rsidRDefault="00225424" w:rsidP="008B4A36">
            <w:pPr>
              <w:jc w:val="center"/>
            </w:pPr>
            <w:r w:rsidRPr="00225424">
              <w:rPr>
                <w:rFonts w:cs="Arial"/>
              </w:rPr>
              <w:t>0.871961</w:t>
            </w:r>
          </w:p>
        </w:tc>
        <w:tc>
          <w:tcPr>
            <w:tcW w:w="1272" w:type="dxa"/>
            <w:vAlign w:val="bottom"/>
          </w:tcPr>
          <w:p w14:paraId="73991D33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0.934442</w:t>
            </w:r>
          </w:p>
        </w:tc>
        <w:tc>
          <w:tcPr>
            <w:tcW w:w="1273" w:type="dxa"/>
            <w:vAlign w:val="bottom"/>
          </w:tcPr>
          <w:p w14:paraId="54022CC1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0.4</w:t>
            </w:r>
            <w:r>
              <w:rPr>
                <w:rFonts w:cs="Arial"/>
              </w:rPr>
              <w:t>0000</w:t>
            </w:r>
          </w:p>
        </w:tc>
        <w:tc>
          <w:tcPr>
            <w:tcW w:w="1182" w:type="dxa"/>
            <w:vAlign w:val="bottom"/>
          </w:tcPr>
          <w:p w14:paraId="727BD26F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0.16129</w:t>
            </w:r>
          </w:p>
        </w:tc>
        <w:tc>
          <w:tcPr>
            <w:tcW w:w="1182" w:type="dxa"/>
            <w:vAlign w:val="bottom"/>
          </w:tcPr>
          <w:p w14:paraId="1344E2DD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0.229885</w:t>
            </w:r>
          </w:p>
        </w:tc>
        <w:tc>
          <w:tcPr>
            <w:tcW w:w="1182" w:type="dxa"/>
            <w:vAlign w:val="bottom"/>
          </w:tcPr>
          <w:p w14:paraId="54BFF98C" w14:textId="77777777" w:rsidR="0016113E" w:rsidRPr="001F7E60" w:rsidRDefault="0016113E" w:rsidP="008B4A36">
            <w:pPr>
              <w:jc w:val="center"/>
            </w:pPr>
            <w:r w:rsidRPr="001F7E60">
              <w:rPr>
                <w:rFonts w:cs="Arial"/>
              </w:rPr>
              <w:t>0.572833</w:t>
            </w:r>
          </w:p>
        </w:tc>
      </w:tr>
    </w:tbl>
    <w:p w14:paraId="045BEDF0" w14:textId="77777777" w:rsidR="00213836" w:rsidRDefault="00213836" w:rsidP="00213836">
      <w:pPr>
        <w:spacing w:after="0" w:line="259" w:lineRule="auto"/>
        <w:ind w:left="0" w:firstLine="0"/>
        <w:rPr>
          <w:sz w:val="40"/>
          <w:szCs w:val="40"/>
        </w:rPr>
      </w:pPr>
    </w:p>
    <w:p w14:paraId="7379D175" w14:textId="77777777" w:rsidR="0016113E" w:rsidRPr="0016113E" w:rsidRDefault="0016113E" w:rsidP="00213836">
      <w:pPr>
        <w:spacing w:after="0" w:line="259" w:lineRule="auto"/>
        <w:ind w:left="0" w:firstLine="0"/>
        <w:rPr>
          <w:sz w:val="40"/>
          <w:szCs w:val="40"/>
        </w:rPr>
      </w:pPr>
    </w:p>
    <w:p w14:paraId="3E4E112A" w14:textId="57FEC559" w:rsidR="0016113E" w:rsidRPr="0016113E" w:rsidRDefault="003403B0" w:rsidP="001611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16113E" w:rsidRPr="0016113E">
        <w:rPr>
          <w:b/>
          <w:bCs/>
          <w:sz w:val="32"/>
          <w:szCs w:val="32"/>
        </w:rPr>
        <w:t>Final Selected Model</w:t>
      </w:r>
    </w:p>
    <w:p w14:paraId="53F5516C" w14:textId="48CFEAC9" w:rsidR="0016113E" w:rsidRDefault="0016113E" w:rsidP="0016113E">
      <w:pPr>
        <w:pStyle w:val="ListParagraph"/>
        <w:numPr>
          <w:ilvl w:val="0"/>
          <w:numId w:val="2"/>
        </w:numPr>
      </w:pPr>
      <w:r w:rsidRPr="0016113E">
        <w:t>The Logistic Regression (Tuned with Class Balance) model was selected due to its optimal balance of high Recall (essential for patient safety)</w:t>
      </w:r>
      <w:r>
        <w:t xml:space="preserve"> </w:t>
      </w:r>
      <w:r w:rsidRPr="0016113E">
        <w:t>and High Interpretability meeting both performance and ethical criteria.</w:t>
      </w:r>
    </w:p>
    <w:p w14:paraId="03C0D0C4" w14:textId="77777777" w:rsidR="0016113E" w:rsidRPr="0016113E" w:rsidRDefault="0016113E" w:rsidP="0016113E">
      <w:pPr>
        <w:pStyle w:val="ListParagraph"/>
        <w:ind w:firstLine="0"/>
      </w:pPr>
    </w:p>
    <w:tbl>
      <w:tblPr>
        <w:tblW w:w="10252" w:type="dxa"/>
        <w:tblCellSpacing w:w="15" w:type="dxa"/>
        <w:tblInd w:w="-4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6"/>
        <w:gridCol w:w="1650"/>
        <w:gridCol w:w="1230"/>
        <w:gridCol w:w="1260"/>
        <w:gridCol w:w="1260"/>
        <w:gridCol w:w="1886"/>
      </w:tblGrid>
      <w:tr w:rsidR="0016113E" w:rsidRPr="0016113E" w14:paraId="496926C2" w14:textId="77777777" w:rsidTr="0016113E">
        <w:trPr>
          <w:trHeight w:val="327"/>
          <w:tblHeader/>
          <w:tblCellSpacing w:w="15" w:type="dxa"/>
        </w:trPr>
        <w:tc>
          <w:tcPr>
            <w:tcW w:w="2921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F4C9D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62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AE127" w14:textId="1E0D986B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Test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6113E">
              <w:rPr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20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C5EE5" w14:textId="29CFCDB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 xml:space="preserve">Recall </w:t>
            </w:r>
          </w:p>
        </w:tc>
        <w:tc>
          <w:tcPr>
            <w:tcW w:w="123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16D33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123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374107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ROC-AUC</w:t>
            </w:r>
          </w:p>
        </w:tc>
        <w:tc>
          <w:tcPr>
            <w:tcW w:w="1841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67AFE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Interpretability</w:t>
            </w:r>
          </w:p>
        </w:tc>
      </w:tr>
      <w:tr w:rsidR="0016113E" w:rsidRPr="0016113E" w14:paraId="7C2B8BB2" w14:textId="77777777" w:rsidTr="0016113E">
        <w:trPr>
          <w:trHeight w:val="957"/>
          <w:tblCellSpacing w:w="15" w:type="dxa"/>
        </w:trPr>
        <w:tc>
          <w:tcPr>
            <w:tcW w:w="2921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0BB10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Logistic Regression (Tuned with Class Balance)</w:t>
            </w:r>
          </w:p>
        </w:tc>
        <w:tc>
          <w:tcPr>
            <w:tcW w:w="162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545CE" w14:textId="7B0E7A40" w:rsidR="0016113E" w:rsidRPr="0016113E" w:rsidRDefault="00E54D30" w:rsidP="0016113E">
            <w:pPr>
              <w:jc w:val="center"/>
              <w:rPr>
                <w:sz w:val="22"/>
                <w:szCs w:val="22"/>
              </w:rPr>
            </w:pPr>
            <w:r w:rsidRPr="00E54D30">
              <w:rPr>
                <w:b/>
                <w:bCs/>
                <w:sz w:val="22"/>
                <w:szCs w:val="22"/>
              </w:rPr>
              <w:t>0.746575</w:t>
            </w:r>
          </w:p>
        </w:tc>
        <w:tc>
          <w:tcPr>
            <w:tcW w:w="120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3C661" w14:textId="416495D5" w:rsidR="0016113E" w:rsidRPr="0048502C" w:rsidRDefault="0048502C" w:rsidP="0016113E">
            <w:pPr>
              <w:jc w:val="center"/>
              <w:rPr>
                <w:b/>
                <w:bCs/>
                <w:sz w:val="22"/>
                <w:szCs w:val="22"/>
              </w:rPr>
            </w:pPr>
            <w:r w:rsidRPr="0048502C">
              <w:rPr>
                <w:b/>
                <w:bCs/>
                <w:sz w:val="22"/>
                <w:szCs w:val="22"/>
              </w:rPr>
              <w:t>0.80645</w:t>
            </w:r>
            <w:r w:rsidR="00FD3FE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3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7E4936" w14:textId="43DCE80A" w:rsidR="0016113E" w:rsidRPr="0016113E" w:rsidRDefault="00FD3FE0" w:rsidP="0016113E">
            <w:pPr>
              <w:jc w:val="center"/>
              <w:rPr>
                <w:sz w:val="22"/>
                <w:szCs w:val="22"/>
              </w:rPr>
            </w:pPr>
            <w:r w:rsidRPr="00FD3FE0">
              <w:rPr>
                <w:b/>
                <w:bCs/>
                <w:sz w:val="22"/>
                <w:szCs w:val="22"/>
              </w:rPr>
              <w:t>0.278551</w:t>
            </w:r>
          </w:p>
        </w:tc>
        <w:tc>
          <w:tcPr>
            <w:tcW w:w="1230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B6B84" w14:textId="7037F55B" w:rsidR="0016113E" w:rsidRPr="0016113E" w:rsidRDefault="00E54D30" w:rsidP="0016113E">
            <w:pPr>
              <w:jc w:val="center"/>
              <w:rPr>
                <w:sz w:val="22"/>
                <w:szCs w:val="22"/>
              </w:rPr>
            </w:pPr>
            <w:r w:rsidRPr="00E54D30">
              <w:rPr>
                <w:b/>
                <w:bCs/>
                <w:sz w:val="22"/>
                <w:szCs w:val="22"/>
              </w:rPr>
              <w:t>0.774579</w:t>
            </w:r>
          </w:p>
        </w:tc>
        <w:tc>
          <w:tcPr>
            <w:tcW w:w="1841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88B0F" w14:textId="77777777" w:rsidR="0016113E" w:rsidRPr="0016113E" w:rsidRDefault="0016113E" w:rsidP="0016113E">
            <w:pPr>
              <w:jc w:val="center"/>
              <w:rPr>
                <w:sz w:val="22"/>
                <w:szCs w:val="22"/>
              </w:rPr>
            </w:pPr>
            <w:r w:rsidRPr="0016113E">
              <w:rPr>
                <w:b/>
                <w:bCs/>
                <w:sz w:val="22"/>
                <w:szCs w:val="22"/>
              </w:rPr>
              <w:t>High</w:t>
            </w:r>
          </w:p>
        </w:tc>
      </w:tr>
    </w:tbl>
    <w:p w14:paraId="1F91FB27" w14:textId="77777777" w:rsidR="00AC1A72" w:rsidRDefault="00AC1A72"/>
    <w:sectPr w:rsidR="00AC1A72" w:rsidSect="00C7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78EE"/>
    <w:multiLevelType w:val="multilevel"/>
    <w:tmpl w:val="0D4C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6395F"/>
    <w:multiLevelType w:val="hybridMultilevel"/>
    <w:tmpl w:val="64B0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6232">
    <w:abstractNumId w:val="0"/>
  </w:num>
  <w:num w:numId="2" w16cid:durableId="126336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36"/>
    <w:rsid w:val="000842E8"/>
    <w:rsid w:val="0016113E"/>
    <w:rsid w:val="001C3F5F"/>
    <w:rsid w:val="001D0671"/>
    <w:rsid w:val="00213836"/>
    <w:rsid w:val="00225424"/>
    <w:rsid w:val="002367AF"/>
    <w:rsid w:val="003403B0"/>
    <w:rsid w:val="00350897"/>
    <w:rsid w:val="00445F2E"/>
    <w:rsid w:val="0048502C"/>
    <w:rsid w:val="004A1273"/>
    <w:rsid w:val="004C6BE8"/>
    <w:rsid w:val="00526B53"/>
    <w:rsid w:val="00656B0B"/>
    <w:rsid w:val="006C2A00"/>
    <w:rsid w:val="00725D74"/>
    <w:rsid w:val="00786CF1"/>
    <w:rsid w:val="008925A9"/>
    <w:rsid w:val="009B306A"/>
    <w:rsid w:val="00A80ED7"/>
    <w:rsid w:val="00AC1A72"/>
    <w:rsid w:val="00AD2111"/>
    <w:rsid w:val="00BA123D"/>
    <w:rsid w:val="00C13812"/>
    <w:rsid w:val="00C764AB"/>
    <w:rsid w:val="00D92FFD"/>
    <w:rsid w:val="00D9331B"/>
    <w:rsid w:val="00DA748E"/>
    <w:rsid w:val="00E54D30"/>
    <w:rsid w:val="00F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256"/>
  <w15:chartTrackingRefBased/>
  <w15:docId w15:val="{4D5E4228-0B10-41A5-B5D3-DBA9E181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36"/>
    <w:pPr>
      <w:spacing w:after="171" w:line="269" w:lineRule="auto"/>
      <w:ind w:left="370" w:hanging="370"/>
    </w:pPr>
    <w:rPr>
      <w:rFonts w:ascii="Calibri" w:eastAsia="Calibri" w:hAnsi="Calibri" w:cs="Calibri"/>
      <w:color w:val="000000"/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36"/>
    <w:pPr>
      <w:numPr>
        <w:ilvl w:val="1"/>
      </w:numPr>
      <w:ind w:left="370" w:hanging="3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3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213836"/>
    <w:pPr>
      <w:spacing w:after="0" w:line="240" w:lineRule="auto"/>
    </w:pPr>
    <w:rPr>
      <w:rFonts w:eastAsiaTheme="minorEastAsia"/>
      <w:lang w:bidi="si-L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6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Gunarathna M.P.R IT24102819</dc:creator>
  <cp:keywords/>
  <dc:description/>
  <cp:lastModifiedBy>pamindu rashmitha</cp:lastModifiedBy>
  <cp:revision>19</cp:revision>
  <dcterms:created xsi:type="dcterms:W3CDTF">2025-10-18T12:47:00Z</dcterms:created>
  <dcterms:modified xsi:type="dcterms:W3CDTF">2025-10-26T07:06:00Z</dcterms:modified>
</cp:coreProperties>
</file>