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40" w:lineRule="auto"/>
        <w:jc w:val="center"/>
      </w:pPr>
      <w:r>
        <w:rPr>
          <w:rFonts w:ascii="Arial" w:hAnsi="Arial"/>
          <w:b/>
          <w:i w:val="0"/>
          <w:color w:val="1A1A1A"/>
          <w:sz w:val="24"/>
        </w:rPr>
        <w:t>FACULDADE DE INFORMÁTICA E ADMINISTRAÇÃO PAULISTA — FIAP</w:t>
      </w:r>
    </w:p>
    <w:p>
      <w:pPr>
        <w:spacing w:before="0" w:after="2400" w:line="240" w:lineRule="auto"/>
        <w:jc w:val="center"/>
      </w:pPr>
      <w:r>
        <w:rPr>
          <w:rFonts w:ascii="Arial" w:hAnsi="Arial"/>
          <w:b w:val="0"/>
          <w:i w:val="0"/>
          <w:color w:val="1A1A1A"/>
          <w:sz w:val="24"/>
        </w:rPr>
        <w:t>Pós-Graduação (POSTECH) — Data Analytics</w:t>
      </w:r>
    </w:p>
    <w:p>
      <w:pPr>
        <w:spacing w:before="0" w:after="200" w:line="240" w:lineRule="auto"/>
        <w:jc w:val="center"/>
      </w:pPr>
      <w:r>
        <w:rPr>
          <w:rFonts w:ascii="Arial" w:hAnsi="Arial"/>
          <w:b/>
          <w:i w:val="0"/>
          <w:color w:val="ED145B"/>
          <w:sz w:val="32"/>
        </w:rPr>
        <w:t>GEOGRAFIA E CATEGORIAS:</w:t>
      </w:r>
      <w:r>
        <w:br/>
      </w:r>
      <w:r>
        <w:rPr>
          <w:rFonts w:ascii="Arial" w:hAnsi="Arial"/>
          <w:b/>
          <w:i w:val="0"/>
          <w:color w:val="ED145B"/>
          <w:sz w:val="32"/>
        </w:rPr>
        <w:t>DESTRAVAR O BRASIL ALÉM DO SUDESTE</w:t>
      </w:r>
    </w:p>
    <w:p>
      <w:pPr>
        <w:spacing w:before="0" w:after="3400" w:line="240" w:lineRule="auto"/>
        <w:jc w:val="center"/>
      </w:pPr>
      <w:r>
        <w:rPr>
          <w:rFonts w:ascii="Arial" w:hAnsi="Arial"/>
          <w:b w:val="0"/>
          <w:i/>
          <w:color w:val="1A1A1A"/>
          <w:sz w:val="24"/>
        </w:rPr>
        <w:t>Diagnóstico geográfico-logístico do marketplace Olist e proposta de descentralização da oferta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A1A1A"/>
          <w:sz w:val="24"/>
        </w:rPr>
        <w:t>Tech Challenge — Fase 1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color w:val="1A1A1A"/>
          <w:sz w:val="24"/>
        </w:rPr>
        <w:t>São Paulo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2026</w:t>
      </w:r>
    </w:p>
    <w:p>
      <w:r>
        <w:br w:type="page"/>
      </w:r>
    </w:p>
    <w:p>
      <w:pPr>
        <w:spacing w:before="120" w:after="1800" w:line="240" w:lineRule="auto"/>
        <w:jc w:val="center"/>
      </w:pPr>
      <w:r>
        <w:rPr>
          <w:rFonts w:ascii="Arial" w:hAnsi="Arial"/>
          <w:b/>
          <w:i w:val="0"/>
          <w:color w:val="1A1A1A"/>
          <w:sz w:val="24"/>
        </w:rPr>
        <w:t>Lucas Aguiar de Moura — RM375551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Pamela Regina Tumiero da Costa — RM374909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Guilherme Augusto Justino da Silva — RM374370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Mariana Nogueira Salgado Zeron — RM374774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Vitor Martino — RM374436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color w:val="ED145B"/>
          <w:sz w:val="28"/>
        </w:rPr>
        <w:t>GEOGRAFIA E CATEGORIAS:</w:t>
      </w:r>
      <w:r>
        <w:br/>
      </w:r>
      <w:r>
        <w:rPr>
          <w:rFonts w:ascii="Arial" w:hAnsi="Arial"/>
          <w:b/>
          <w:i w:val="0"/>
          <w:color w:val="ED145B"/>
          <w:sz w:val="28"/>
        </w:rPr>
        <w:t>DESTRAVAR O BRASIL ALÉM DO SUDESTE</w:t>
      </w:r>
    </w:p>
    <w:p>
      <w:pPr>
        <w:spacing w:line="240" w:lineRule="auto"/>
        <w:ind w:left="4535"/>
        <w:jc w:val="both"/>
      </w:pPr>
      <w:r>
        <w:rPr>
          <w:rFonts w:ascii="Arial" w:hAnsi="Arial"/>
          <w:b w:val="0"/>
          <w:i w:val="0"/>
          <w:color w:val="1A1A1A"/>
          <w:sz w:val="22"/>
        </w:rPr>
        <w:t>Relatório técnico-analítico apresentado como requisito de avaliação do Tech Challenge Fase 1 do curso de Pós-Graduação em Data Analytics da FIAP, com base no Brazilian E-Commerce Public Dataset by Olist.</w:t>
      </w:r>
    </w:p>
    <w:p>
      <w:pPr>
        <w:spacing w:after="2400"/>
      </w:pP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color w:val="1A1A1A"/>
          <w:sz w:val="24"/>
        </w:rPr>
        <w:t>São Paulo</w:t>
      </w:r>
      <w:r>
        <w:br/>
      </w:r>
      <w:r>
        <w:rPr>
          <w:rFonts w:ascii="Arial" w:hAnsi="Arial"/>
          <w:b/>
          <w:i w:val="0"/>
          <w:color w:val="1A1A1A"/>
          <w:sz w:val="24"/>
        </w:rPr>
        <w:t>2026</w:t>
      </w:r>
    </w:p>
    <w:p>
      <w:r>
        <w:br w:type="page"/>
      </w:r>
    </w:p>
    <w:p>
      <w:pPr>
        <w:keepNext/>
        <w:spacing w:before="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RESUMO</w:t>
      </w:r>
    </w:p>
    <w:p>
      <w:pPr>
        <w:spacing w:after="120"/>
      </w:pPr>
      <w:r>
        <w:t>Este relatório investiga o problema geográfico do marketplace Olist: por que as regiões fora do Sudeste compram menos e recebem com mais atraso, e o que fazer a respeito. Sobre 96.478 pedidos efetivamente entregues (set/2016–ago/2018), demonstra-se que a concentração da oferta no Sudeste (64,6% da receita) é a causa raiz comum de dois sintomas: (i) o frete elevado — mediana de 31,5% do preço no Nordeste — filtra a compra de menor valor, e (ii) a perna de transporte de longa distância estoura o prazo prometido. Mostra-se, por decomposição do lead time e por teste de hipótese (Welch t-test, p≈0), que o gargalo é o transporte — não o vendedor — e que, no mesmo estado, o Nordeste entrega tão rápido quanto o Sudeste (7 dias). Conclui-se com uma proposta de descentralização da oferta (fulfillment distribuído nos estados-âncora e recrutamento de sellers locais), cujo cenário de 30% projeta ~169 atrasos evitados e ~R$ 51 mil de economia de frete.</w:t>
      </w:r>
    </w:p>
    <w:p>
      <w:pPr>
        <w:spacing w:before="160"/>
      </w:pPr>
      <w:r>
        <w:rPr>
          <w:rFonts w:ascii="Arial" w:hAnsi="Arial"/>
          <w:b/>
          <w:i w:val="0"/>
          <w:color w:val="1A1A1A"/>
          <w:sz w:val="24"/>
        </w:rPr>
        <w:t xml:space="preserve">Palavras-chave: </w:t>
      </w:r>
      <w:r>
        <w:rPr>
          <w:rFonts w:ascii="Arial" w:hAnsi="Arial"/>
          <w:b w:val="0"/>
          <w:i w:val="0"/>
          <w:color w:val="1A1A1A"/>
          <w:sz w:val="24"/>
        </w:rPr>
        <w:t>e-commerce; logística; análise geográfica; satisfação do cliente; Olist.</w:t>
      </w:r>
    </w:p>
    <w:p>
      <w:r>
        <w:br w:type="page"/>
      </w:r>
    </w:p>
    <w:p>
      <w:pPr>
        <w:keepNext/>
        <w:spacing w:before="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SUMÁRIO</w:t>
      </w:r>
    </w:p>
    <w:p>
      <w:r>
        <w:fldChar w:fldCharType="begin"/>
        <w:instrText xml:space="preserve">TOC \o "1-3" \h \z \u</w:instrText>
        <w:fldChar w:fldCharType="separate"/>
        <w:t>Atualize o sumário (clique com o botão direito › Atualizar campo).</w:t>
        <w:fldChar w:fldCharType="end"/>
      </w:r>
    </w:p>
    <w:p>
      <w:r>
        <w:br w:type="page"/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1 INTRODUÇÃO</w:t>
      </w:r>
    </w:p>
    <w:p>
      <w:pPr>
        <w:spacing w:after="120"/>
        <w:ind w:firstLine="709"/>
      </w:pPr>
      <w:r>
        <w:t>A Olist é um integrador de marketplaces que conecta milhares de pequenos e médios vendedores (sellers) aos grandes portais de e-commerce do Brasil. Em aproximadamente dois anos, a plataforma movimentou cerca de R$ 13,2 milhões em mercadoria sobre 96.478 pedidos entregues. Apesar do crescimento expressivo, a operação é fortemente concentrada na Região Sudeste, o que levanta a questão central deste trabalho: como destravar o potencial de consumo das demais regiões do país.</w:t>
      </w:r>
    </w:p>
    <w:p>
      <w:pPr>
        <w:spacing w:after="120"/>
        <w:ind w:firstLine="709"/>
      </w:pPr>
      <w:r>
        <w:t>Duas perguntas de negócio orientam a análise: (1) por que Nordeste e Centro-Oeste compram menos que o Sul? e (2) o que pode ser melhorado para cumprir as promessas de prazo de entrega? Demonstra-se que ambas compartilham a mesma causa raiz — a localização da oferta —, o que conduz a uma recomendação única e mensurável.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2 METODOLOGIA</w:t>
      </w:r>
    </w:p>
    <w:p>
      <w:pPr>
        <w:spacing w:after="120"/>
        <w:ind w:firstLine="709"/>
      </w:pPr>
      <w:r>
        <w:t>A base utilizada é o Brazilian E-Commerce Public Dataset by Olist (Kaggle), composto por nove tabelas relacionais (pedidos, itens, pagamentos, avaliações, produtos, clientes, vendedores, geolocalização e tradução de categorias). O processamento foi conduzido em Python 3.12 (pandas, matplotlib, scipy), de forma integralmente reprodutível.</w:t>
      </w:r>
    </w:p>
    <w:p>
      <w:pPr>
        <w:spacing w:after="120"/>
      </w:pPr>
      <w:r>
        <w:t>Definições e decisões de escopo adotadas: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Escopo: utilizam-se exclusivamente os pedidos com status delivered (entregues). Os não entregues são tratados separadamente em adendo e excluídos das métricas, por não possuírem data de entrega, frete realizado nem avaliação confiáveis.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Ticket médio: valor da mercadoria (price), sem o frete — métrica de comportamento de compra.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Receita/faturamento: price + frete (GMV recebido pela plataforma).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Frete (%): mediana da razão frete/preço calculada por pedido (reflete o pedido típico, robusta a outliers).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Macrorregiões definidas pela UF do cliente; análise local×não-local definida pela UF do vendedor.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3 PANORAMA: A CONCENTRAÇÃO NO SUDESTE</w:t>
      </w:r>
    </w:p>
    <w:p>
      <w:pPr>
        <w:spacing w:after="120"/>
        <w:ind w:firstLine="709"/>
      </w:pPr>
      <w:r>
        <w:t>A receita é hiperconcentrada no Sudeste (64,6%), e o ticket médio de mercadoria cresce à medida que a região se afasta do Sudeste — primeiro indício de que algo filtra a compra nas regiões distantes (Figura 1).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1 — Participação na receita e ticket médio (mercadoria) por região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52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00_pano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spacing w:after="120"/>
        <w:ind w:firstLine="709"/>
      </w:pPr>
      <w:r>
        <w:t>Do lado das categorias, a receita distribui-se por uma cauda longa saudável — 18 categorias respondem por 80% do faturamento, sem dependência de um único nicho (Figura 2).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2 — Categorias com maior receita (concentração saudável)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84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01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4 POR QUE NORDESTE E CENTRO-OESTE COMPRAM MENOS (Q1)</w:t>
      </w:r>
    </w:p>
    <w:p>
      <w:pPr>
        <w:spacing w:after="120"/>
        <w:ind w:firstLine="709"/>
      </w:pPr>
      <w:r>
        <w:t>A resposta não é falta de demanda, e sim falta de oferta local. O Nordeste conta com apenas 56 vendedores locais e o Centro-Oeste com 79, contra 668 no Sul e 2.287 no Sudeste. Como quase tudo é despachado de longe, o frete torna-se um pedágio: no pedido típico equivale a ~31% do preço no Nordeste e ~25% no Centro-Oeste, contra ~20% no Sudeste (Figura 3).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3 — Oferta local escassa (esq.) e o frete filtrando a compra (dir.)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9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q1_oferta_fr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spacing w:after="120"/>
        <w:ind w:firstLine="709"/>
      </w:pPr>
      <w:r>
        <w:t>O efeito é um filtro de compra: NE e CO exibem o maior ticket de mercadoria do país (R$ 165 e R$ 150) não por maior poder aquisitivo, mas porque só vale a pena pagar o frete em pedidos caros — as compras pequenas, que dão volume ao Sul, deixam de acontecer.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5 CATEGORIAS POR REGIÃO</w:t>
      </w:r>
    </w:p>
    <w:p>
      <w:pPr>
        <w:spacing w:after="120"/>
        <w:ind w:firstLine="709"/>
      </w:pPr>
      <w:r>
        <w:t>As regiões têm preferências distintas, e a leitura confirma a tese do frete. O Nordeste sub-indexa fortemente em categorias volumosas — cama, mesa e banho (−45%) e utilidades domésticas (−39%) — nas quais o frete é proibitivo, e sobre-indexa em itens pequenos e de alto valor — saúde e beleza (+41%), relógios e presentes (+22%) e acessórios automotivos (+28%) —, que “compensam” o frete (Figura 4).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4 — Sobre/sub-indexação de categorias por região vs. média nacional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36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02_categoria_over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3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6 O QUE MELHORAR NA ENTREGA (Q2)</w:t>
      </w:r>
    </w:p>
    <w:p>
      <w:pPr>
        <w:spacing w:after="120"/>
        <w:ind w:firstLine="709"/>
      </w:pPr>
      <w:r>
        <w:t>Decompondo o prazo em duas etapas — postagem (responsabilidade do vendedor) e transporte (responsabilidade da transportadora) — o gargalo fica evidente: a postagem é praticamente constante (~2 dias) em todo o país, enquanto o transporte salta de 6 dias no Sudeste para 14 dias no Nordeste (Figura 5).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5 — Decomposição do prazo: o gargalo é o transporte, não o vendedor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42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q2_gargalo_entre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spacing w:after="120"/>
        <w:ind w:firstLine="709"/>
      </w:pPr>
      <w:r>
        <w:t>A origem da oferta confirma o mecanismo: pedidos de vendedor local entregam ~5 dias mais rápido no agregado. No Nordeste, o pedido local leva 11 dias (91% no prazo) contra 17 dias do não-local (87%); no Centro-Oeste, 7 dias (98%) contra 13 (93%) — Figura 6.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6 — Prazo e cumprimento de promessa: vendedor local vs. não-local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525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q2_local_vs_naolo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spacing w:after="120"/>
        <w:ind w:firstLine="709"/>
      </w:pPr>
      <w:r>
        <w:t>Por que o Nordeste demora mesmo quando “local”? Porque “local” é a mesma região, e o Nordeste é geograficamente enorme. A maioria dos pedidos locais do NE cruza estados (ex.: BA→MA, ~13,5 dias). Quando vendedor e cliente estão no mesmo estado, o NE entrega em 7 dias — praticamente igual ao Sudeste (6,5 dias). Ou seja: o problema é a distância, não o vendedor (Figura 7).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7 — Nordeste por distância: same-state entrega como o Sudeste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59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q2_distancia_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7 SATISFAÇÃO E A PROVA ESTATÍSTICA</w:t>
      </w:r>
    </w:p>
    <w:p>
      <w:pPr>
        <w:spacing w:after="120"/>
        <w:ind w:firstLine="709"/>
      </w:pPr>
      <w:r>
        <w:t>A satisfação segue diretamente o cumprimento da promessa de entrega. A baseline regional posiciona o Nordeste como a maior alavanca: menor nota média (3,97) e maior proporção de detratores (16,7%) — Figura 8.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8 — Satisfação × cumprimento da promessa, por faixa de atraso e por UF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3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satisfacao_promes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spacing w:after="120"/>
        <w:ind w:firstLine="709"/>
      </w:pPr>
      <w:r>
        <w:t>Para confirmar a causalidade, aplicou-se o teste de Welch (robusto a variâncias e tamanhos amostrais desiguais) comparando a nota de pedidos no prazo versus atrasados. Em todos os recortes, a queda é de aproximadamente 2 estrelas, com p-valor praticamente nulo — diferença estatisticamente significante (Tabela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Recorte</w:t>
            </w:r>
          </w:p>
        </w:tc>
        <w:tc>
          <w:tcPr>
            <w:tcW w:type="dxa" w:w="1701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Nota no prazo</w:t>
            </w:r>
          </w:p>
        </w:tc>
        <w:tc>
          <w:tcPr>
            <w:tcW w:type="dxa" w:w="1701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Nota atrasado</w:t>
            </w:r>
          </w:p>
        </w:tc>
        <w:tc>
          <w:tcPr>
            <w:tcW w:type="dxa" w:w="1417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Queda</w:t>
            </w:r>
          </w:p>
        </w:tc>
        <w:tc>
          <w:tcPr>
            <w:tcW w:type="dxa" w:w="2268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p-valor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Nacional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4,29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2,27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−2,02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≈ 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Nordeste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4,23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2,18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−2,04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1,7 × 10⁻²⁵¹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Centro-Oeste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4,26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2,18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−2,08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9,2 × 10⁻⁸⁶</w:t>
            </w:r>
          </w:p>
        </w:tc>
      </w:tr>
    </w:tbl>
    <w:p>
      <w:pPr>
        <w:spacing w:after="80"/>
      </w:pP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Tabela 1 — Teste de Welch: nota no prazo vs. atrasado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8 ADENDO: OS PEDIDOS NÃO ENTREGUES</w:t>
      </w:r>
    </w:p>
    <w:p>
      <w:pPr>
        <w:spacing w:after="120"/>
        <w:ind w:firstLine="709"/>
      </w:pPr>
      <w:r>
        <w:t>Dos 99.441 pedidos da base, 2.963 (3,0%) não foram entregues e ficaram fora da análise. Não se trata de truncamento de dados — são falhas reais (idade mediana de 9 a 13 meses, prazo prometido vencido e notas de 1,3 a 2,0). Distribuem-se em quatro modos de falha (Figura 9).</w:t>
      </w:r>
    </w:p>
    <w:p>
      <w:pPr>
        <w:spacing w:before="16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Figura 9 — Pedidos entregues (usados) vs. não entregues (excluídos), por status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85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adendo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(2026), a partir do dataset Olist (Kaggle).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Perdido no transporte (shipped, 37%): pago e postado, nunca chegou — o mesmo elo frágil do transporte; pior no Nordeste (taxa de não entrega de 3,73% vs. 2,36% no Sul).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Sem estoque (unavailable, 21%): pago, produto inexistente — pior nota (1,5); falha de catálogo do seller.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Travado no funil (invoiced/processing, 21%): pago e nunca despachado — falha de fulfillment.</w:t>
      </w:r>
    </w:p>
    <w:p>
      <w:pPr>
        <w:pStyle w:val="ListBullet"/>
        <w:spacing w:after="60" w:line="360" w:lineRule="auto"/>
        <w:ind w:left="709"/>
      </w:pPr>
      <w:r>
        <w:rPr>
          <w:rFonts w:ascii="Arial" w:hAnsi="Arial"/>
          <w:b w:val="0"/>
          <w:i w:val="0"/>
          <w:color w:val="1A1A1A"/>
          <w:sz w:val="22"/>
        </w:rPr>
        <w:t>Cancelado (21%): majoritariamente antes da postagem; 12% já postados.</w:t>
      </w:r>
    </w:p>
    <w:p>
      <w:pPr>
        <w:spacing w:after="120"/>
        <w:ind w:firstLine="709"/>
      </w:pPr>
      <w:r>
        <w:t>O impacto é de ~R$ 370,1 mil em mercadoria e R$ 53,6 mil em frete em receita em risco, apontando um segundo problema, de natureza operacional (integridade de estoque e SLA de fulfillment), ao lado do geográfico.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9 SIMULAÇÃO DO CENÁRIO DE DESCENTRALIZAÇÃO (30%)</w:t>
      </w:r>
    </w:p>
    <w:p>
      <w:pPr>
        <w:spacing w:after="120"/>
        <w:ind w:firstLine="709"/>
      </w:pPr>
      <w:r>
        <w:t>Para dimensionar o retorno, modelou-se a migração de 30% dos pedidos hoje despachados de fora da região para sourcing local, aplicando aos pedidos migrados o desempenho já observado nos pedidos locais. Trata-se de um cenário-base, não de previsão de precisão (Tabela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Região</w:t>
            </w:r>
          </w:p>
        </w:tc>
        <w:tc>
          <w:tcPr>
            <w:tcW w:type="dxa" w:w="2551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Pedidos migrados (30%)</w:t>
            </w:r>
          </w:p>
        </w:tc>
        <w:tc>
          <w:tcPr>
            <w:tcW w:type="dxa" w:w="1984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Atrasos evitados</w:t>
            </w:r>
          </w:p>
        </w:tc>
        <w:tc>
          <w:tcPr>
            <w:tcW w:type="dxa" w:w="2268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Economia de frete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Nordeste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2.584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92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R$ 35.812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Centro-Oeste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1.625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77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R$ 15.429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4.209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169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R$ 51.241</w:t>
            </w:r>
          </w:p>
        </w:tc>
      </w:tr>
    </w:tbl>
    <w:p>
      <w:pPr>
        <w:spacing w:after="80"/>
      </w:pP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Tabela 2 — Simulação de descentralização de 30% (NE + CO)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(2026).</w:t>
      </w:r>
    </w:p>
    <w:p>
      <w:pPr>
        <w:spacing w:after="120"/>
        <w:ind w:firstLine="709"/>
      </w:pPr>
      <w:r>
        <w:t>A economia de frete financia a própria atração de sellers locais; e os pedidos migrados ganham cerca de +0,3 estrela de nota média, elevando a satisfação e, por consequência, a probabilidade de recompra.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10 RECOMENDAÇÕES</w:t>
      </w:r>
    </w:p>
    <w:p>
      <w:pPr>
        <w:spacing w:after="120"/>
        <w:ind w:firstLine="709"/>
      </w:pPr>
      <w:r>
        <w:t>Foco em Nordeste e Centro-Oeste (o Norte é reconhecido como restrição geográfica — rios e carência de estradas — fora do alcance de estratégias privadas; o Sul deve ser mantido). A métrica-norte é a satisfação média regional (Tabela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572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1134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Resolve</w:t>
            </w:r>
          </w:p>
        </w:tc>
        <w:tc>
          <w:tcPr>
            <w:tcW w:type="dxa" w:w="2268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134"/>
            <w:shd w:val="clear" w:fill="ED145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Fulfillment distribuído nos estados-âncora (BA, PE, CE) — não um hub único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Q1 + Q2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NE 3,97→4,15; no prazo 87%→93%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90–180d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Recrutar sellers locais NE/CO nas categorias que sobre-indexam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Q1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NE 56→150+ sellers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6–12m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Transportadora regional dedicada (corredor e intra-NE)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Q2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CO 93,6%→95%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90d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Bundles regionais nas categorias de sobre-indexação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Q1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↑ itens/pedido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30–60d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Recalibrar a data prometida por rota (tático)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Q2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↓ quebra de promessa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30d</w:t>
            </w:r>
          </w:p>
        </w:tc>
      </w:tr>
    </w:tbl>
    <w:p>
      <w:pPr>
        <w:spacing w:after="80"/>
      </w:pP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A1A1A"/>
          <w:sz w:val="20"/>
        </w:rPr>
        <w:t>Tabela 3 — Recomendações com metas de satisfação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 w:val="0"/>
          <w:color w:val="1A1A1A"/>
          <w:sz w:val="20"/>
        </w:rPr>
        <w:t>Fonte: Elaborado pelos autores (2026).</w:t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11 CONSIDERAÇÕES FINAIS</w:t>
      </w:r>
    </w:p>
    <w:p>
      <w:pPr>
        <w:spacing w:after="120"/>
        <w:ind w:firstLine="709"/>
      </w:pPr>
      <w:r>
        <w:t>O mapa de receita da Olist não é um destino, e sim a consequência de onde a oferta está localizada. Nordeste e Centro-Oeste compram pouco e recebem com atraso pela mesma razão — a ausência de vendedores próximos. A prova está nos próprios dados: onde o vendedor é do mesmo estado, o Nordeste entrega em sete dias, igual ao Sudeste. Aproximar a oferta — de forma distribuída pelos estados de maior demanda, e não em um hub único — converte a demanda premium já existente e cumpre a promessa de entrega, medido pelo indicador que mais importa para a marca: a satisfação dessas regiões.</w:t>
      </w:r>
    </w:p>
    <w:p>
      <w:r>
        <w:br w:type="page"/>
      </w:r>
    </w:p>
    <w:p>
      <w:pPr>
        <w:keepNext/>
        <w:spacing w:before="280" w:after="160" w:line="240" w:lineRule="auto"/>
        <w:jc w:val="left"/>
      </w:pPr>
      <w:r>
        <w:rPr>
          <w:rFonts w:ascii="Arial" w:hAnsi="Arial"/>
          <w:b/>
          <w:i w:val="0"/>
          <w:color w:val="ED145B"/>
          <w:sz w:val="26"/>
        </w:rPr>
        <w:t>REFERÊNCIAS</w:t>
      </w:r>
    </w:p>
    <w:p>
      <w:pPr>
        <w:spacing w:line="240" w:lineRule="auto" w:after="160"/>
        <w:jc w:val="both"/>
      </w:pPr>
      <w:r>
        <w:rPr>
          <w:rFonts w:ascii="Arial" w:hAnsi="Arial"/>
          <w:b w:val="0"/>
          <w:i w:val="0"/>
          <w:color w:val="1A1A1A"/>
          <w:sz w:val="22"/>
        </w:rPr>
        <w:t>KAGGLE. Brazilian E-Commerce Public Dataset by Olist. Disponível em: https://www.kaggle.com/datasets/olistbr/brazilian-ecommerce. Acesso em: jun. 2026.</w:t>
      </w:r>
    </w:p>
    <w:p>
      <w:pPr>
        <w:spacing w:line="240" w:lineRule="auto" w:after="160"/>
        <w:jc w:val="both"/>
      </w:pPr>
      <w:r>
        <w:rPr>
          <w:rFonts w:ascii="Arial" w:hAnsi="Arial"/>
          <w:b w:val="0"/>
          <w:i w:val="0"/>
          <w:color w:val="1A1A1A"/>
          <w:sz w:val="22"/>
        </w:rPr>
        <w:t>CHOPRA, S.; MEINDL, P. Gestão da cadeia de suprimentos: estratégia, planejamento e operação. 6. ed. São Paulo: Pearson, 2016.</w:t>
      </w:r>
    </w:p>
    <w:p>
      <w:pPr>
        <w:spacing w:line="240" w:lineRule="auto" w:after="160"/>
        <w:jc w:val="both"/>
      </w:pPr>
      <w:r>
        <w:rPr>
          <w:rFonts w:ascii="Arial" w:hAnsi="Arial"/>
          <w:b w:val="0"/>
          <w:i w:val="0"/>
          <w:color w:val="1A1A1A"/>
          <w:sz w:val="22"/>
        </w:rPr>
        <w:t>PROVOST, F.; FAWCETT, T. Data science para negócios. Rio de Janeiro: Alta Books, 2016.</w:t>
      </w:r>
    </w:p>
    <w:sectPr w:rsidR="00FC693F" w:rsidRPr="0006063C" w:rsidSect="00034616">
      <w:headerReference w:type="default" r:id="rId18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1A1A1A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Arial" w:hAnsi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