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D108" w14:textId="5BB5CF28" w:rsidR="006947FF" w:rsidRPr="005B5536" w:rsidRDefault="005B5536" w:rsidP="005B5536">
      <w:pPr>
        <w:pStyle w:val="Ttulo"/>
        <w:jc w:val="center"/>
        <w:rPr>
          <w:rFonts w:ascii="Times New Roman" w:hAnsi="Times New Roman" w:cs="Times New Roman"/>
          <w:lang w:val="es-ES"/>
        </w:rPr>
      </w:pPr>
      <w:r w:rsidRPr="005B5536">
        <w:rPr>
          <w:rFonts w:ascii="Times New Roman" w:hAnsi="Times New Roman" w:cs="Times New Roman"/>
          <w:lang w:val="es-ES"/>
        </w:rPr>
        <w:t>MANUAL</w:t>
      </w:r>
      <w:r w:rsidR="006947FF" w:rsidRPr="005B5536">
        <w:rPr>
          <w:rFonts w:ascii="Times New Roman" w:hAnsi="Times New Roman" w:cs="Times New Roman"/>
          <w:lang w:val="es-ES"/>
        </w:rPr>
        <w:t xml:space="preserve"> INTEGRA ESAVI</w:t>
      </w:r>
    </w:p>
    <w:p w14:paraId="2BF80CEE" w14:textId="77777777" w:rsidR="006947FF" w:rsidRPr="005B5536" w:rsidRDefault="006947FF" w:rsidP="005B5536">
      <w:pPr>
        <w:spacing w:before="400" w:after="200"/>
        <w:jc w:val="center"/>
        <w:rPr>
          <w:lang w:val="es-ES"/>
        </w:rPr>
      </w:pPr>
      <w:proofErr w:type="spellStart"/>
      <w:r w:rsidRPr="005B5536">
        <w:rPr>
          <w:b/>
          <w:bCs/>
          <w:sz w:val="36"/>
          <w:szCs w:val="36"/>
          <w:lang w:val="es-ES"/>
        </w:rPr>
        <w:t>Dashboard</w:t>
      </w:r>
      <w:proofErr w:type="spellEnd"/>
      <w:r w:rsidRPr="005B5536">
        <w:rPr>
          <w:b/>
          <w:bCs/>
          <w:sz w:val="36"/>
          <w:szCs w:val="36"/>
          <w:lang w:val="es-ES"/>
        </w:rPr>
        <w:t xml:space="preserve"> INTEGRA-ESAVI</w:t>
      </w:r>
    </w:p>
    <w:p w14:paraId="6614C506" w14:textId="77777777" w:rsidR="006947FF" w:rsidRPr="005B5536" w:rsidRDefault="006947FF" w:rsidP="005B5536">
      <w:pPr>
        <w:spacing w:before="200" w:after="1200"/>
        <w:jc w:val="center"/>
        <w:rPr>
          <w:lang w:val="es-ES"/>
        </w:rPr>
      </w:pPr>
      <w:r w:rsidRPr="005B5536">
        <w:rPr>
          <w:sz w:val="28"/>
          <w:szCs w:val="28"/>
          <w:lang w:val="es-ES"/>
        </w:rPr>
        <w:t xml:space="preserve">Plataforma R </w:t>
      </w:r>
      <w:proofErr w:type="spellStart"/>
      <w:r w:rsidRPr="005B5536">
        <w:rPr>
          <w:sz w:val="28"/>
          <w:szCs w:val="28"/>
          <w:lang w:val="es-ES"/>
        </w:rPr>
        <w:t>Shiny</w:t>
      </w:r>
      <w:proofErr w:type="spellEnd"/>
      <w:r w:rsidRPr="005B5536">
        <w:rPr>
          <w:sz w:val="28"/>
          <w:szCs w:val="28"/>
          <w:lang w:val="es-ES"/>
        </w:rPr>
        <w:t xml:space="preserve"> en </w:t>
      </w:r>
      <w:proofErr w:type="spellStart"/>
      <w:r w:rsidRPr="005B5536">
        <w:rPr>
          <w:sz w:val="28"/>
          <w:szCs w:val="28"/>
          <w:lang w:val="es-ES"/>
        </w:rPr>
        <w:t>AlmaLinux</w:t>
      </w:r>
      <w:proofErr w:type="spellEnd"/>
    </w:p>
    <w:p w14:paraId="45D76AB8" w14:textId="77777777" w:rsidR="006947FF" w:rsidRPr="005B5536" w:rsidRDefault="006947FF" w:rsidP="005B5536">
      <w:pPr>
        <w:spacing w:before="2400"/>
        <w:jc w:val="center"/>
        <w:rPr>
          <w:lang w:val="es-ES"/>
        </w:rPr>
      </w:pPr>
      <w:r w:rsidRPr="005B5536">
        <w:rPr>
          <w:lang w:val="es-ES"/>
        </w:rPr>
        <w:t>Versión 1.0</w:t>
      </w:r>
    </w:p>
    <w:p w14:paraId="7425F220" w14:textId="77777777" w:rsidR="006947FF" w:rsidRPr="005B5536" w:rsidRDefault="006947FF" w:rsidP="005B5536">
      <w:pPr>
        <w:spacing w:before="200"/>
        <w:jc w:val="center"/>
        <w:rPr>
          <w:lang w:val="es-ES"/>
        </w:rPr>
      </w:pPr>
      <w:r w:rsidRPr="005B5536">
        <w:rPr>
          <w:lang w:val="es-ES"/>
        </w:rPr>
        <w:t>2025</w:t>
      </w:r>
    </w:p>
    <w:p w14:paraId="4A1B97BF" w14:textId="77777777" w:rsidR="006947FF" w:rsidRPr="005B5536" w:rsidRDefault="006947FF" w:rsidP="005B5536">
      <w:pPr>
        <w:ind w:left="3540" w:firstLine="708"/>
        <w:rPr>
          <w:lang w:val="es-ES"/>
        </w:rPr>
      </w:pPr>
    </w:p>
    <w:p w14:paraId="26BFD324" w14:textId="58BF9DF5" w:rsidR="009241EA" w:rsidRPr="005B5536" w:rsidRDefault="00000000" w:rsidP="005B5536">
      <w:pPr>
        <w:ind w:left="3540" w:firstLine="708"/>
        <w:rPr>
          <w:lang w:val="es-ES"/>
        </w:rPr>
      </w:pPr>
      <w:r w:rsidRPr="005B5536">
        <w:rPr>
          <w:b/>
          <w:bCs/>
          <w:sz w:val="26"/>
          <w:szCs w:val="26"/>
        </w:rPr>
        <w:t>Módulos:</w:t>
      </w:r>
    </w:p>
    <w:p w14:paraId="2813D4C3" w14:textId="77777777" w:rsidR="009241EA" w:rsidRPr="005B5536" w:rsidRDefault="00000000" w:rsidP="005B5536">
      <w:pPr>
        <w:spacing w:before="100"/>
        <w:jc w:val="center"/>
      </w:pPr>
      <w:r w:rsidRPr="005B5536">
        <w:t>Análisis de Calidad de Datos</w:t>
      </w:r>
    </w:p>
    <w:p w14:paraId="1BD5F7A9" w14:textId="77777777" w:rsidR="009241EA" w:rsidRPr="005B5536" w:rsidRDefault="00000000" w:rsidP="005B5536">
      <w:pPr>
        <w:jc w:val="center"/>
      </w:pPr>
      <w:r w:rsidRPr="005B5536">
        <w:t>Análisis de Datos</w:t>
      </w:r>
    </w:p>
    <w:p w14:paraId="7A8AD86C" w14:textId="77777777" w:rsidR="009241EA" w:rsidRPr="005B5536" w:rsidRDefault="009241EA" w:rsidP="005B5536">
      <w:pPr>
        <w:spacing w:before="2000"/>
      </w:pPr>
    </w:p>
    <w:p w14:paraId="3B9D92C2" w14:textId="77777777" w:rsidR="009241EA" w:rsidRPr="005B5536" w:rsidRDefault="00000000" w:rsidP="005B5536">
      <w:pPr>
        <w:jc w:val="center"/>
      </w:pPr>
      <w:r w:rsidRPr="005B5536">
        <w:rPr>
          <w:sz w:val="22"/>
          <w:szCs w:val="22"/>
        </w:rPr>
        <w:t>Versión 1.0</w:t>
      </w:r>
    </w:p>
    <w:p w14:paraId="41E369DC" w14:textId="69C7CB90" w:rsidR="009241EA" w:rsidRPr="005B5536" w:rsidRDefault="00000000" w:rsidP="005B5536">
      <w:pPr>
        <w:spacing w:before="100"/>
        <w:jc w:val="center"/>
        <w:sectPr w:rsidR="009241EA" w:rsidRPr="005B553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5B5536">
        <w:rPr>
          <w:sz w:val="22"/>
          <w:szCs w:val="22"/>
        </w:rPr>
        <w:t>Enero 202</w:t>
      </w:r>
      <w:r w:rsidR="005B5536" w:rsidRPr="005B5536">
        <w:rPr>
          <w:sz w:val="22"/>
          <w:szCs w:val="22"/>
        </w:rPr>
        <w:t>5</w:t>
      </w:r>
    </w:p>
    <w:p w14:paraId="4C60F2B7" w14:textId="77777777" w:rsidR="009241EA" w:rsidRPr="005B5536" w:rsidRDefault="00000000" w:rsidP="005B5536">
      <w:pPr>
        <w:pStyle w:val="Ttulo1"/>
        <w:rPr>
          <w:color w:val="auto"/>
        </w:rPr>
      </w:pPr>
      <w:bookmarkStart w:id="0" w:name="_Toc220055082"/>
      <w:r w:rsidRPr="005B5536">
        <w:rPr>
          <w:color w:val="auto"/>
        </w:rPr>
        <w:lastRenderedPageBreak/>
        <w:t>ÍNDICE</w:t>
      </w:r>
      <w:bookmarkEnd w:id="0"/>
    </w:p>
    <w:sdt>
      <w:sdtPr>
        <w:alias w:val="Tabla de Contenido"/>
        <w:id w:val="-1739786556"/>
      </w:sdtPr>
      <w:sdtContent>
        <w:p w14:paraId="3E4C2F7F" w14:textId="77777777" w:rsidR="006947FF" w:rsidRPr="005B5536" w:rsidRDefault="00000000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r w:rsidRPr="005B5536">
            <w:fldChar w:fldCharType="begin"/>
          </w:r>
          <w:r w:rsidRPr="005B5536">
            <w:instrText>TOC \h \o "1-3"</w:instrText>
          </w:r>
          <w:r w:rsidRPr="005B5536">
            <w:fldChar w:fldCharType="separate"/>
          </w:r>
          <w:hyperlink w:anchor="_Toc220055082" w:history="1">
            <w:r w:rsidR="006947FF" w:rsidRPr="005B5536">
              <w:rPr>
                <w:rStyle w:val="Hipervnculo"/>
                <w:noProof/>
                <w:color w:val="auto"/>
              </w:rPr>
              <w:t>ÍNDICE</w:t>
            </w:r>
            <w:r w:rsidR="006947FF" w:rsidRPr="005B5536">
              <w:rPr>
                <w:noProof/>
              </w:rPr>
              <w:tab/>
            </w:r>
            <w:r w:rsidR="006947FF" w:rsidRPr="005B5536">
              <w:rPr>
                <w:noProof/>
              </w:rPr>
              <w:fldChar w:fldCharType="begin"/>
            </w:r>
            <w:r w:rsidR="006947FF" w:rsidRPr="005B5536">
              <w:rPr>
                <w:noProof/>
              </w:rPr>
              <w:instrText xml:space="preserve"> PAGEREF _Toc220055082 \h </w:instrText>
            </w:r>
            <w:r w:rsidR="006947FF" w:rsidRPr="005B5536">
              <w:rPr>
                <w:noProof/>
              </w:rPr>
            </w:r>
            <w:r w:rsidR="006947FF" w:rsidRPr="005B5536">
              <w:rPr>
                <w:noProof/>
              </w:rPr>
              <w:fldChar w:fldCharType="separate"/>
            </w:r>
            <w:r w:rsidR="006947FF" w:rsidRPr="005B5536">
              <w:rPr>
                <w:noProof/>
              </w:rPr>
              <w:t>1</w:t>
            </w:r>
            <w:r w:rsidR="006947FF" w:rsidRPr="005B5536">
              <w:rPr>
                <w:noProof/>
              </w:rPr>
              <w:fldChar w:fldCharType="end"/>
            </w:r>
          </w:hyperlink>
        </w:p>
        <w:p w14:paraId="0BC6ECE3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083" w:history="1">
            <w:r w:rsidRPr="005B5536">
              <w:rPr>
                <w:rStyle w:val="Hipervnculo"/>
                <w:noProof/>
                <w:color w:val="auto"/>
              </w:rPr>
              <w:t>1. Introducción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_Toc220055083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697A7A75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084" w:history="1">
            <w:r w:rsidRPr="005B5536">
              <w:rPr>
                <w:rStyle w:val="Hipervnculo"/>
                <w:noProof/>
                <w:color w:val="auto"/>
              </w:rPr>
              <w:t>2. Propósito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_Toc220055084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1AB8CAF9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085" w:history="1">
            <w:r w:rsidRPr="005B5536">
              <w:rPr>
                <w:rStyle w:val="Hipervnculo"/>
                <w:noProof/>
                <w:color w:val="auto"/>
              </w:rPr>
              <w:t>3. Alcance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_Toc220055085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3E4F7E96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086" w:history="1">
            <w:r w:rsidRPr="005B5536">
              <w:rPr>
                <w:rStyle w:val="Hipervnculo"/>
                <w:noProof/>
                <w:color w:val="auto"/>
              </w:rPr>
              <w:t>3.1 Módulos Incluidos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_Toc220055086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0AB808F4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087" w:history="1">
            <w:r w:rsidRPr="005B5536">
              <w:rPr>
                <w:rStyle w:val="Hipervnculo"/>
                <w:noProof/>
                <w:color w:val="auto"/>
              </w:rPr>
              <w:t>3.2 Fuera del Alcance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_Toc220055087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513C1E8E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088" w:history="1">
            <w:r w:rsidRPr="005B5536">
              <w:rPr>
                <w:rStyle w:val="Hipervnculo"/>
                <w:noProof/>
                <w:color w:val="auto"/>
              </w:rPr>
              <w:t>4. Glosario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_Toc220055088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0A6D03FB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089" w:history="1">
            <w:r w:rsidRPr="005B5536">
              <w:rPr>
                <w:rStyle w:val="Hipervnculo"/>
                <w:noProof/>
                <w:color w:val="auto"/>
              </w:rPr>
              <w:t>5. Funcionalidades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_Toc220055089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133E7839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090" w:history="1">
            <w:r w:rsidRPr="005B5536">
              <w:rPr>
                <w:rStyle w:val="Hipervnculo"/>
                <w:noProof/>
                <w:color w:val="auto"/>
              </w:rPr>
              <w:t>5.1 Análisis de Calidad de Datos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_Toc220055090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5E96D37C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1" w:history="1">
            <w:r w:rsidRPr="005B5536">
              <w:rPr>
                <w:rStyle w:val="Hipervnculo"/>
                <w:noProof/>
                <w:color w:val="auto"/>
              </w:rPr>
              <w:t>5.1.1 Dimensión Semántica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_Toc220055091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5B3C1F67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2" w:history="1">
            <w:r w:rsidRPr="005B5536">
              <w:rPr>
                <w:rStyle w:val="Hipervnculo"/>
                <w:noProof/>
                <w:color w:val="auto"/>
              </w:rPr>
              <w:t>5.1.2 Dimensión Sintáctica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_Toc220055092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2C8D86B7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3" w:history="1">
            <w:r w:rsidRPr="005B5536">
              <w:rPr>
                <w:rStyle w:val="Hipervnculo"/>
                <w:noProof/>
                <w:color w:val="auto"/>
              </w:rPr>
              <w:t>5.1.3 Dimensión Temporal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_Toc220055093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4C75DB38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4" w:history="1">
            <w:r w:rsidRPr="005B5536">
              <w:rPr>
                <w:rStyle w:val="Hipervnculo"/>
                <w:noProof/>
                <w:color w:val="auto"/>
              </w:rPr>
              <w:t>5.1.4 Páginas de Visualización de Calidad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_Toc220055094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6067CAC9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095" w:history="1">
            <w:r w:rsidRPr="005B5536">
              <w:rPr>
                <w:rStyle w:val="Hipervnculo"/>
                <w:noProof/>
                <w:color w:val="auto"/>
              </w:rPr>
              <w:t>5.2 Análisis de Datos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_Toc220055095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08DB59E3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6" w:history="1">
            <w:r w:rsidRPr="005B5536">
              <w:rPr>
                <w:rStyle w:val="Hipervnculo"/>
                <w:noProof/>
                <w:color w:val="auto"/>
              </w:rPr>
              <w:t>5.2.1 Inicio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_Toc220055096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62141D46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7" w:history="1">
            <w:r w:rsidRPr="005B5536">
              <w:rPr>
                <w:rStyle w:val="Hipervnculo"/>
                <w:noProof/>
                <w:color w:val="auto"/>
              </w:rPr>
              <w:t>5.2.2 Introducción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_Toc220055097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38B3EF08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8" w:history="1">
            <w:r w:rsidRPr="005B5536">
              <w:rPr>
                <w:rStyle w:val="Hipervnculo"/>
                <w:noProof/>
                <w:color w:val="auto"/>
              </w:rPr>
              <w:t>5.2.3 Análisis Descriptivo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_Toc220055098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69E5CF42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099" w:history="1">
            <w:r w:rsidRPr="005B5536">
              <w:rPr>
                <w:rStyle w:val="Hipervnculo"/>
                <w:noProof/>
                <w:color w:val="auto"/>
              </w:rPr>
              <w:t>5.2.4 Análisis por Vacunas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_Toc220055099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304D1083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0" w:history="1">
            <w:r w:rsidRPr="005B5536">
              <w:rPr>
                <w:rStyle w:val="Hipervnculo"/>
                <w:noProof/>
                <w:color w:val="auto"/>
              </w:rPr>
              <w:t>5.2.5 Análisis por Eventos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_Toc220055100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177F3CE5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1" w:history="1">
            <w:r w:rsidRPr="005B5536">
              <w:rPr>
                <w:rStyle w:val="Hipervnculo"/>
                <w:noProof/>
                <w:color w:val="auto"/>
              </w:rPr>
              <w:t>5.2.6 Detección de Señales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_Toc220055101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074FE5BA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102" w:history="1">
            <w:r w:rsidRPr="005B5536">
              <w:rPr>
                <w:rStyle w:val="Hipervnculo"/>
                <w:noProof/>
                <w:color w:val="auto"/>
              </w:rPr>
              <w:t>5.3 Funcionalidades Asíncronas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_Toc220055102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1F2CBD74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3" w:history="1">
            <w:r w:rsidRPr="005B5536">
              <w:rPr>
                <w:rStyle w:val="Hipervnculo"/>
                <w:noProof/>
                <w:color w:val="auto"/>
              </w:rPr>
              <w:t>5.3.1 Sincronización de Vacunas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_Toc220055103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126CDD6A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4" w:history="1">
            <w:r w:rsidRPr="005B5536">
              <w:rPr>
                <w:rStyle w:val="Hipervnculo"/>
                <w:noProof/>
                <w:color w:val="auto"/>
              </w:rPr>
              <w:t>5.3.2 Sincronización de Datos con el Tablero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_Toc220055104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7576EFEA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5" w:history="1">
            <w:r w:rsidRPr="005B5536">
              <w:rPr>
                <w:rStyle w:val="Hipervnculo"/>
                <w:noProof/>
                <w:color w:val="auto"/>
              </w:rPr>
              <w:t>5.3.3 Sincronización de Estándares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_Toc220055105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6EDEDDFD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6" w:history="1">
            <w:r w:rsidRPr="005B5536">
              <w:rPr>
                <w:rStyle w:val="Hipervnculo"/>
                <w:noProof/>
                <w:color w:val="auto"/>
              </w:rPr>
              <w:t>5.3.4 Sincronización MedDRA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_Toc220055106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76F72805" w14:textId="77777777" w:rsidR="006947FF" w:rsidRPr="005B5536" w:rsidRDefault="006947FF" w:rsidP="005B5536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055107" w:history="1">
            <w:r w:rsidRPr="005B5536">
              <w:rPr>
                <w:rStyle w:val="Hipervnculo"/>
                <w:noProof/>
                <w:color w:val="auto"/>
              </w:rPr>
              <w:t>5.3.5 Sincronización WHODrug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_Toc220055107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02C7446D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108" w:history="1">
            <w:r w:rsidRPr="005B5536">
              <w:rPr>
                <w:rStyle w:val="Hipervnculo"/>
                <w:noProof/>
                <w:color w:val="auto"/>
              </w:rPr>
              <w:t>6. Arquitectura Técnica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_Toc220055108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3198BFC6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109" w:history="1">
            <w:r w:rsidRPr="005B5536">
              <w:rPr>
                <w:rStyle w:val="Hipervnculo"/>
                <w:noProof/>
                <w:color w:val="auto"/>
              </w:rPr>
              <w:t>6.1 Stack Tecnológico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_Toc220055109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4C01CEEC" w14:textId="77777777" w:rsidR="006947FF" w:rsidRPr="005B5536" w:rsidRDefault="006947FF" w:rsidP="005B553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055110" w:history="1">
            <w:r w:rsidRPr="005B5536">
              <w:rPr>
                <w:rStyle w:val="Hipervnculo"/>
                <w:noProof/>
                <w:color w:val="auto"/>
              </w:rPr>
              <w:t>6.2 Flujo de Datos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_Toc220055110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7C6C02DB" w14:textId="77777777" w:rsidR="006947FF" w:rsidRPr="005B5536" w:rsidRDefault="006947FF" w:rsidP="005B553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055111" w:history="1">
            <w:r w:rsidRPr="005B5536">
              <w:rPr>
                <w:rStyle w:val="Hipervnculo"/>
                <w:noProof/>
                <w:color w:val="auto"/>
              </w:rPr>
              <w:t>7. Consideraciones Finales</w:t>
            </w:r>
            <w:r w:rsidRPr="005B5536">
              <w:rPr>
                <w:noProof/>
              </w:rPr>
              <w:tab/>
            </w:r>
            <w:r w:rsidRPr="005B5536">
              <w:rPr>
                <w:noProof/>
              </w:rPr>
              <w:fldChar w:fldCharType="begin"/>
            </w:r>
            <w:r w:rsidRPr="005B5536">
              <w:rPr>
                <w:noProof/>
              </w:rPr>
              <w:instrText xml:space="preserve"> PAGEREF _Toc220055111 \h </w:instrText>
            </w:r>
            <w:r w:rsidRPr="005B5536">
              <w:rPr>
                <w:noProof/>
              </w:rPr>
            </w:r>
            <w:r w:rsidRPr="005B5536">
              <w:rPr>
                <w:noProof/>
              </w:rPr>
              <w:fldChar w:fldCharType="separate"/>
            </w:r>
            <w:r w:rsidRPr="005B5536">
              <w:rPr>
                <w:noProof/>
              </w:rPr>
              <w:t>1</w:t>
            </w:r>
            <w:r w:rsidRPr="005B5536">
              <w:rPr>
                <w:noProof/>
              </w:rPr>
              <w:fldChar w:fldCharType="end"/>
            </w:r>
          </w:hyperlink>
        </w:p>
        <w:p w14:paraId="56B68491" w14:textId="77777777" w:rsidR="009241EA" w:rsidRPr="005B5536" w:rsidRDefault="00000000" w:rsidP="005B5536">
          <w:r w:rsidRPr="005B5536">
            <w:fldChar w:fldCharType="end"/>
          </w:r>
        </w:p>
      </w:sdtContent>
    </w:sdt>
    <w:p w14:paraId="33089601" w14:textId="77777777" w:rsidR="009241EA" w:rsidRPr="005B5536" w:rsidRDefault="00000000" w:rsidP="005B5536">
      <w:r w:rsidRPr="005B5536">
        <w:br w:type="page"/>
      </w:r>
    </w:p>
    <w:p w14:paraId="6B6F6A58" w14:textId="77777777" w:rsidR="009241EA" w:rsidRPr="005B5536" w:rsidRDefault="00000000" w:rsidP="005B5536">
      <w:pPr>
        <w:pStyle w:val="Ttulo1"/>
        <w:rPr>
          <w:color w:val="auto"/>
        </w:rPr>
      </w:pPr>
      <w:bookmarkStart w:id="1" w:name="_Toc220055083"/>
      <w:r w:rsidRPr="005B5536">
        <w:rPr>
          <w:color w:val="auto"/>
        </w:rPr>
        <w:lastRenderedPageBreak/>
        <w:t>1. Introducción</w:t>
      </w:r>
      <w:bookmarkEnd w:id="1"/>
    </w:p>
    <w:p w14:paraId="2C4FA4D6" w14:textId="77777777" w:rsidR="009241EA" w:rsidRPr="005B5536" w:rsidRDefault="00000000" w:rsidP="005B5536">
      <w:pPr>
        <w:spacing w:before="200" w:after="200"/>
      </w:pPr>
      <w:r w:rsidRPr="005B5536">
        <w:t>IntegraESAVI es un sistema desarrollado para el Ministerio de Salud Pública del Ecuador, diseñado para integrar y consolidar los datos capturados de dos fuentes principales de información en farmacovigilancia: VigiFlow y DHIS2. Esta plataforma unificada permite centralizar la información relacionada con Eventos Supuestamente Atribuibles a la Vacunación o Inmunización (ESAVI) en una sola herramienta de gestión y análisis.</w:t>
      </w:r>
    </w:p>
    <w:p w14:paraId="06736AC1" w14:textId="77777777" w:rsidR="009241EA" w:rsidRPr="005B5536" w:rsidRDefault="00000000" w:rsidP="005B5536">
      <w:pPr>
        <w:spacing w:before="200" w:after="200"/>
      </w:pPr>
      <w:r w:rsidRPr="005B5536">
        <w:t>El sistema ha sido desarrollado en Node.js y cuenta con una arquitectura modular que facilita la expansión y el mantenimiento del software. Entre sus principales módulos se encuentran el Análisis de Calidad de Datos y el Análisis de Datos, los cuales son objeto del presente manual técnico.</w:t>
      </w:r>
    </w:p>
    <w:p w14:paraId="14D32CC2" w14:textId="77777777" w:rsidR="009241EA" w:rsidRPr="005B5536" w:rsidRDefault="00000000" w:rsidP="005B5536">
      <w:r w:rsidRPr="005B5536">
        <w:br w:type="page"/>
      </w:r>
    </w:p>
    <w:p w14:paraId="0468BC43" w14:textId="77777777" w:rsidR="009241EA" w:rsidRPr="005B5536" w:rsidRDefault="00000000" w:rsidP="005B5536">
      <w:pPr>
        <w:pStyle w:val="Ttulo1"/>
        <w:rPr>
          <w:color w:val="auto"/>
        </w:rPr>
      </w:pPr>
      <w:bookmarkStart w:id="2" w:name="_Toc220055084"/>
      <w:r w:rsidRPr="005B5536">
        <w:rPr>
          <w:color w:val="auto"/>
        </w:rPr>
        <w:lastRenderedPageBreak/>
        <w:t>2. Propósito</w:t>
      </w:r>
      <w:bookmarkEnd w:id="2"/>
    </w:p>
    <w:p w14:paraId="410B0924" w14:textId="77777777" w:rsidR="009241EA" w:rsidRPr="005B5536" w:rsidRDefault="00000000" w:rsidP="005B5536">
      <w:pPr>
        <w:spacing w:before="200" w:after="200"/>
      </w:pPr>
      <w:r w:rsidRPr="005B5536">
        <w:t>El propósito de este manual técnico es proporcionar una guía detallada y completa sobre los módulos de Análisis de Calidad de Datos y Análisis de Datos de la plataforma IntegraESAVI. Este documento está dirigido a:</w:t>
      </w:r>
    </w:p>
    <w:p w14:paraId="5F6A89C3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Desarrolladores que participan en el mantenimiento y evolución del sistema.</w:t>
      </w:r>
    </w:p>
    <w:p w14:paraId="1533D5F5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Administradores de sistemas responsables de la operación y configuración de la plataforma.</w:t>
      </w:r>
    </w:p>
    <w:p w14:paraId="00A3E2D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Personal técnico del Ministerio de Salud Pública que requiera comprender el funcionamiento interno del sistema.</w:t>
      </w:r>
    </w:p>
    <w:p w14:paraId="2A42D702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Analistas de datos que utilicen la plataforma para la evaluación de información de farmacovigilancia.</w:t>
      </w:r>
    </w:p>
    <w:p w14:paraId="613F2D56" w14:textId="77777777" w:rsidR="009241EA" w:rsidRPr="005B5536" w:rsidRDefault="00000000" w:rsidP="005B5536">
      <w:r w:rsidRPr="005B5536">
        <w:br w:type="page"/>
      </w:r>
    </w:p>
    <w:p w14:paraId="4FBB17C4" w14:textId="77777777" w:rsidR="009241EA" w:rsidRPr="005B5536" w:rsidRDefault="00000000" w:rsidP="005B5536">
      <w:pPr>
        <w:pStyle w:val="Ttulo1"/>
        <w:rPr>
          <w:color w:val="auto"/>
        </w:rPr>
      </w:pPr>
      <w:bookmarkStart w:id="3" w:name="_Toc220055085"/>
      <w:r w:rsidRPr="005B5536">
        <w:rPr>
          <w:color w:val="auto"/>
        </w:rPr>
        <w:lastRenderedPageBreak/>
        <w:t>3. Alcance</w:t>
      </w:r>
      <w:bookmarkEnd w:id="3"/>
    </w:p>
    <w:p w14:paraId="578BA26D" w14:textId="61F480F3" w:rsidR="009241EA" w:rsidRPr="005B5536" w:rsidRDefault="00000000" w:rsidP="005B5536">
      <w:pPr>
        <w:spacing w:before="200" w:after="200"/>
      </w:pPr>
      <w:r w:rsidRPr="005B5536">
        <w:t>Este documento cubre l</w:t>
      </w:r>
      <w:r w:rsidR="005B5536">
        <w:t xml:space="preserve">a descripcion de los </w:t>
      </w:r>
      <w:r w:rsidRPr="005B5536">
        <w:t xml:space="preserve">siguientes </w:t>
      </w:r>
      <w:r w:rsidR="005B5536">
        <w:t>modulos</w:t>
      </w:r>
      <w:r w:rsidRPr="005B5536">
        <w:t xml:space="preserve"> del sistema IntegraESAVI:</w:t>
      </w:r>
    </w:p>
    <w:p w14:paraId="22E322D7" w14:textId="77777777" w:rsidR="009241EA" w:rsidRPr="005B5536" w:rsidRDefault="00000000" w:rsidP="005B5536">
      <w:pPr>
        <w:pStyle w:val="Ttulo2"/>
        <w:rPr>
          <w:color w:val="auto"/>
        </w:rPr>
      </w:pPr>
      <w:bookmarkStart w:id="4" w:name="_Toc220055086"/>
      <w:r w:rsidRPr="005B5536">
        <w:rPr>
          <w:color w:val="auto"/>
        </w:rPr>
        <w:t>3.1 Módulos Incluidos</w:t>
      </w:r>
      <w:bookmarkEnd w:id="4"/>
    </w:p>
    <w:p w14:paraId="7EBC538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Módulo de Análisis de Calidad de Datos: Evaluación de dimensiones semántica, sintáctica y temporal.</w:t>
      </w:r>
    </w:p>
    <w:p w14:paraId="19DCDEC0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Módulo de Análisis de Datos: Análisis descriptivo, por vacunas, por eventos y detección de señales.</w:t>
      </w:r>
    </w:p>
    <w:p w14:paraId="495A1F86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Funcionalidades Asíncronas: Sincronización de vacunas, datos del tablero, estándares WHODrug y MedDRA.</w:t>
      </w:r>
    </w:p>
    <w:p w14:paraId="2178453A" w14:textId="77777777" w:rsidR="009241EA" w:rsidRPr="005B5536" w:rsidRDefault="00000000" w:rsidP="005B5536">
      <w:pPr>
        <w:pStyle w:val="Ttulo2"/>
        <w:rPr>
          <w:color w:val="auto"/>
        </w:rPr>
      </w:pPr>
      <w:bookmarkStart w:id="5" w:name="_Toc220055087"/>
      <w:r w:rsidRPr="005B5536">
        <w:rPr>
          <w:color w:val="auto"/>
        </w:rPr>
        <w:t>3.2 Fuera del Alcance</w:t>
      </w:r>
      <w:bookmarkEnd w:id="5"/>
    </w:p>
    <w:p w14:paraId="1E048AFA" w14:textId="77777777" w:rsidR="009241EA" w:rsidRPr="005B5536" w:rsidRDefault="00000000" w:rsidP="00A239C6">
      <w:pPr>
        <w:spacing w:before="200" w:after="200"/>
        <w:jc w:val="both"/>
      </w:pPr>
      <w:r w:rsidRPr="005B5536">
        <w:t>Este manual no cubre la configuración inicial de los sistemas fuente (VigiFlow y DHIS2), ni la administración de infraestructura de servidores. Para estos aspectos, se debe consultar la documentación específica de cada plataforma.</w:t>
      </w:r>
    </w:p>
    <w:p w14:paraId="2F54688C" w14:textId="77777777" w:rsidR="009241EA" w:rsidRPr="005B5536" w:rsidRDefault="00000000" w:rsidP="005B5536">
      <w:r w:rsidRPr="005B5536">
        <w:br w:type="page"/>
      </w:r>
    </w:p>
    <w:p w14:paraId="543B8086" w14:textId="77777777" w:rsidR="009241EA" w:rsidRPr="005B5536" w:rsidRDefault="00000000" w:rsidP="005B5536">
      <w:pPr>
        <w:pStyle w:val="Ttulo1"/>
        <w:rPr>
          <w:color w:val="auto"/>
        </w:rPr>
      </w:pPr>
      <w:bookmarkStart w:id="6" w:name="_Toc220055088"/>
      <w:r w:rsidRPr="005B5536">
        <w:rPr>
          <w:color w:val="auto"/>
        </w:rPr>
        <w:lastRenderedPageBreak/>
        <w:t>4. Glosario</w:t>
      </w:r>
      <w:bookmarkEnd w:id="6"/>
    </w:p>
    <w:p w14:paraId="09BE8154" w14:textId="77777777" w:rsidR="009241EA" w:rsidRPr="005B5536" w:rsidRDefault="00000000" w:rsidP="005B5536">
      <w:pPr>
        <w:spacing w:before="200" w:after="200"/>
      </w:pPr>
      <w:r w:rsidRPr="005B5536">
        <w:t>A continuación se presenta la terminología técnica utilizada en este documento: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5B5536" w:rsidRPr="005B5536" w14:paraId="5CAEE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3586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56DB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Definición</w:t>
            </w:r>
          </w:p>
        </w:tc>
      </w:tr>
      <w:tr w:rsidR="005B5536" w:rsidRPr="005B5536" w14:paraId="6DA94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35E6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ESAVI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8BA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Evento Supuestamente Atribuible a la Vacunación o Inmunización. Cualquier evento médico adverso que ocurre después de la vacunación.</w:t>
            </w:r>
          </w:p>
        </w:tc>
      </w:tr>
      <w:tr w:rsidR="005B5536" w:rsidRPr="005B5536" w14:paraId="6AB49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D505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VigiFlow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CD6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Sistema de gestión de casos de farmacovigilancia desarrollado por el Uppsala Monitoring Centre (UMC).</w:t>
            </w:r>
          </w:p>
        </w:tc>
      </w:tr>
      <w:tr w:rsidR="005B5536" w:rsidRPr="005B5536" w14:paraId="3FDE6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8CD2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DHIS2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266A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District Health Information Software 2. Plataforma de código abierto para gestión de información de salud.</w:t>
            </w:r>
          </w:p>
        </w:tc>
      </w:tr>
      <w:tr w:rsidR="005B5536" w:rsidRPr="005B5536" w14:paraId="10429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870B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MedDRA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A55B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Medical Dictionary for Regulatory Activities. Diccionario médico estandarizado para terminología de eventos adversos.</w:t>
            </w:r>
          </w:p>
        </w:tc>
      </w:tr>
      <w:tr w:rsidR="005B5536" w:rsidRPr="005B5536" w14:paraId="16F19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FA31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WHODrug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099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Diccionario global de medicamentos mantenido por el Uppsala Monitoring Centre.</w:t>
            </w:r>
          </w:p>
        </w:tc>
      </w:tr>
      <w:tr w:rsidR="005B5536" w:rsidRPr="005B5536" w14:paraId="683EB9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2A0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Cron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2DD2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Utilidad de sistemas Unix/Linux para programar tareas automatizadas.</w:t>
            </w:r>
          </w:p>
        </w:tc>
      </w:tr>
      <w:tr w:rsidR="005B5536" w:rsidRPr="005B5536" w14:paraId="706C7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6971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EF7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Entorno de ejecución de JavaScript del lado del servidor.</w:t>
            </w:r>
          </w:p>
        </w:tc>
      </w:tr>
      <w:tr w:rsidR="005B5536" w:rsidRPr="005B5536" w14:paraId="39EFE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5899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Dimensión Semántica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955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Evaluación de la coherencia y significado de los datos.</w:t>
            </w:r>
          </w:p>
        </w:tc>
      </w:tr>
      <w:tr w:rsidR="005B5536" w:rsidRPr="005B5536" w14:paraId="26EB3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1E1E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Dimensión Sintáctica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46C1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Evaluación del formato y estructura de los datos.</w:t>
            </w:r>
          </w:p>
        </w:tc>
      </w:tr>
      <w:tr w:rsidR="005B5536" w:rsidRPr="005B5536" w14:paraId="137396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9A92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Dimensión Temporal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A2FD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Evaluación de la consistencia temporal y cronológica de los datos.</w:t>
            </w:r>
          </w:p>
        </w:tc>
      </w:tr>
      <w:tr w:rsidR="005B5536" w:rsidRPr="005B5536" w14:paraId="5002E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CCF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093B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Application Programming Interface. Interfaz de programación de aplicaciones.</w:t>
            </w:r>
          </w:p>
        </w:tc>
      </w:tr>
      <w:tr w:rsidR="005B5536" w:rsidRPr="005B5536" w14:paraId="542CA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BDA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Bash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A5D4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Bourne Again Shell. Intérprete de comandos para sistemas Unix/Linux.</w:t>
            </w:r>
          </w:p>
        </w:tc>
      </w:tr>
    </w:tbl>
    <w:p w14:paraId="4F29D89D" w14:textId="77777777" w:rsidR="009241EA" w:rsidRPr="005B5536" w:rsidRDefault="00000000" w:rsidP="005B5536">
      <w:r w:rsidRPr="005B5536">
        <w:br w:type="page"/>
      </w:r>
    </w:p>
    <w:p w14:paraId="1367E7CA" w14:textId="77777777" w:rsidR="009241EA" w:rsidRPr="005B5536" w:rsidRDefault="00000000" w:rsidP="005B5536">
      <w:pPr>
        <w:pStyle w:val="Ttulo1"/>
        <w:rPr>
          <w:color w:val="auto"/>
        </w:rPr>
      </w:pPr>
      <w:bookmarkStart w:id="7" w:name="_Toc220055089"/>
      <w:r w:rsidRPr="005B5536">
        <w:rPr>
          <w:color w:val="auto"/>
        </w:rPr>
        <w:lastRenderedPageBreak/>
        <w:t>5. Funcionalidades</w:t>
      </w:r>
      <w:bookmarkEnd w:id="7"/>
    </w:p>
    <w:p w14:paraId="1433E150" w14:textId="77777777" w:rsidR="009241EA" w:rsidRPr="005B5536" w:rsidRDefault="00000000" w:rsidP="005B5536">
      <w:pPr>
        <w:spacing w:before="200" w:after="200"/>
      </w:pPr>
      <w:r w:rsidRPr="005B5536">
        <w:t>La plataforma IntegraESAVI cuenta con funcionalidades principales organizadas en módulos especializados para el procesamiento, análisis y visualización de datos de farmacovigilancia.</w:t>
      </w:r>
    </w:p>
    <w:p w14:paraId="255784FE" w14:textId="77777777" w:rsidR="009241EA" w:rsidRPr="005B5536" w:rsidRDefault="00000000" w:rsidP="005B5536">
      <w:pPr>
        <w:pStyle w:val="Ttulo2"/>
        <w:rPr>
          <w:color w:val="auto"/>
        </w:rPr>
      </w:pPr>
      <w:bookmarkStart w:id="8" w:name="_Toc220055090"/>
      <w:r w:rsidRPr="005B5536">
        <w:rPr>
          <w:color w:val="auto"/>
        </w:rPr>
        <w:t>5.1 Análisis de Calidad de Datos</w:t>
      </w:r>
      <w:bookmarkEnd w:id="8"/>
    </w:p>
    <w:p w14:paraId="2995D054" w14:textId="77777777" w:rsidR="009241EA" w:rsidRDefault="00000000" w:rsidP="005B5536">
      <w:pPr>
        <w:spacing w:before="200" w:after="200"/>
      </w:pPr>
      <w:r w:rsidRPr="005B5536">
        <w:t>El módulo de Análisis de Calidad de Datos permite evaluar la integridad y consistencia de la información recopilada de las fuentes VigiFlow y DHIS2. Este módulo implementa un marco de evaluación basado en tres dimensiones fundamentales de calidad de datos.</w:t>
      </w:r>
    </w:p>
    <w:p w14:paraId="62B54CF8" w14:textId="77777777" w:rsidR="00A239C6" w:rsidRDefault="00A239C6" w:rsidP="00A239C6">
      <w:pPr>
        <w:keepNext/>
        <w:spacing w:before="200" w:after="200"/>
      </w:pPr>
      <w:r w:rsidRPr="00A239C6">
        <w:drawing>
          <wp:inline distT="0" distB="0" distL="0" distR="0" wp14:anchorId="39D5FB3D" wp14:editId="0C525BFA">
            <wp:extent cx="5943600" cy="3801745"/>
            <wp:effectExtent l="0" t="0" r="0" b="0"/>
            <wp:docPr id="76571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A5F3" w14:textId="0261C098" w:rsidR="00A239C6" w:rsidRPr="005B5536" w:rsidRDefault="00A239C6" w:rsidP="00A239C6">
      <w:pPr>
        <w:pStyle w:val="Descripcin"/>
        <w:rPr>
          <w:color w:val="auto"/>
        </w:rPr>
      </w:pPr>
      <w:r>
        <w:t xml:space="preserve">Imagen </w:t>
      </w:r>
      <w:fldSimple w:instr=" SEQ Imagen \* ARABIC ">
        <w:r>
          <w:rPr>
            <w:noProof/>
          </w:rPr>
          <w:t>1</w:t>
        </w:r>
      </w:fldSimple>
      <w:r>
        <w:t>.- Calidad de los datos</w:t>
      </w:r>
    </w:p>
    <w:p w14:paraId="7365E800" w14:textId="77777777" w:rsidR="009241EA" w:rsidRPr="005B5536" w:rsidRDefault="00000000" w:rsidP="005B5536">
      <w:pPr>
        <w:pStyle w:val="Ttulo3"/>
        <w:rPr>
          <w:color w:val="auto"/>
        </w:rPr>
      </w:pPr>
      <w:bookmarkStart w:id="9" w:name="_Toc220055091"/>
      <w:r w:rsidRPr="005B5536">
        <w:rPr>
          <w:color w:val="auto"/>
        </w:rPr>
        <w:t>5.1.1 Dimensión Semántica</w:t>
      </w:r>
      <w:bookmarkEnd w:id="9"/>
    </w:p>
    <w:p w14:paraId="27823EC3" w14:textId="77777777" w:rsidR="009241EA" w:rsidRPr="005B5536" w:rsidRDefault="00000000" w:rsidP="005B5536">
      <w:pPr>
        <w:spacing w:before="200" w:after="200"/>
      </w:pPr>
      <w:r w:rsidRPr="005B5536">
        <w:t>La dimensión semántica evalúa la coherencia y el significado de los datos ingresados en el sistema. Esta evaluación incluye:</w:t>
      </w:r>
    </w:p>
    <w:p w14:paraId="4AAE94EF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Validación de códigos de vacunas contra catálogos estandarizados.</w:t>
      </w:r>
    </w:p>
    <w:p w14:paraId="2694635A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Verificación de terminología médica según estándares MedDRA.</w:t>
      </w:r>
    </w:p>
    <w:p w14:paraId="25B434F6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Consistencia en la clasificación de eventos adversos.</w:t>
      </w:r>
    </w:p>
    <w:p w14:paraId="0D607CD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Validación de relaciones lógicas entre campos de datos.</w:t>
      </w:r>
    </w:p>
    <w:p w14:paraId="49A2E64D" w14:textId="77777777" w:rsidR="009241EA" w:rsidRPr="005B5536" w:rsidRDefault="00000000" w:rsidP="005B5536">
      <w:pPr>
        <w:pStyle w:val="Ttulo3"/>
        <w:rPr>
          <w:color w:val="auto"/>
        </w:rPr>
      </w:pPr>
      <w:bookmarkStart w:id="10" w:name="_Toc220055092"/>
      <w:r w:rsidRPr="005B5536">
        <w:rPr>
          <w:color w:val="auto"/>
        </w:rPr>
        <w:lastRenderedPageBreak/>
        <w:t>5.1.2 Dimensión Sintáctica</w:t>
      </w:r>
      <w:bookmarkEnd w:id="10"/>
    </w:p>
    <w:p w14:paraId="096A04C6" w14:textId="77777777" w:rsidR="009241EA" w:rsidRPr="005B5536" w:rsidRDefault="00000000" w:rsidP="005B5536">
      <w:pPr>
        <w:spacing w:before="200" w:after="200"/>
      </w:pPr>
      <w:r w:rsidRPr="005B5536">
        <w:t>La dimensión sintáctica se enfoca en la estructura y formato de los datos. Las validaciones incluyen:</w:t>
      </w:r>
    </w:p>
    <w:p w14:paraId="4345C98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Formato correcto de fechas (ISO 8601).</w:t>
      </w:r>
    </w:p>
    <w:p w14:paraId="67509F86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Validación de campos obligatorios.</w:t>
      </w:r>
    </w:p>
    <w:p w14:paraId="1B04B7F7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Verificación de tipos de datos (numéricos, texto, booleanos).</w:t>
      </w:r>
    </w:p>
    <w:p w14:paraId="1F1241DE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Estructura correcta de identificadores únicos.</w:t>
      </w:r>
    </w:p>
    <w:p w14:paraId="1A75B1E6" w14:textId="77777777" w:rsidR="009241EA" w:rsidRPr="005B5536" w:rsidRDefault="00000000" w:rsidP="005B5536">
      <w:pPr>
        <w:pStyle w:val="Ttulo3"/>
        <w:rPr>
          <w:color w:val="auto"/>
        </w:rPr>
      </w:pPr>
      <w:bookmarkStart w:id="11" w:name="_Toc220055093"/>
      <w:r w:rsidRPr="005B5536">
        <w:rPr>
          <w:color w:val="auto"/>
        </w:rPr>
        <w:t>5.1.3 Dimensión Temporal</w:t>
      </w:r>
      <w:bookmarkEnd w:id="11"/>
    </w:p>
    <w:p w14:paraId="30368CA3" w14:textId="77777777" w:rsidR="009241EA" w:rsidRPr="005B5536" w:rsidRDefault="00000000" w:rsidP="005B5536">
      <w:pPr>
        <w:spacing w:before="200" w:after="200"/>
      </w:pPr>
      <w:r w:rsidRPr="005B5536">
        <w:t>La dimensión temporal verifica la consistencia cronológica de los eventos registrados:</w:t>
      </w:r>
    </w:p>
    <w:p w14:paraId="37BE190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Secuencia lógica de fechas (vacunación anterior al evento adverso).</w:t>
      </w:r>
    </w:p>
    <w:p w14:paraId="12D27317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Tiempos de latencia razonables entre vacunación y evento.</w:t>
      </w:r>
    </w:p>
    <w:p w14:paraId="2E95FB85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Detección de fechas futuras o inconsistentes.</w:t>
      </w:r>
    </w:p>
    <w:p w14:paraId="4ADEDFB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Análisis de oportunidad en la notificación de eventos.</w:t>
      </w:r>
    </w:p>
    <w:p w14:paraId="6338D3AE" w14:textId="77777777" w:rsidR="009241EA" w:rsidRPr="005B5536" w:rsidRDefault="00000000" w:rsidP="005B5536">
      <w:pPr>
        <w:pStyle w:val="Ttulo3"/>
        <w:rPr>
          <w:color w:val="auto"/>
        </w:rPr>
      </w:pPr>
      <w:bookmarkStart w:id="12" w:name="_Toc220055094"/>
      <w:r w:rsidRPr="005B5536">
        <w:rPr>
          <w:color w:val="auto"/>
        </w:rPr>
        <w:t>5.1.4 Páginas de Visualización de Calidad</w:t>
      </w:r>
      <w:bookmarkEnd w:id="12"/>
    </w:p>
    <w:p w14:paraId="161DAB81" w14:textId="77777777" w:rsidR="009241EA" w:rsidRPr="005B5536" w:rsidRDefault="00000000" w:rsidP="005B5536">
      <w:pPr>
        <w:spacing w:before="200" w:after="200"/>
      </w:pPr>
      <w:r w:rsidRPr="005B5536">
        <w:t>El sistema cuenta con páginas dedicadas a mostrar la evolución de los indicadores de calidad:</w:t>
      </w:r>
    </w:p>
    <w:p w14:paraId="0B493FEB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Dashboard de calidad general: Vista consolidada de todas las dimensiones.</w:t>
      </w:r>
    </w:p>
    <w:p w14:paraId="1425DBD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Reportes por dimensión: Análisis detallado de cada aspecto de calidad.</w:t>
      </w:r>
    </w:p>
    <w:p w14:paraId="0B705753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Tendencias temporales: Gráficos de evolución de indicadores de calidad.</w:t>
      </w:r>
    </w:p>
    <w:p w14:paraId="6FD2BACE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Alertas de calidad: Notificación de valores fuera de los umbrales establecidos.</w:t>
      </w:r>
    </w:p>
    <w:p w14:paraId="02555EC3" w14:textId="77777777" w:rsidR="009241EA" w:rsidRPr="005B5536" w:rsidRDefault="00000000" w:rsidP="005B5536">
      <w:r w:rsidRPr="005B5536">
        <w:br w:type="page"/>
      </w:r>
    </w:p>
    <w:p w14:paraId="2020FDF0" w14:textId="77777777" w:rsidR="009241EA" w:rsidRPr="005B5536" w:rsidRDefault="00000000" w:rsidP="005B5536">
      <w:pPr>
        <w:pStyle w:val="Ttulo2"/>
        <w:rPr>
          <w:color w:val="auto"/>
        </w:rPr>
      </w:pPr>
      <w:bookmarkStart w:id="13" w:name="_Toc220055095"/>
      <w:r w:rsidRPr="005B5536">
        <w:rPr>
          <w:color w:val="auto"/>
        </w:rPr>
        <w:lastRenderedPageBreak/>
        <w:t>5.2 Análisis de Datos</w:t>
      </w:r>
      <w:bookmarkEnd w:id="13"/>
    </w:p>
    <w:p w14:paraId="2CBAA247" w14:textId="77777777" w:rsidR="009241EA" w:rsidRDefault="00000000" w:rsidP="005B5536">
      <w:pPr>
        <w:spacing w:before="200" w:after="200"/>
      </w:pPr>
      <w:r w:rsidRPr="005B5536">
        <w:t>El módulo de Análisis de Datos proporciona herramientas para el estudio exhaustivo de la información de farmacovigilancia. Está organizado en las siguientes secciones:</w:t>
      </w:r>
    </w:p>
    <w:p w14:paraId="373C6E69" w14:textId="2CFE6321" w:rsidR="00AC2243" w:rsidRPr="005B5536" w:rsidRDefault="00AC2243" w:rsidP="005B5536">
      <w:pPr>
        <w:spacing w:before="200" w:after="200"/>
      </w:pPr>
    </w:p>
    <w:p w14:paraId="0EF05038" w14:textId="77777777" w:rsidR="009241EA" w:rsidRPr="005B5536" w:rsidRDefault="00000000" w:rsidP="005B5536">
      <w:pPr>
        <w:pStyle w:val="Ttulo3"/>
        <w:rPr>
          <w:color w:val="auto"/>
        </w:rPr>
      </w:pPr>
      <w:bookmarkStart w:id="14" w:name="_Toc220055096"/>
      <w:r w:rsidRPr="005B5536">
        <w:rPr>
          <w:color w:val="auto"/>
        </w:rPr>
        <w:t>5.2.1 Inicio</w:t>
      </w:r>
      <w:bookmarkEnd w:id="14"/>
    </w:p>
    <w:p w14:paraId="34422054" w14:textId="77777777" w:rsidR="009241EA" w:rsidRPr="005B5536" w:rsidRDefault="00000000" w:rsidP="005B5536">
      <w:pPr>
        <w:spacing w:before="200" w:after="200"/>
      </w:pPr>
      <w:r w:rsidRPr="005B5536">
        <w:t>La página de inicio del módulo presenta un resumen ejecutivo con los principales indicadores del sistema:</w:t>
      </w:r>
    </w:p>
    <w:p w14:paraId="67DF01E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Total de casos registrados en el período seleccionado.</w:t>
      </w:r>
    </w:p>
    <w:p w14:paraId="71587DB0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Distribución geográfica de notificaciones.</w:t>
      </w:r>
    </w:p>
    <w:p w14:paraId="6ADABE6C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Indicadores clave de rendimiento (KPI) del sistema.</w:t>
      </w:r>
    </w:p>
    <w:p w14:paraId="64C82E3E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Acceso rápido a las diferentes secciones de análisis.</w:t>
      </w:r>
    </w:p>
    <w:p w14:paraId="6EA2E7D9" w14:textId="77777777" w:rsidR="009241EA" w:rsidRPr="005B5536" w:rsidRDefault="00000000" w:rsidP="005B5536">
      <w:pPr>
        <w:pStyle w:val="Ttulo3"/>
        <w:rPr>
          <w:color w:val="auto"/>
        </w:rPr>
      </w:pPr>
      <w:bookmarkStart w:id="15" w:name="_Toc220055097"/>
      <w:r w:rsidRPr="005B5536">
        <w:rPr>
          <w:color w:val="auto"/>
        </w:rPr>
        <w:t>5.2.2 Introducción</w:t>
      </w:r>
      <w:bookmarkEnd w:id="15"/>
    </w:p>
    <w:p w14:paraId="7AA55C2D" w14:textId="77777777" w:rsidR="009241EA" w:rsidRPr="005B5536" w:rsidRDefault="00000000" w:rsidP="005B5536">
      <w:pPr>
        <w:spacing w:before="200" w:after="200"/>
      </w:pPr>
      <w:r w:rsidRPr="005B5536">
        <w:t>Esta sección proporciona el contexto necesario para interpretar los datos presentados:</w:t>
      </w:r>
    </w:p>
    <w:p w14:paraId="34CE1D37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Marco conceptual de la vigilancia de ESAVI.</w:t>
      </w:r>
    </w:p>
    <w:p w14:paraId="62438BF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Metodología de recolección y procesamiento de datos.</w:t>
      </w:r>
    </w:p>
    <w:p w14:paraId="545E4DEA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Fuentes de información integradas.</w:t>
      </w:r>
    </w:p>
    <w:p w14:paraId="40DFDE27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Limitaciones y consideraciones para la interpretación.</w:t>
      </w:r>
    </w:p>
    <w:p w14:paraId="675A5755" w14:textId="77777777" w:rsidR="009241EA" w:rsidRPr="005B5536" w:rsidRDefault="00000000" w:rsidP="005B5536">
      <w:pPr>
        <w:pStyle w:val="Ttulo3"/>
        <w:rPr>
          <w:color w:val="auto"/>
        </w:rPr>
      </w:pPr>
      <w:bookmarkStart w:id="16" w:name="_Toc220055098"/>
      <w:r w:rsidRPr="005B5536">
        <w:rPr>
          <w:color w:val="auto"/>
        </w:rPr>
        <w:t>5.2.3 Análisis Descriptivo</w:t>
      </w:r>
      <w:bookmarkEnd w:id="16"/>
    </w:p>
    <w:p w14:paraId="0FD53791" w14:textId="77777777" w:rsidR="009241EA" w:rsidRDefault="00000000" w:rsidP="005B5536">
      <w:pPr>
        <w:spacing w:before="200" w:after="200"/>
      </w:pPr>
      <w:r w:rsidRPr="005B5536">
        <w:t>El análisis descriptivo ofrece una caracterización completa de los datos recopilados:</w:t>
      </w:r>
    </w:p>
    <w:p w14:paraId="13A69B8E" w14:textId="066DC4BD" w:rsidR="00AC2243" w:rsidRPr="005B5536" w:rsidRDefault="00AC2243" w:rsidP="005B5536">
      <w:pPr>
        <w:spacing w:before="200" w:after="200"/>
      </w:pPr>
      <w:r w:rsidRPr="00AC2243">
        <w:drawing>
          <wp:inline distT="0" distB="0" distL="0" distR="0" wp14:anchorId="3C213E42" wp14:editId="7BA355F6">
            <wp:extent cx="5943600" cy="3048635"/>
            <wp:effectExtent l="0" t="0" r="0" b="0"/>
            <wp:docPr id="164439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676F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lastRenderedPageBreak/>
        <w:t>Distribución demográfica: Análisis por edad, sexo y ubicación geográfica.</w:t>
      </w:r>
    </w:p>
    <w:p w14:paraId="73A9B1D0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Tendencias temporales: Evolución de casos a lo largo del tiempo.</w:t>
      </w:r>
    </w:p>
    <w:p w14:paraId="50176403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Estadísticas de resumen: Medidas de tendencia central y dispersión.</w:t>
      </w:r>
    </w:p>
    <w:p w14:paraId="2C64A3A1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Visualizaciones interactivas: Gráficos dinámicos con filtros personalizables.</w:t>
      </w:r>
    </w:p>
    <w:p w14:paraId="2BE6177B" w14:textId="77777777" w:rsidR="009241EA" w:rsidRPr="005B5536" w:rsidRDefault="00000000" w:rsidP="005B5536">
      <w:pPr>
        <w:pStyle w:val="Ttulo3"/>
        <w:rPr>
          <w:color w:val="auto"/>
        </w:rPr>
      </w:pPr>
      <w:bookmarkStart w:id="17" w:name="_Toc220055099"/>
      <w:r w:rsidRPr="005B5536">
        <w:rPr>
          <w:color w:val="auto"/>
        </w:rPr>
        <w:t>5.2.4 Análisis por Vacunas</w:t>
      </w:r>
      <w:bookmarkEnd w:id="17"/>
    </w:p>
    <w:p w14:paraId="351F81CE" w14:textId="77777777" w:rsidR="009241EA" w:rsidRDefault="00000000" w:rsidP="005B5536">
      <w:pPr>
        <w:spacing w:before="200" w:after="200"/>
      </w:pPr>
      <w:r w:rsidRPr="005B5536">
        <w:t>Esta sección permite el análisis detallado de eventos adversos asociados a cada tipo de vacuna:</w:t>
      </w:r>
    </w:p>
    <w:p w14:paraId="7754957A" w14:textId="70D25021" w:rsidR="00AC2243" w:rsidRPr="005B5536" w:rsidRDefault="00AC2243" w:rsidP="005B5536">
      <w:pPr>
        <w:spacing w:before="200" w:after="200"/>
      </w:pPr>
      <w:r w:rsidRPr="00AC2243">
        <w:drawing>
          <wp:inline distT="0" distB="0" distL="0" distR="0" wp14:anchorId="4F58F826" wp14:editId="3FC6CA46">
            <wp:extent cx="5943600" cy="3762375"/>
            <wp:effectExtent l="0" t="0" r="0" b="0"/>
            <wp:docPr id="144402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978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Catálogo de vacunas: Lista completa de vacunas monitoreadas.</w:t>
      </w:r>
    </w:p>
    <w:p w14:paraId="2E99BC4A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Perfil de seguridad: Eventos más frecuentes por tipo de vacuna.</w:t>
      </w:r>
    </w:p>
    <w:p w14:paraId="5AD921F9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Comparativas: Análisis comparativo entre diferentes vacunas.</w:t>
      </w:r>
    </w:p>
    <w:p w14:paraId="56F9250C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Tasas de notificación: Cálculo de tasas por dosis administradas.</w:t>
      </w:r>
    </w:p>
    <w:p w14:paraId="2F0F242A" w14:textId="77777777" w:rsidR="009241EA" w:rsidRPr="005B5536" w:rsidRDefault="00000000" w:rsidP="005B5536">
      <w:pPr>
        <w:pStyle w:val="Ttulo3"/>
        <w:rPr>
          <w:color w:val="auto"/>
        </w:rPr>
      </w:pPr>
      <w:bookmarkStart w:id="18" w:name="_Toc220055100"/>
      <w:r w:rsidRPr="005B5536">
        <w:rPr>
          <w:color w:val="auto"/>
        </w:rPr>
        <w:t>5.2.5 Análisis por Eventos</w:t>
      </w:r>
      <w:bookmarkEnd w:id="18"/>
    </w:p>
    <w:p w14:paraId="72EB1AD3" w14:textId="77777777" w:rsidR="009241EA" w:rsidRDefault="00000000" w:rsidP="005B5536">
      <w:pPr>
        <w:spacing w:before="200" w:after="200"/>
      </w:pPr>
      <w:r w:rsidRPr="005B5536">
        <w:t>El análisis por eventos se enfoca en la caracterización de los eventos adversos reportados:</w:t>
      </w:r>
    </w:p>
    <w:p w14:paraId="764AB6E2" w14:textId="0BD41891" w:rsidR="00AC2243" w:rsidRPr="005B5536" w:rsidRDefault="00AC2243" w:rsidP="005B5536">
      <w:pPr>
        <w:spacing w:before="200" w:after="200"/>
      </w:pPr>
      <w:r w:rsidRPr="00AC2243">
        <w:lastRenderedPageBreak/>
        <w:drawing>
          <wp:inline distT="0" distB="0" distL="0" distR="0" wp14:anchorId="62BF3476" wp14:editId="0227B61D">
            <wp:extent cx="5943600" cy="3749675"/>
            <wp:effectExtent l="0" t="0" r="0" b="0"/>
            <wp:docPr id="167417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FA00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Clasificación MedDRA: Agrupación de eventos según terminología estandarizada.</w:t>
      </w:r>
    </w:p>
    <w:p w14:paraId="4933BAA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Severidad: Distribución de eventos por nivel de gravedad.</w:t>
      </w:r>
    </w:p>
    <w:p w14:paraId="608D4F2B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Desenlaces: Análisis de resultados finales de los eventos.</w:t>
      </w:r>
    </w:p>
    <w:p w14:paraId="28231A09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Tiempo de latencia: Distribución del tiempo entre vacunación y evento.</w:t>
      </w:r>
    </w:p>
    <w:p w14:paraId="65AA96F2" w14:textId="46E2AC1F" w:rsidR="009241EA" w:rsidRDefault="00000000" w:rsidP="00AC2243">
      <w:pPr>
        <w:pStyle w:val="Ttulo3"/>
        <w:tabs>
          <w:tab w:val="center" w:pos="4680"/>
          <w:tab w:val="left" w:pos="5118"/>
        </w:tabs>
        <w:rPr>
          <w:color w:val="auto"/>
        </w:rPr>
      </w:pPr>
      <w:bookmarkStart w:id="19" w:name="_Toc220055101"/>
      <w:r w:rsidRPr="005B5536">
        <w:rPr>
          <w:color w:val="auto"/>
        </w:rPr>
        <w:t>5.2.6 Detección de Señales</w:t>
      </w:r>
      <w:bookmarkEnd w:id="19"/>
      <w:r w:rsidR="00AC2243">
        <w:rPr>
          <w:color w:val="auto"/>
        </w:rPr>
        <w:tab/>
      </w:r>
      <w:r w:rsidR="00AC2243">
        <w:rPr>
          <w:color w:val="auto"/>
        </w:rPr>
        <w:tab/>
      </w:r>
    </w:p>
    <w:p w14:paraId="60DE67B9" w14:textId="3326F73A" w:rsidR="00AC2243" w:rsidRPr="005B5536" w:rsidRDefault="00AC2243" w:rsidP="00AC2243">
      <w:pPr>
        <w:pStyle w:val="Ttulo3"/>
        <w:tabs>
          <w:tab w:val="center" w:pos="4680"/>
          <w:tab w:val="left" w:pos="5118"/>
        </w:tabs>
        <w:rPr>
          <w:color w:val="auto"/>
        </w:rPr>
      </w:pPr>
      <w:r w:rsidRPr="00AC2243">
        <w:rPr>
          <w:color w:val="auto"/>
        </w:rPr>
        <w:drawing>
          <wp:inline distT="0" distB="0" distL="0" distR="0" wp14:anchorId="78E7405D" wp14:editId="629D72B5">
            <wp:extent cx="5943600" cy="1946275"/>
            <wp:effectExtent l="0" t="0" r="0" b="0"/>
            <wp:docPr id="12560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D49" w14:textId="77777777" w:rsidR="009241EA" w:rsidRPr="005B5536" w:rsidRDefault="00000000" w:rsidP="005B5536">
      <w:pPr>
        <w:spacing w:before="200" w:after="200"/>
      </w:pPr>
      <w:r w:rsidRPr="005B5536">
        <w:t>El sistema implementa algoritmos para la detección temprana de señales de seguridad:</w:t>
      </w:r>
    </w:p>
    <w:p w14:paraId="769DAE85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Análisis de desproporcionalidad: PRR (Proportional Reporting Ratio) y ROR (Reporting Odds Ratio).</w:t>
      </w:r>
    </w:p>
    <w:p w14:paraId="1A3D1ED4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Detección de clusters: Identificación de agrupaciones inusuales de eventos.</w:t>
      </w:r>
    </w:p>
    <w:p w14:paraId="35D45DE5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lastRenderedPageBreak/>
        <w:t>Alertas automáticas: Notificación de señales que superan umbrales predefinidos.</w:t>
      </w:r>
    </w:p>
    <w:p w14:paraId="2F22DA7B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Historial de señales: Registro y seguimiento de señales detectadas.</w:t>
      </w:r>
    </w:p>
    <w:p w14:paraId="672474AD" w14:textId="77777777" w:rsidR="009241EA" w:rsidRPr="005B5536" w:rsidRDefault="00000000" w:rsidP="005B5536">
      <w:r w:rsidRPr="005B5536">
        <w:br w:type="page"/>
      </w:r>
    </w:p>
    <w:p w14:paraId="7C9D0270" w14:textId="77777777" w:rsidR="009241EA" w:rsidRPr="005B5536" w:rsidRDefault="00000000" w:rsidP="005B5536">
      <w:pPr>
        <w:pStyle w:val="Ttulo2"/>
        <w:rPr>
          <w:color w:val="auto"/>
        </w:rPr>
      </w:pPr>
      <w:bookmarkStart w:id="20" w:name="_Toc220055102"/>
      <w:r w:rsidRPr="005B5536">
        <w:rPr>
          <w:color w:val="auto"/>
        </w:rPr>
        <w:lastRenderedPageBreak/>
        <w:t>5.3 Funcionalidades Asíncronas</w:t>
      </w:r>
      <w:bookmarkEnd w:id="20"/>
    </w:p>
    <w:p w14:paraId="2E736A9D" w14:textId="77777777" w:rsidR="009241EA" w:rsidRDefault="00000000" w:rsidP="005B5536">
      <w:pPr>
        <w:spacing w:before="200" w:after="200"/>
      </w:pPr>
      <w:r w:rsidRPr="005B5536">
        <w:t>El sistema IntegraESAVI cuenta con un conjunto de procesos automatizados que se ejecutan de forma asíncrona para mantener los datos actualizados y sincronizados con las fuentes externas.</w:t>
      </w:r>
    </w:p>
    <w:p w14:paraId="24BA4991" w14:textId="0BE45C3B" w:rsidR="00AC2243" w:rsidRPr="005B5536" w:rsidRDefault="00AC2243" w:rsidP="005B5536">
      <w:pPr>
        <w:spacing w:before="200" w:after="200"/>
      </w:pPr>
      <w:r w:rsidRPr="00AC2243">
        <w:drawing>
          <wp:inline distT="0" distB="0" distL="0" distR="0" wp14:anchorId="52B3072C" wp14:editId="553BEAB1">
            <wp:extent cx="5943600" cy="2562225"/>
            <wp:effectExtent l="0" t="0" r="0" b="3175"/>
            <wp:docPr id="94123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9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07B" w14:textId="77777777" w:rsidR="009241EA" w:rsidRPr="005B5536" w:rsidRDefault="00000000" w:rsidP="005B5536">
      <w:pPr>
        <w:pStyle w:val="Ttulo3"/>
        <w:rPr>
          <w:color w:val="auto"/>
        </w:rPr>
      </w:pPr>
      <w:bookmarkStart w:id="21" w:name="_Toc220055103"/>
      <w:r w:rsidRPr="005B5536">
        <w:rPr>
          <w:color w:val="auto"/>
        </w:rPr>
        <w:t>5.3.1 Sincronización de Vacunas</w:t>
      </w:r>
      <w:bookmarkEnd w:id="21"/>
    </w:p>
    <w:p w14:paraId="21298130" w14:textId="77777777" w:rsidR="009241EA" w:rsidRPr="005B5536" w:rsidRDefault="00000000" w:rsidP="005B5536">
      <w:pPr>
        <w:spacing w:before="200" w:after="200"/>
      </w:pPr>
      <w:r w:rsidRPr="005B5536">
        <w:t>Este proceso automatizado mantiene actualizado el catálogo de vacunas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5B5536" w:rsidRPr="005B5536" w14:paraId="7297B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D23F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A37C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B5536" w:rsidRPr="005B5536" w14:paraId="2DE14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216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2B2E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Cron de Node.js</w:t>
            </w:r>
          </w:p>
        </w:tc>
      </w:tr>
      <w:tr w:rsidR="005B5536" w:rsidRPr="005B5536" w14:paraId="0A04D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B9C5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Frecuencia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8CD6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Una vez al día</w:t>
            </w:r>
          </w:p>
        </w:tc>
      </w:tr>
      <w:tr w:rsidR="005B5536" w:rsidRPr="005B5536" w14:paraId="295F5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1392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Momento de ejecución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BD26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Durante la madrugada (horario de menor carga)</w:t>
            </w:r>
          </w:p>
        </w:tc>
      </w:tr>
      <w:tr w:rsidR="005B5536" w:rsidRPr="005B5536" w14:paraId="207A8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339B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Fuente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A0B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Sistemas externos de registro de vacunas</w:t>
            </w:r>
          </w:p>
        </w:tc>
      </w:tr>
      <w:tr w:rsidR="005B5536" w:rsidRPr="005B5536" w14:paraId="7C3A8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079F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Datos obtenidos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225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Vacunas administradas el día anterior</w:t>
            </w:r>
          </w:p>
        </w:tc>
      </w:tr>
    </w:tbl>
    <w:p w14:paraId="6BE7D655" w14:textId="77777777" w:rsidR="009241EA" w:rsidRPr="005B5536" w:rsidRDefault="00000000" w:rsidP="005B5536">
      <w:pPr>
        <w:spacing w:before="200" w:after="200"/>
      </w:pPr>
      <w:r w:rsidRPr="005B5536">
        <w:rPr>
          <w:b/>
          <w:bCs/>
        </w:rPr>
        <w:t>Funcionamiento:</w:t>
      </w:r>
    </w:p>
    <w:p w14:paraId="38167A55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El cron job se activa automáticamente según la programación establecida.</w:t>
      </w:r>
    </w:p>
    <w:p w14:paraId="515FE7AB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establece conexión con la API de la fuente de datos.</w:t>
      </w:r>
    </w:p>
    <w:p w14:paraId="67476E53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consultan los registros de vacunación del día anterior.</w:t>
      </w:r>
    </w:p>
    <w:p w14:paraId="3A6052E0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Los datos se procesan y validan antes de su almacenamiento.</w:t>
      </w:r>
    </w:p>
    <w:p w14:paraId="1C58245C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actualiza la base de datos local con la nueva información.</w:t>
      </w:r>
    </w:p>
    <w:p w14:paraId="7C778DBF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genera un log de la operación para auditoría.</w:t>
      </w:r>
    </w:p>
    <w:p w14:paraId="1185DEA9" w14:textId="77777777" w:rsidR="009241EA" w:rsidRPr="005B5536" w:rsidRDefault="00000000" w:rsidP="005B5536">
      <w:pPr>
        <w:pStyle w:val="Ttulo3"/>
        <w:rPr>
          <w:color w:val="auto"/>
        </w:rPr>
      </w:pPr>
      <w:bookmarkStart w:id="22" w:name="_Toc220055104"/>
      <w:r w:rsidRPr="005B5536">
        <w:rPr>
          <w:color w:val="auto"/>
        </w:rPr>
        <w:t>5.3.2 Sincronización de Datos con el Tablero</w:t>
      </w:r>
      <w:bookmarkEnd w:id="22"/>
    </w:p>
    <w:p w14:paraId="57BBC00D" w14:textId="77777777" w:rsidR="009241EA" w:rsidRPr="005B5536" w:rsidRDefault="00000000" w:rsidP="005B5536">
      <w:pPr>
        <w:spacing w:before="200" w:after="200"/>
      </w:pPr>
      <w:r w:rsidRPr="005B5536">
        <w:t>Este proceso actualiza los datos que alimentan los dashboards y visualizaciones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5B5536" w:rsidRPr="005B5536" w14:paraId="68030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9793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lastRenderedPageBreak/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CEF9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B5536" w:rsidRPr="005B5536" w14:paraId="52374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883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AB8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Script Bash</w:t>
            </w:r>
          </w:p>
        </w:tc>
      </w:tr>
      <w:tr w:rsidR="005B5536" w:rsidRPr="005B5536" w14:paraId="794E0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191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Frecuencia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50C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Cada hora</w:t>
            </w:r>
          </w:p>
        </w:tc>
      </w:tr>
      <w:tr w:rsidR="005B5536" w:rsidRPr="005B5536" w14:paraId="446DD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3127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Salida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751E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Archivos RES (archivos de resultados)</w:t>
            </w:r>
          </w:p>
        </w:tc>
      </w:tr>
      <w:tr w:rsidR="005B5536" w:rsidRPr="005B5536" w14:paraId="114AC0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25E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Ubicación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EBE1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Directorio de datos del tablero</w:t>
            </w:r>
          </w:p>
        </w:tc>
      </w:tr>
    </w:tbl>
    <w:p w14:paraId="7BCC8234" w14:textId="77777777" w:rsidR="009241EA" w:rsidRPr="005B5536" w:rsidRDefault="00000000" w:rsidP="005B5536">
      <w:pPr>
        <w:spacing w:before="200" w:after="200"/>
      </w:pPr>
      <w:r w:rsidRPr="005B5536">
        <w:rPr>
          <w:b/>
          <w:bCs/>
        </w:rPr>
        <w:t>Funcionamiento:</w:t>
      </w:r>
    </w:p>
    <w:p w14:paraId="6FABFB0D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El script bash se ejecuta cada hora mediante crontab del sistema operativo.</w:t>
      </w:r>
    </w:p>
    <w:p w14:paraId="33CB0CCC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consultan las fuentes de datos para obtener la información más reciente.</w:t>
      </w:r>
    </w:p>
    <w:p w14:paraId="0FB6B751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Los datos se procesan y transforman según las necesidades del tablero.</w:t>
      </w:r>
    </w:p>
    <w:p w14:paraId="6FA363A8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Se generan nuevos archivos RES con los datos actualizados.</w:t>
      </w:r>
    </w:p>
    <w:p w14:paraId="6A331DF0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Los archivos antiguos se archivan para respaldo.</w:t>
      </w:r>
    </w:p>
    <w:p w14:paraId="46106E68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El tablero detecta automáticamente los nuevos archivos y actualiza la visualización.</w:t>
      </w:r>
    </w:p>
    <w:p w14:paraId="7F686D09" w14:textId="77777777" w:rsidR="009241EA" w:rsidRPr="005B5536" w:rsidRDefault="00000000" w:rsidP="005B5536">
      <w:pPr>
        <w:pStyle w:val="Ttulo3"/>
        <w:rPr>
          <w:color w:val="auto"/>
        </w:rPr>
      </w:pPr>
      <w:bookmarkStart w:id="23" w:name="_Toc220055105"/>
      <w:r w:rsidRPr="005B5536">
        <w:rPr>
          <w:color w:val="auto"/>
        </w:rPr>
        <w:t>5.3.3 Sincronización de Estándares</w:t>
      </w:r>
      <w:bookmarkEnd w:id="23"/>
    </w:p>
    <w:p w14:paraId="642BE9A1" w14:textId="77777777" w:rsidR="009241EA" w:rsidRPr="005B5536" w:rsidRDefault="00000000" w:rsidP="005B5536">
      <w:pPr>
        <w:spacing w:before="200" w:after="200"/>
      </w:pPr>
      <w:r w:rsidRPr="005B5536">
        <w:t>Este proceso mantiene actualizados los diccionarios y estándares internacionales utilizados por 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5B5536" w:rsidRPr="005B5536" w14:paraId="0F4BF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ACF8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53A6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B5536" w:rsidRPr="005B5536" w14:paraId="1AD2B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FD24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4B7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Cron de Node.js</w:t>
            </w:r>
          </w:p>
        </w:tc>
      </w:tr>
      <w:tr w:rsidR="005B5536" w:rsidRPr="005B5536" w14:paraId="7AD78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536F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Estándares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853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WHODrug y MedDRA</w:t>
            </w:r>
          </w:p>
        </w:tc>
      </w:tr>
      <w:tr w:rsidR="005B5536" w:rsidRPr="005B5536" w14:paraId="549AC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3696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Fuente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EA63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Repositorios oficiales de UMC e ICH</w:t>
            </w:r>
          </w:p>
        </w:tc>
      </w:tr>
    </w:tbl>
    <w:p w14:paraId="50B4BA33" w14:textId="77777777" w:rsidR="009241EA" w:rsidRPr="005B5536" w:rsidRDefault="00000000" w:rsidP="005B5536">
      <w:pPr>
        <w:pStyle w:val="Ttulo3"/>
        <w:rPr>
          <w:color w:val="auto"/>
        </w:rPr>
      </w:pPr>
      <w:bookmarkStart w:id="24" w:name="_Toc220055106"/>
      <w:r w:rsidRPr="005B5536">
        <w:rPr>
          <w:color w:val="auto"/>
        </w:rPr>
        <w:t>5.3.4 Sincronización MedDRA</w:t>
      </w:r>
      <w:bookmarkEnd w:id="24"/>
    </w:p>
    <w:p w14:paraId="405829C4" w14:textId="77777777" w:rsidR="009241EA" w:rsidRPr="005B5536" w:rsidRDefault="00000000" w:rsidP="005B5536">
      <w:pPr>
        <w:spacing w:before="200" w:after="200"/>
      </w:pPr>
      <w:r w:rsidRPr="005B5536">
        <w:t>MedDRA (Medical Dictionary for Regulatory Activities) es el estándar internacional para la terminología médica utilizada en el registro y análisis de eventos adversos.</w:t>
      </w:r>
    </w:p>
    <w:p w14:paraId="11472BFB" w14:textId="77777777" w:rsidR="009241EA" w:rsidRPr="005B5536" w:rsidRDefault="00000000" w:rsidP="005B5536">
      <w:pPr>
        <w:spacing w:before="200" w:after="200"/>
      </w:pPr>
      <w:r w:rsidRPr="005B5536">
        <w:rPr>
          <w:b/>
          <w:bCs/>
        </w:rPr>
        <w:t>Características de la sincronización:</w:t>
      </w:r>
    </w:p>
    <w:p w14:paraId="726F059C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Actualización periódica según las nuevas versiones publicadas por ICH (International Council for Harmonisation).</w:t>
      </w:r>
    </w:p>
    <w:p w14:paraId="2837322D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Sincronización de todos los niveles jerárquicos: SOC, HLGT, HLT, PT y LLT.</w:t>
      </w:r>
    </w:p>
    <w:p w14:paraId="688CAF9A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Mapeo de términos obsoletos a sus reemplazos actuales.</w:t>
      </w:r>
    </w:p>
    <w:p w14:paraId="78399D2E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Validación de integridad de datos antes de la actualización.</w:t>
      </w:r>
    </w:p>
    <w:p w14:paraId="554FDFAD" w14:textId="77777777" w:rsidR="009241EA" w:rsidRPr="005B5536" w:rsidRDefault="00000000" w:rsidP="005B5536">
      <w:pPr>
        <w:pStyle w:val="Ttulo3"/>
        <w:rPr>
          <w:color w:val="auto"/>
        </w:rPr>
      </w:pPr>
      <w:bookmarkStart w:id="25" w:name="_Toc220055107"/>
      <w:r w:rsidRPr="005B5536">
        <w:rPr>
          <w:color w:val="auto"/>
        </w:rPr>
        <w:t>5.3.5 Sincronización WHODrug</w:t>
      </w:r>
      <w:bookmarkEnd w:id="25"/>
    </w:p>
    <w:p w14:paraId="7444D453" w14:textId="77777777" w:rsidR="009241EA" w:rsidRPr="005B5536" w:rsidRDefault="00000000" w:rsidP="005B5536">
      <w:pPr>
        <w:spacing w:before="200" w:after="200"/>
      </w:pPr>
      <w:r w:rsidRPr="005B5536">
        <w:t>WHODrug es el diccionario global de medicamentos que permite la codificación estandarizada de productos farmacéuticos, incluyendo vacunas.</w:t>
      </w:r>
    </w:p>
    <w:p w14:paraId="0F926440" w14:textId="77777777" w:rsidR="009241EA" w:rsidRPr="005B5536" w:rsidRDefault="00000000" w:rsidP="005B5536">
      <w:pPr>
        <w:spacing w:before="200" w:after="200"/>
      </w:pPr>
      <w:r w:rsidRPr="005B5536">
        <w:rPr>
          <w:b/>
          <w:bCs/>
        </w:rPr>
        <w:t>Características de la sincronización:</w:t>
      </w:r>
    </w:p>
    <w:p w14:paraId="7E1C9488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lastRenderedPageBreak/>
        <w:t>Descarga de actualizaciones del diccionario desde el Uppsala Monitoring Centre.</w:t>
      </w:r>
    </w:p>
    <w:p w14:paraId="297B28D5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Procesamiento de nuevos códigos de medicamentos y vacunas.</w:t>
      </w:r>
    </w:p>
    <w:p w14:paraId="74DA3DC8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Actualización de relaciones entre ingredientes activos y productos.</w:t>
      </w:r>
    </w:p>
    <w:p w14:paraId="738109A7" w14:textId="77777777" w:rsidR="009241EA" w:rsidRPr="005B5536" w:rsidRDefault="00000000" w:rsidP="005B5536">
      <w:pPr>
        <w:pStyle w:val="Prrafodelista"/>
        <w:numPr>
          <w:ilvl w:val="0"/>
          <w:numId w:val="2"/>
        </w:numPr>
      </w:pPr>
      <w:r w:rsidRPr="005B5536">
        <w:t>Mantenimiento de histórico de versiones para trazabilidad.</w:t>
      </w:r>
    </w:p>
    <w:p w14:paraId="385C505E" w14:textId="77777777" w:rsidR="009241EA" w:rsidRPr="005B5536" w:rsidRDefault="00000000" w:rsidP="005B5536">
      <w:r w:rsidRPr="005B5536">
        <w:br w:type="page"/>
      </w:r>
    </w:p>
    <w:p w14:paraId="4883F400" w14:textId="77777777" w:rsidR="009241EA" w:rsidRPr="005B5536" w:rsidRDefault="00000000" w:rsidP="005B5536">
      <w:pPr>
        <w:pStyle w:val="Ttulo1"/>
        <w:rPr>
          <w:color w:val="auto"/>
        </w:rPr>
      </w:pPr>
      <w:bookmarkStart w:id="26" w:name="_Toc220055108"/>
      <w:r w:rsidRPr="005B5536">
        <w:rPr>
          <w:color w:val="auto"/>
        </w:rPr>
        <w:lastRenderedPageBreak/>
        <w:t>6. Arquitectura Técnica</w:t>
      </w:r>
      <w:bookmarkEnd w:id="26"/>
    </w:p>
    <w:p w14:paraId="09347347" w14:textId="77777777" w:rsidR="009241EA" w:rsidRPr="005B5536" w:rsidRDefault="00000000" w:rsidP="005B5536">
      <w:pPr>
        <w:spacing w:before="200" w:after="200"/>
      </w:pPr>
      <w:r w:rsidRPr="005B5536">
        <w:t>IntegraESAVI está construido sobre una arquitectura modular basada en Node.js que permite escalabilidad y mantenibilidad del sistema.</w:t>
      </w:r>
    </w:p>
    <w:p w14:paraId="3C372503" w14:textId="77777777" w:rsidR="009241EA" w:rsidRPr="005B5536" w:rsidRDefault="00000000" w:rsidP="005B5536">
      <w:pPr>
        <w:pStyle w:val="Ttulo2"/>
        <w:rPr>
          <w:color w:val="auto"/>
        </w:rPr>
      </w:pPr>
      <w:bookmarkStart w:id="27" w:name="_Toc220055109"/>
      <w:r w:rsidRPr="005B5536">
        <w:rPr>
          <w:color w:val="auto"/>
        </w:rPr>
        <w:t>6.1 Stack Tecnológico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5B5536" w:rsidRPr="005B5536" w14:paraId="6A99E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C31A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7C37" w14:textId="77777777" w:rsidR="009241EA" w:rsidRPr="005B5536" w:rsidRDefault="00000000" w:rsidP="005B5536">
            <w:pPr>
              <w:jc w:val="center"/>
            </w:pPr>
            <w:r w:rsidRPr="005B5536">
              <w:rPr>
                <w:b/>
                <w:bCs/>
                <w:sz w:val="22"/>
                <w:szCs w:val="22"/>
              </w:rPr>
              <w:t>Tecnología</w:t>
            </w:r>
          </w:p>
        </w:tc>
      </w:tr>
      <w:tr w:rsidR="005B5536" w:rsidRPr="005B5536" w14:paraId="54641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7F3E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437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Node.js</w:t>
            </w:r>
          </w:p>
        </w:tc>
      </w:tr>
      <w:tr w:rsidR="005B5536" w:rsidRPr="005B5536" w14:paraId="3AE03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BB95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FDE0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Compatible con sistemas relacionales</w:t>
            </w:r>
          </w:p>
        </w:tc>
      </w:tr>
      <w:tr w:rsidR="005B5536" w:rsidRPr="005B5536" w14:paraId="510F9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BAF8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Automatización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884C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Cron jobs (Node.js y sistema operativo)</w:t>
            </w:r>
          </w:p>
        </w:tc>
      </w:tr>
      <w:tr w:rsidR="005B5536" w:rsidRPr="005B5536" w14:paraId="1C16C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706D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Scripts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DC5D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Bash para tareas del sistema</w:t>
            </w:r>
          </w:p>
        </w:tc>
      </w:tr>
      <w:tr w:rsidR="005B5536" w:rsidRPr="005B5536" w14:paraId="11424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B64C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APIs Externas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407A" w14:textId="77777777" w:rsidR="009241EA" w:rsidRPr="005B5536" w:rsidRDefault="00000000" w:rsidP="005B5536">
            <w:r w:rsidRPr="005B5536">
              <w:rPr>
                <w:sz w:val="22"/>
                <w:szCs w:val="22"/>
              </w:rPr>
              <w:t>VigiFlow API, DHIS2 API</w:t>
            </w:r>
          </w:p>
        </w:tc>
      </w:tr>
    </w:tbl>
    <w:p w14:paraId="37445887" w14:textId="77777777" w:rsidR="009241EA" w:rsidRPr="005B5536" w:rsidRDefault="00000000" w:rsidP="005B5536">
      <w:pPr>
        <w:pStyle w:val="Ttulo2"/>
        <w:rPr>
          <w:color w:val="auto"/>
        </w:rPr>
      </w:pPr>
      <w:bookmarkStart w:id="28" w:name="_Toc220055110"/>
      <w:r w:rsidRPr="005B5536">
        <w:rPr>
          <w:color w:val="auto"/>
        </w:rPr>
        <w:t>6.2 Flujo de Datos</w:t>
      </w:r>
      <w:bookmarkEnd w:id="28"/>
    </w:p>
    <w:p w14:paraId="540513D9" w14:textId="77777777" w:rsidR="009241EA" w:rsidRPr="005B5536" w:rsidRDefault="00000000" w:rsidP="005B5536">
      <w:pPr>
        <w:spacing w:before="200" w:after="200"/>
      </w:pPr>
      <w:r w:rsidRPr="005B5536">
        <w:t>El flujo de datos en el sistema sigue el siguiente patrón:</w:t>
      </w:r>
    </w:p>
    <w:p w14:paraId="61D75FBF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Extracción: Los datos se obtienen de VigiFlow y DHIS2 mediante sus respectivas APIs.</w:t>
      </w:r>
    </w:p>
    <w:p w14:paraId="1E80FC27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Transformación: Los datos se normalizan y validan según las reglas de calidad establecidas.</w:t>
      </w:r>
    </w:p>
    <w:p w14:paraId="55562EDF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Carga: Los datos procesados se almacenan en la base de datos unificada.</w:t>
      </w:r>
    </w:p>
    <w:p w14:paraId="6650FE85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Análisis: Los módulos de análisis procesan los datos para generar indicadores y visualizaciones.</w:t>
      </w:r>
    </w:p>
    <w:p w14:paraId="4C412888" w14:textId="77777777" w:rsidR="009241EA" w:rsidRPr="005B5536" w:rsidRDefault="00000000" w:rsidP="005B5536">
      <w:pPr>
        <w:pStyle w:val="Prrafodelista"/>
        <w:numPr>
          <w:ilvl w:val="0"/>
          <w:numId w:val="3"/>
        </w:numPr>
      </w:pPr>
      <w:r w:rsidRPr="005B5536">
        <w:t>Presentación: Los resultados se muestran en las interfaces de usuario del sistema.</w:t>
      </w:r>
    </w:p>
    <w:p w14:paraId="7ABCB8AD" w14:textId="77777777" w:rsidR="009241EA" w:rsidRPr="005B5536" w:rsidRDefault="00000000" w:rsidP="005B5536">
      <w:r w:rsidRPr="005B5536">
        <w:br w:type="page"/>
      </w:r>
    </w:p>
    <w:p w14:paraId="3505CBCB" w14:textId="77777777" w:rsidR="009241EA" w:rsidRPr="005B5536" w:rsidRDefault="00000000" w:rsidP="005B5536">
      <w:pPr>
        <w:pStyle w:val="Ttulo1"/>
        <w:rPr>
          <w:color w:val="auto"/>
        </w:rPr>
      </w:pPr>
      <w:bookmarkStart w:id="29" w:name="_Toc220055111"/>
      <w:r w:rsidRPr="005B5536">
        <w:rPr>
          <w:color w:val="auto"/>
        </w:rPr>
        <w:lastRenderedPageBreak/>
        <w:t>7. Consideraciones Finales</w:t>
      </w:r>
      <w:bookmarkEnd w:id="29"/>
    </w:p>
    <w:p w14:paraId="3A6809D5" w14:textId="77777777" w:rsidR="009241EA" w:rsidRPr="005B5536" w:rsidRDefault="00000000" w:rsidP="005B5536">
      <w:pPr>
        <w:spacing w:before="200" w:after="200"/>
      </w:pPr>
      <w:r w:rsidRPr="005B5536">
        <w:t>El sistema IntegraESAVI representa una herramienta fundamental para la vigilancia de la seguridad de las vacunas en Ecuador. Los módulos de Análisis de Calidad de Datos y Análisis de Datos, junto con las funcionalidades asíncronas de sincronización, permiten mantener una base de información confiable y actualizada para la toma de decisiones en salud pública.</w:t>
      </w:r>
    </w:p>
    <w:p w14:paraId="444DF71C" w14:textId="77777777" w:rsidR="009241EA" w:rsidRPr="005B5536" w:rsidRDefault="00000000" w:rsidP="005B5536">
      <w:pPr>
        <w:spacing w:before="200" w:after="200"/>
      </w:pPr>
      <w:r w:rsidRPr="005B5536">
        <w:t>Para consultas técnicas o soporte relacionado con este sistema, contactar al equipo de desarrollo del Ministerio de Salud Pública del Ecuador.</w:t>
      </w:r>
    </w:p>
    <w:sectPr w:rsidR="009241EA" w:rsidRPr="005B553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86CD" w14:textId="77777777" w:rsidR="003F27C0" w:rsidRDefault="003F27C0">
      <w:r>
        <w:separator/>
      </w:r>
    </w:p>
  </w:endnote>
  <w:endnote w:type="continuationSeparator" w:id="0">
    <w:p w14:paraId="73DA12ED" w14:textId="77777777" w:rsidR="003F27C0" w:rsidRDefault="003F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04B5" w14:textId="77777777" w:rsidR="009241EA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947F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947F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F8E69" w14:textId="77777777" w:rsidR="003F27C0" w:rsidRDefault="003F27C0">
      <w:r>
        <w:separator/>
      </w:r>
    </w:p>
  </w:footnote>
  <w:footnote w:type="continuationSeparator" w:id="0">
    <w:p w14:paraId="70A411E8" w14:textId="77777777" w:rsidR="003F27C0" w:rsidRDefault="003F2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0B98" w14:textId="77777777" w:rsidR="009241EA" w:rsidRDefault="00000000">
    <w:pPr>
      <w:jc w:val="right"/>
    </w:pPr>
    <w:r>
      <w:rPr>
        <w:color w:val="777777"/>
        <w:sz w:val="20"/>
        <w:szCs w:val="20"/>
      </w:rPr>
      <w:t>Manual Técnico - IntegraESAVI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710C"/>
    <w:multiLevelType w:val="hybridMultilevel"/>
    <w:tmpl w:val="5770DC40"/>
    <w:lvl w:ilvl="0" w:tplc="0ADACF08">
      <w:start w:val="1"/>
      <w:numFmt w:val="bullet"/>
      <w:lvlText w:val="•"/>
      <w:lvlJc w:val="left"/>
      <w:pPr>
        <w:ind w:left="720" w:hanging="360"/>
      </w:pPr>
    </w:lvl>
    <w:lvl w:ilvl="1" w:tplc="F822EC12">
      <w:start w:val="1"/>
      <w:numFmt w:val="bullet"/>
      <w:lvlText w:val="◦"/>
      <w:lvlJc w:val="left"/>
      <w:pPr>
        <w:ind w:left="1440" w:hanging="360"/>
      </w:pPr>
    </w:lvl>
    <w:lvl w:ilvl="2" w:tplc="08028BCE">
      <w:numFmt w:val="decimal"/>
      <w:lvlText w:val=""/>
      <w:lvlJc w:val="left"/>
    </w:lvl>
    <w:lvl w:ilvl="3" w:tplc="EEFAB3CE">
      <w:numFmt w:val="decimal"/>
      <w:lvlText w:val=""/>
      <w:lvlJc w:val="left"/>
    </w:lvl>
    <w:lvl w:ilvl="4" w:tplc="520897BC">
      <w:numFmt w:val="decimal"/>
      <w:lvlText w:val=""/>
      <w:lvlJc w:val="left"/>
    </w:lvl>
    <w:lvl w:ilvl="5" w:tplc="B4B643A8">
      <w:numFmt w:val="decimal"/>
      <w:lvlText w:val=""/>
      <w:lvlJc w:val="left"/>
    </w:lvl>
    <w:lvl w:ilvl="6" w:tplc="F1C81D00">
      <w:numFmt w:val="decimal"/>
      <w:lvlText w:val=""/>
      <w:lvlJc w:val="left"/>
    </w:lvl>
    <w:lvl w:ilvl="7" w:tplc="F1C812C2">
      <w:numFmt w:val="decimal"/>
      <w:lvlText w:val=""/>
      <w:lvlJc w:val="left"/>
    </w:lvl>
    <w:lvl w:ilvl="8" w:tplc="EF46DF66">
      <w:numFmt w:val="decimal"/>
      <w:lvlText w:val=""/>
      <w:lvlJc w:val="left"/>
    </w:lvl>
  </w:abstractNum>
  <w:abstractNum w:abstractNumId="1" w15:restartNumberingAfterBreak="0">
    <w:nsid w:val="3A4D6933"/>
    <w:multiLevelType w:val="hybridMultilevel"/>
    <w:tmpl w:val="13F62260"/>
    <w:lvl w:ilvl="0" w:tplc="3AB45D82">
      <w:start w:val="1"/>
      <w:numFmt w:val="decimal"/>
      <w:lvlText w:val="%1."/>
      <w:lvlJc w:val="left"/>
      <w:pPr>
        <w:ind w:left="720" w:hanging="360"/>
      </w:pPr>
    </w:lvl>
    <w:lvl w:ilvl="1" w:tplc="C6A06932">
      <w:numFmt w:val="decimal"/>
      <w:lvlText w:val=""/>
      <w:lvlJc w:val="left"/>
    </w:lvl>
    <w:lvl w:ilvl="2" w:tplc="2488D34A">
      <w:numFmt w:val="decimal"/>
      <w:lvlText w:val=""/>
      <w:lvlJc w:val="left"/>
    </w:lvl>
    <w:lvl w:ilvl="3" w:tplc="5BDC63FE">
      <w:numFmt w:val="decimal"/>
      <w:lvlText w:val=""/>
      <w:lvlJc w:val="left"/>
    </w:lvl>
    <w:lvl w:ilvl="4" w:tplc="65D653FA">
      <w:numFmt w:val="decimal"/>
      <w:lvlText w:val=""/>
      <w:lvlJc w:val="left"/>
    </w:lvl>
    <w:lvl w:ilvl="5" w:tplc="2140FB48">
      <w:numFmt w:val="decimal"/>
      <w:lvlText w:val=""/>
      <w:lvlJc w:val="left"/>
    </w:lvl>
    <w:lvl w:ilvl="6" w:tplc="B464E004">
      <w:numFmt w:val="decimal"/>
      <w:lvlText w:val=""/>
      <w:lvlJc w:val="left"/>
    </w:lvl>
    <w:lvl w:ilvl="7" w:tplc="877C4810">
      <w:numFmt w:val="decimal"/>
      <w:lvlText w:val=""/>
      <w:lvlJc w:val="left"/>
    </w:lvl>
    <w:lvl w:ilvl="8" w:tplc="F1C835FC">
      <w:numFmt w:val="decimal"/>
      <w:lvlText w:val=""/>
      <w:lvlJc w:val="left"/>
    </w:lvl>
  </w:abstractNum>
  <w:abstractNum w:abstractNumId="2" w15:restartNumberingAfterBreak="0">
    <w:nsid w:val="61041FC0"/>
    <w:multiLevelType w:val="hybridMultilevel"/>
    <w:tmpl w:val="968E5426"/>
    <w:lvl w:ilvl="0" w:tplc="C90C6356">
      <w:start w:val="1"/>
      <w:numFmt w:val="bullet"/>
      <w:lvlText w:val="●"/>
      <w:lvlJc w:val="left"/>
      <w:pPr>
        <w:ind w:left="720" w:hanging="360"/>
      </w:pPr>
    </w:lvl>
    <w:lvl w:ilvl="1" w:tplc="3528BEE0">
      <w:start w:val="1"/>
      <w:numFmt w:val="bullet"/>
      <w:lvlText w:val="○"/>
      <w:lvlJc w:val="left"/>
      <w:pPr>
        <w:ind w:left="1440" w:hanging="360"/>
      </w:pPr>
    </w:lvl>
    <w:lvl w:ilvl="2" w:tplc="1FF8B0B2">
      <w:start w:val="1"/>
      <w:numFmt w:val="bullet"/>
      <w:lvlText w:val="■"/>
      <w:lvlJc w:val="left"/>
      <w:pPr>
        <w:ind w:left="2160" w:hanging="360"/>
      </w:pPr>
    </w:lvl>
    <w:lvl w:ilvl="3" w:tplc="348C298A">
      <w:start w:val="1"/>
      <w:numFmt w:val="bullet"/>
      <w:lvlText w:val="●"/>
      <w:lvlJc w:val="left"/>
      <w:pPr>
        <w:ind w:left="2880" w:hanging="360"/>
      </w:pPr>
    </w:lvl>
    <w:lvl w:ilvl="4" w:tplc="1D0CB802">
      <w:start w:val="1"/>
      <w:numFmt w:val="bullet"/>
      <w:lvlText w:val="○"/>
      <w:lvlJc w:val="left"/>
      <w:pPr>
        <w:ind w:left="3600" w:hanging="360"/>
      </w:pPr>
    </w:lvl>
    <w:lvl w:ilvl="5" w:tplc="C4EAEC56">
      <w:start w:val="1"/>
      <w:numFmt w:val="bullet"/>
      <w:lvlText w:val="■"/>
      <w:lvlJc w:val="left"/>
      <w:pPr>
        <w:ind w:left="4320" w:hanging="360"/>
      </w:pPr>
    </w:lvl>
    <w:lvl w:ilvl="6" w:tplc="5D88C614">
      <w:start w:val="1"/>
      <w:numFmt w:val="bullet"/>
      <w:lvlText w:val="●"/>
      <w:lvlJc w:val="left"/>
      <w:pPr>
        <w:ind w:left="5040" w:hanging="360"/>
      </w:pPr>
    </w:lvl>
    <w:lvl w:ilvl="7" w:tplc="9892C6E6">
      <w:start w:val="1"/>
      <w:numFmt w:val="bullet"/>
      <w:lvlText w:val="●"/>
      <w:lvlJc w:val="left"/>
      <w:pPr>
        <w:ind w:left="5760" w:hanging="360"/>
      </w:pPr>
    </w:lvl>
    <w:lvl w:ilvl="8" w:tplc="07FCA2DA">
      <w:start w:val="1"/>
      <w:numFmt w:val="bullet"/>
      <w:lvlText w:val="●"/>
      <w:lvlJc w:val="left"/>
      <w:pPr>
        <w:ind w:left="6480" w:hanging="360"/>
      </w:pPr>
    </w:lvl>
  </w:abstractNum>
  <w:num w:numId="1" w16cid:durableId="1443496388">
    <w:abstractNumId w:val="2"/>
    <w:lvlOverride w:ilvl="0">
      <w:startOverride w:val="1"/>
    </w:lvlOverride>
  </w:num>
  <w:num w:numId="2" w16cid:durableId="349377961">
    <w:abstractNumId w:val="0"/>
    <w:lvlOverride w:ilvl="0">
      <w:startOverride w:val="1"/>
    </w:lvlOverride>
  </w:num>
  <w:num w:numId="3" w16cid:durableId="1635911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1EA"/>
    <w:rsid w:val="002741F0"/>
    <w:rsid w:val="003F27C0"/>
    <w:rsid w:val="005B5536"/>
    <w:rsid w:val="006947FF"/>
    <w:rsid w:val="009241EA"/>
    <w:rsid w:val="00A239C6"/>
    <w:rsid w:val="00AC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0E614"/>
  <w15:docId w15:val="{9E1D4FB4-3FCA-EB47-BD9C-2CD8B6FF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498DB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947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47F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947FF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A239C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2311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Vinicio Casigña Parra</cp:lastModifiedBy>
  <cp:revision>4</cp:revision>
  <dcterms:created xsi:type="dcterms:W3CDTF">2026-01-23T14:57:00Z</dcterms:created>
  <dcterms:modified xsi:type="dcterms:W3CDTF">2026-01-23T15:20:00Z</dcterms:modified>
</cp:coreProperties>
</file>