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DE" w:rsidRDefault="002759DE" w:rsidP="002759DE">
      <w:pPr>
        <w:pStyle w:val="Nagwek1"/>
      </w:pPr>
      <w:r>
        <w:t>Korzenie mechanicyzmu</w:t>
      </w:r>
    </w:p>
    <w:p w:rsidR="00103DE0" w:rsidRDefault="004D36CE" w:rsidP="004D36CE">
      <w:pPr>
        <w:ind w:firstLine="708"/>
      </w:pPr>
      <w:r>
        <w:t>Pojmowanie organizmów i systemów biologicznych jako mechanizmów nie jest w żadnym wypadku nowym sposobem myślenia. Znaczny fragment historii nowożytnej biologii można interpretować jako historię poszukiwania mechanizmów i odkrywania ich sposobu działania</w:t>
      </w:r>
      <w:r>
        <w:rPr>
          <w:rStyle w:val="Odwoanieprzypisudolnego"/>
        </w:rPr>
        <w:footnoteReference w:id="1"/>
      </w:r>
      <w:r>
        <w:t xml:space="preserve">. Nie zmienia to faktu, że refleksja nad tym, </w:t>
      </w:r>
      <w:r w:rsidR="00120890">
        <w:rPr>
          <w:i/>
        </w:rPr>
        <w:t>na czym polega</w:t>
      </w:r>
      <w:r>
        <w:t xml:space="preserve"> myślenie o organizmach i systemach biologicznych jako o mechanizmach, stała się przedmiotem żywych debat w filozofii biologii ostatniego ćwierćwiecza. </w:t>
      </w:r>
    </w:p>
    <w:p w:rsidR="00B10AF4" w:rsidRDefault="00B10AF4" w:rsidP="008C008E">
      <w:pPr>
        <w:ind w:firstLine="708"/>
      </w:pPr>
      <w:r>
        <w:t>Warto zauważyć, że termin „mechanicyzm” i jemu pokrewne takie jak „filozofia mechaniczna” obciążone są pewną zasadniczą wadą. Wada ta polega na jego ekstensywnej eksploatacji w debatach historyczno-filozoficznych</w:t>
      </w:r>
      <w:r w:rsidR="0003134A">
        <w:rPr>
          <w:rStyle w:val="Odwoanieprzypisudolnego"/>
        </w:rPr>
        <w:footnoteReference w:id="2"/>
      </w:r>
      <w:r>
        <w:t>. Aby rozstrzygnąć kontrowersje narosłe wokół tego pojęcia należałoby starannie poprowadzić granice pomiędzy „mechanicyzmem” a „naturalizmem”, „materializmem”</w:t>
      </w:r>
      <w:r w:rsidR="008C008E">
        <w:t>, „atomizmem” i innymi stanowiskami których charakter może być metodologiczny, epistemologiczny albo metafizyczny. Należałoby też również odróżnić różne sensu mechanicyzmu – stanowisko to było rozumiane szeroko, jako całościowy program nowożytnej nauki, jak i wąsko – w odniesieniu do poszczególnych zjawisk</w:t>
      </w:r>
      <w:r w:rsidR="00673B32">
        <w:rPr>
          <w:rStyle w:val="Odwoanieprzypisudolnego"/>
        </w:rPr>
        <w:footnoteReference w:id="3"/>
      </w:r>
      <w:r w:rsidR="008C008E">
        <w:t xml:space="preserve">. Rozwiązanie wszystkich tych kwestii wymagałoby jednak osobnej rozprawy. Na użytek niniejszych rozważań </w:t>
      </w:r>
      <w:r w:rsidR="008C008E" w:rsidRPr="008C008E">
        <w:rPr>
          <w:i/>
        </w:rPr>
        <w:t>nie</w:t>
      </w:r>
      <w:r w:rsidR="008C008E">
        <w:t xml:space="preserve"> jest to niezbędne. Wystarczy świadomość tego, że nazwą tą ochrzczone mogą być przeróżne stanowiska i należy do taksonomii stanowisk filozoficznych</w:t>
      </w:r>
      <w:r w:rsidR="00673B32">
        <w:t xml:space="preserve"> odwołujących się do „mechanicyzmu”</w:t>
      </w:r>
      <w:r w:rsidR="008C008E">
        <w:t xml:space="preserve"> podchodzić ostrożnie. </w:t>
      </w:r>
    </w:p>
    <w:p w:rsidR="007E1D0B" w:rsidRDefault="004D36CE">
      <w:r>
        <w:tab/>
        <w:t>Filozoficz</w:t>
      </w:r>
      <w:r w:rsidR="00120890">
        <w:t>nych źródeł tego problemu należy szukać</w:t>
      </w:r>
      <w:r>
        <w:t>, do czego bez wahania przyznają się współcześni mechaniści, w XVII i XVIII wiecznych koncepcjach filozofii przyrody Kartezju</w:t>
      </w:r>
      <w:r w:rsidR="00120890">
        <w:t xml:space="preserve">sza, Hobbesa czy La </w:t>
      </w:r>
      <w:proofErr w:type="spellStart"/>
      <w:r w:rsidR="00120890">
        <w:t>Mettriego</w:t>
      </w:r>
      <w:proofErr w:type="spellEnd"/>
      <w:r w:rsidR="00120890">
        <w:t>,</w:t>
      </w:r>
      <w:r w:rsidR="007E1D0B">
        <w:t xml:space="preserve"> Bogactwo różnych filozoficznych koncepcji, klasyfikowanych jako stanowiska mechanistyczne, można w ogromnym uproszczeniu zamknąć, jak mi się wydaje w następującej </w:t>
      </w:r>
      <w:r w:rsidR="007E1D0B" w:rsidRPr="007E1D0B">
        <w:rPr>
          <w:i/>
        </w:rPr>
        <w:t>tezie mechanistycznej</w:t>
      </w:r>
      <w:r w:rsidR="007E1D0B">
        <w:t>:</w:t>
      </w:r>
    </w:p>
    <w:p w:rsidR="007E1D0B" w:rsidRDefault="007E1D0B" w:rsidP="007E1D0B">
      <w:pPr>
        <w:ind w:left="708"/>
      </w:pPr>
      <w:r>
        <w:t xml:space="preserve">(TM) Do wyjaśnienia działania organizmów żywych nie jest niezbędne odwoływanie się do jakichkolwiek innych faktów, jak tylko faktów dotyczących </w:t>
      </w:r>
      <w:r w:rsidRPr="007E1D0B">
        <w:rPr>
          <w:i/>
        </w:rPr>
        <w:t>fizycznych</w:t>
      </w:r>
      <w:r>
        <w:t xml:space="preserve"> </w:t>
      </w:r>
      <w:r w:rsidRPr="007E1D0B">
        <w:rPr>
          <w:i/>
        </w:rPr>
        <w:t>oddziaływań</w:t>
      </w:r>
      <w:r w:rsidR="00673B32">
        <w:rPr>
          <w:i/>
        </w:rPr>
        <w:t xml:space="preserve"> i relacji</w:t>
      </w:r>
      <w:r>
        <w:t xml:space="preserve"> pomiędzy częściami organizmu. </w:t>
      </w:r>
    </w:p>
    <w:p w:rsidR="00120890" w:rsidRDefault="00120890" w:rsidP="007E1D0B">
      <w:pPr>
        <w:ind w:firstLine="708"/>
      </w:pPr>
      <w:r>
        <w:lastRenderedPageBreak/>
        <w:t xml:space="preserve">Upraszczając to zagadnienie, można zaryzykować tezę, że </w:t>
      </w:r>
      <w:r w:rsidR="00604A5A">
        <w:t xml:space="preserve">tak pojmowany </w:t>
      </w:r>
      <w:r>
        <w:t xml:space="preserve">mechanistyczny sposób myślenia, zastąpiwszy dawniejszą, arystotelesowską filozofię przyrody, przetrwał w formie zbliżonej do dawnych oświeceniowych koncepcji przynajmniej do początków XX wieku. Wówczas odniósł, przynajmniej w obrębie nauk przyrodniczych, zwycięstwo nad konkurencyjnym filozoficznym witalizmem i dzisiaj uzyskał status poglądu tak powszechnego, że niemal „przeźroczystego” i nie wzbudzającego wątpliwości. </w:t>
      </w:r>
    </w:p>
    <w:p w:rsidR="005153A9" w:rsidRDefault="00120890">
      <w:r>
        <w:tab/>
        <w:t xml:space="preserve"> </w:t>
      </w:r>
      <w:r w:rsidR="007E1D0B">
        <w:t xml:space="preserve">Pewnej uwagi wymaga użyte przy formułowaniu (TM) pojęcie </w:t>
      </w:r>
      <w:r w:rsidR="007E1D0B">
        <w:rPr>
          <w:i/>
        </w:rPr>
        <w:t>fizycznych oddziaływań.</w:t>
      </w:r>
      <w:r w:rsidR="007E1D0B">
        <w:t xml:space="preserve"> Na pytanie jakie to są właściwe oddziaływania należy powiedzieć, że ustaleniem tego zajmowała się, „oddelegowana” do tego zadania przez mechanistów, fizyka. </w:t>
      </w:r>
      <w:r w:rsidR="002759DE">
        <w:t xml:space="preserve">U źródeł nowożytnej myślenia mechanistycznej biologiczny mechanicyzm był jednak silnie sprzęgnięty z pewną koncepcją fizyki. </w:t>
      </w:r>
      <w:r w:rsidR="007E1D0B">
        <w:t>Nie ulega wątpliwości, że mechaniści</w:t>
      </w:r>
      <w:r w:rsidR="002759DE">
        <w:t xml:space="preserve"> XVII-wieczni</w:t>
      </w:r>
      <w:r w:rsidR="007E1D0B">
        <w:t xml:space="preserve"> mieli pewien dość jasny model tego, czym są </w:t>
      </w:r>
      <w:r w:rsidR="007E1D0B">
        <w:rPr>
          <w:i/>
        </w:rPr>
        <w:t>oddziaływania fizyczne</w:t>
      </w:r>
      <w:r w:rsidR="002759DE">
        <w:t xml:space="preserve"> i był to model wyznaczany przez ówczesną mechanikę. W oddziaływaniach i relacjach fizycznych brać udział mogły tylko określone własności przedmiotów: kształt, wielko</w:t>
      </w:r>
      <w:r w:rsidR="005153A9">
        <w:t>ść, ruch oraz ciężar. Schematem myślenia jaki towarzyszył mechanistom było myślenie o organizmach żywych jak o maszynach, których chyba najbardziej paradygmatycznym przykładem był mechaniczny zegar.</w:t>
      </w:r>
    </w:p>
    <w:p w:rsidR="00604A5A" w:rsidRDefault="005153A9">
      <w:r>
        <w:tab/>
      </w:r>
      <w:r w:rsidR="00604A5A">
        <w:t>Mechanicyzm, któremu poświęcona jest niniejsza praca, nie jest prostą kontynuacją przedstawionej tu linii myślenia. Tym co wspólne, jest przekonanie o tym, że wyjaśnienie w naukach biologicznych polega na wyszczególnianiu elementów organizmów lub systemów biologicznych oraz wskazywaniu relacji jakie ich łączą. Wyjaśnienie taki powinno też w pewien sposób przypominać opis tego, jak działają skonstruowane przez ludzi maszyny-artefakty. Tutaj naprawdę istotne podobieństwa się kończą.</w:t>
      </w:r>
    </w:p>
    <w:p w:rsidR="005153A9" w:rsidRDefault="00604A5A" w:rsidP="00604A5A">
      <w:pPr>
        <w:ind w:firstLine="708"/>
      </w:pPr>
      <w:r>
        <w:t xml:space="preserve">Wśród różnic na szczególne podkreślenie tego, że współczesny mechanicyzm jest przede wszystkim stanowiskiem w sposób bardzo wyraźny metodologicznym. Stanowiska mechanistyczne miały pod tym względem różny status i często mieszały metodologię z metafizyką. </w:t>
      </w:r>
      <w:r w:rsidR="0003134A">
        <w:t xml:space="preserve">Drugą różnicą jest to, że mechanicyzm klasyczny dość wyraźnie wskazywał na typ oddziaływań, relacji oraz własności, które należy brać pod uwagę przy wyjaśnianiu. Współczesny mechanicyzm jest w tej kwestii ostrożniejszy i bardziej wyrafinowany. </w:t>
      </w:r>
    </w:p>
    <w:p w:rsidR="007E1D0B" w:rsidRPr="007E1D0B" w:rsidRDefault="007E1D0B"/>
    <w:sectPr w:rsidR="007E1D0B" w:rsidRPr="007E1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A80" w:rsidRDefault="00031A80" w:rsidP="004D36CE">
      <w:pPr>
        <w:spacing w:line="240" w:lineRule="auto"/>
      </w:pPr>
      <w:r>
        <w:separator/>
      </w:r>
    </w:p>
  </w:endnote>
  <w:endnote w:type="continuationSeparator" w:id="0">
    <w:p w:rsidR="00031A80" w:rsidRDefault="00031A80" w:rsidP="004D3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A80" w:rsidRDefault="00031A80" w:rsidP="004D36CE">
      <w:pPr>
        <w:spacing w:line="240" w:lineRule="auto"/>
      </w:pPr>
      <w:r>
        <w:separator/>
      </w:r>
    </w:p>
  </w:footnote>
  <w:footnote w:type="continuationSeparator" w:id="0">
    <w:p w:rsidR="00031A80" w:rsidRDefault="00031A80" w:rsidP="004D36CE">
      <w:pPr>
        <w:spacing w:line="240" w:lineRule="auto"/>
      </w:pPr>
      <w:r>
        <w:continuationSeparator/>
      </w:r>
    </w:p>
  </w:footnote>
  <w:footnote w:id="1">
    <w:p w:rsidR="004D36CE" w:rsidRPr="0003134A" w:rsidRDefault="004D36CE">
      <w:pPr>
        <w:pStyle w:val="Tekstprzypisudolnego"/>
      </w:pPr>
      <w:r>
        <w:rPr>
          <w:rStyle w:val="Odwoanieprzypisudolnego"/>
        </w:rPr>
        <w:footnoteRef/>
      </w:r>
      <w:r w:rsidR="0003134A" w:rsidRPr="0003134A">
        <w:t xml:space="preserve"> Zob. C. </w:t>
      </w:r>
      <w:proofErr w:type="spellStart"/>
      <w:r w:rsidR="0003134A" w:rsidRPr="0003134A">
        <w:t>Craver</w:t>
      </w:r>
      <w:proofErr w:type="spellEnd"/>
      <w:r w:rsidR="0003134A" w:rsidRPr="0003134A">
        <w:t xml:space="preserve">, L. </w:t>
      </w:r>
      <w:proofErr w:type="spellStart"/>
      <w:r w:rsidR="0003134A" w:rsidRPr="0003134A">
        <w:t>Darden</w:t>
      </w:r>
      <w:proofErr w:type="spellEnd"/>
      <w:r w:rsidR="0003134A" w:rsidRPr="0003134A">
        <w:t xml:space="preserve">, </w:t>
      </w:r>
      <w:r w:rsidR="0003134A" w:rsidRPr="0003134A">
        <w:rPr>
          <w:i/>
        </w:rPr>
        <w:t xml:space="preserve">In </w:t>
      </w:r>
      <w:proofErr w:type="spellStart"/>
      <w:r w:rsidR="0003134A" w:rsidRPr="0003134A">
        <w:rPr>
          <w:i/>
        </w:rPr>
        <w:t>search</w:t>
      </w:r>
      <w:proofErr w:type="spellEnd"/>
      <w:r w:rsidR="0003134A" w:rsidRPr="0003134A">
        <w:rPr>
          <w:i/>
        </w:rPr>
        <w:t xml:space="preserve"> of </w:t>
      </w:r>
      <w:proofErr w:type="spellStart"/>
      <w:r w:rsidR="0003134A" w:rsidRPr="0003134A">
        <w:rPr>
          <w:i/>
        </w:rPr>
        <w:t>mechanisms</w:t>
      </w:r>
      <w:proofErr w:type="spellEnd"/>
      <w:r w:rsidR="0003134A" w:rsidRPr="0003134A">
        <w:t xml:space="preserve"> i podaną tam bibliografię </w:t>
      </w:r>
      <w:r w:rsidR="0003134A">
        <w:t>dotyczącą odkryć biologicznych.</w:t>
      </w:r>
    </w:p>
  </w:footnote>
  <w:footnote w:id="2">
    <w:p w:rsidR="0003134A" w:rsidRPr="0088535A" w:rsidRDefault="0003134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8535A">
        <w:rPr>
          <w:lang w:val="en-US"/>
        </w:rPr>
        <w:t xml:space="preserve"> </w:t>
      </w:r>
      <w:proofErr w:type="spellStart"/>
      <w:r w:rsidRPr="0088535A">
        <w:rPr>
          <w:lang w:val="en-US"/>
        </w:rPr>
        <w:t>Zob</w:t>
      </w:r>
      <w:proofErr w:type="spellEnd"/>
      <w:r w:rsidRPr="0088535A">
        <w:rPr>
          <w:lang w:val="en-US"/>
        </w:rPr>
        <w:t xml:space="preserve">. </w:t>
      </w:r>
      <w:r w:rsidR="0088535A" w:rsidRPr="0088535A">
        <w:rPr>
          <w:lang w:val="en-US"/>
        </w:rPr>
        <w:t>Remarks on the Pre-history of the Mechanical Philosophy</w:t>
      </w:r>
      <w:r w:rsidR="0088535A">
        <w:rPr>
          <w:lang w:val="en-US"/>
        </w:rPr>
        <w:t>, w: The Mechanization of Natural Philosophy</w:t>
      </w:r>
      <w:bookmarkStart w:id="0" w:name="_GoBack"/>
      <w:bookmarkEnd w:id="0"/>
    </w:p>
  </w:footnote>
  <w:footnote w:id="3">
    <w:p w:rsidR="00673B32" w:rsidRDefault="00673B32">
      <w:pPr>
        <w:pStyle w:val="Tekstprzypisudolnego"/>
      </w:pPr>
      <w:r>
        <w:rPr>
          <w:rStyle w:val="Odwoanieprzypisudolnego"/>
        </w:rPr>
        <w:footnoteRef/>
      </w:r>
      <w:r>
        <w:t xml:space="preserve"> Można na przykład sformułować stanowisko mechanistyczne dotyczące własności przedmiotów: (TMZ) </w:t>
      </w:r>
      <w:r w:rsidRPr="00673B32">
        <w:t xml:space="preserve">Do wyjaśnienia </w:t>
      </w:r>
      <w:r>
        <w:t>własności przedmiotów</w:t>
      </w:r>
      <w:r w:rsidRPr="00673B32">
        <w:t xml:space="preserve"> nie jest niezbędne odwoływanie się do jakichkolwiek innych faktów, jak tylko faktów dotyczących </w:t>
      </w:r>
      <w:r w:rsidRPr="00673B32">
        <w:rPr>
          <w:i/>
        </w:rPr>
        <w:t>fizycznych oddziaływań</w:t>
      </w:r>
      <w:r>
        <w:rPr>
          <w:i/>
        </w:rPr>
        <w:t xml:space="preserve"> i relacji</w:t>
      </w:r>
      <w:r w:rsidRPr="00673B32">
        <w:t xml:space="preserve"> pomiędzy częściami </w:t>
      </w:r>
      <w:r>
        <w:t>przedmiotów</w:t>
      </w:r>
      <w:r w:rsidRPr="00673B32">
        <w:t>.</w:t>
      </w:r>
      <w:r>
        <w:t xml:space="preserve"> Pod to stanowisko podpadałby na przykład poglądy starożytnych atomistów, być może tak można sformułować przekonanie, które stało za odrzuceniem arystotelesowskiej filozofii przyrody.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81"/>
  <w:drawingGridVerticalSpacing w:val="142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CE"/>
    <w:rsid w:val="0003134A"/>
    <w:rsid w:val="00031A80"/>
    <w:rsid w:val="00120890"/>
    <w:rsid w:val="002759DE"/>
    <w:rsid w:val="004D36CE"/>
    <w:rsid w:val="00507399"/>
    <w:rsid w:val="005153A9"/>
    <w:rsid w:val="00604A5A"/>
    <w:rsid w:val="00673B32"/>
    <w:rsid w:val="007E1D0B"/>
    <w:rsid w:val="0088535A"/>
    <w:rsid w:val="008C008E"/>
    <w:rsid w:val="00AB4205"/>
    <w:rsid w:val="00B054FC"/>
    <w:rsid w:val="00B10AF4"/>
    <w:rsid w:val="00C40518"/>
    <w:rsid w:val="00E9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33DD3A-B273-4006-9309-DFA68FD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D36CE"/>
    <w:pPr>
      <w:spacing w:after="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5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36CE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36C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36CE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275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75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2</Pages>
  <Words>630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2</cp:revision>
  <dcterms:created xsi:type="dcterms:W3CDTF">2014-12-14T17:33:00Z</dcterms:created>
  <dcterms:modified xsi:type="dcterms:W3CDTF">2014-12-20T11:39:00Z</dcterms:modified>
</cp:coreProperties>
</file>