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77777777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2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 xml:space="preserve">Koren </w:t>
      </w:r>
      <w:proofErr w:type="spellStart"/>
      <w:r w:rsidRPr="00014ED6">
        <w:rPr>
          <w:sz w:val="24"/>
          <w:szCs w:val="24"/>
          <w:lang w:val="en-US"/>
        </w:rPr>
        <w:t>Abitbul</w:t>
      </w:r>
      <w:proofErr w:type="spellEnd"/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Pr="0011351B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42ED81ED" w14:textId="357B8BF1" w:rsidR="008531C8" w:rsidRPr="008531C8" w:rsidRDefault="00DC1F93" w:rsidP="00014E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=argmax[[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]]-γ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=argmax fun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(θ)</m:t>
          </m:r>
        </m:oMath>
      </m:oMathPara>
    </w:p>
    <w:p w14:paraId="2CAADB98" w14:textId="19161F49" w:rsidR="008531C8" w:rsidRPr="00014ED6" w:rsidRDefault="00DC1F93" w:rsidP="008531C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=argmax fun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(θ)</m:t>
          </m:r>
        </m:oMath>
      </m:oMathPara>
    </w:p>
    <w:p w14:paraId="49AD093E" w14:textId="77777777" w:rsidR="005D18BE" w:rsidRDefault="00317518" w:rsidP="0031751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נקרא לפונקציית המטרה עם הרגולריזציה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 xml:space="preserve">ולפונקציית המטרה ללא הרגולריזציה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>.</w:t>
      </w:r>
    </w:p>
    <w:p w14:paraId="73E95F87" w14:textId="5C7CE02A" w:rsidR="00B85928" w:rsidRDefault="00317518" w:rsidP="009C33F1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נניח בשלילה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 w:hint="cs"/>
          <w:rtl/>
          <w:lang w:val="en-US"/>
        </w:rPr>
        <w:t>:</w:t>
      </w:r>
      <w:r w:rsidR="009C33F1">
        <w:rPr>
          <w:rFonts w:eastAsiaTheme="minorEastAsia"/>
          <w:lang w:val="en-US"/>
        </w:rPr>
        <w:t xml:space="preserve"> </w:t>
      </w:r>
      <w:r w:rsidR="00B85928">
        <w:rPr>
          <w:rFonts w:eastAsiaTheme="minorEastAsia" w:hint="cs"/>
          <w:rtl/>
          <w:lang w:val="en-US"/>
        </w:rPr>
        <w:t xml:space="preserve">נבחין כי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B85928">
        <w:rPr>
          <w:rFonts w:eastAsiaTheme="minorEastAsia" w:hint="cs"/>
          <w:rtl/>
          <w:lang w:val="en-US"/>
        </w:rPr>
        <w:t>.</w:t>
      </w:r>
    </w:p>
    <w:p w14:paraId="1EB5ED92" w14:textId="20F7EBF5" w:rsidR="00B85928" w:rsidRPr="009C33F1" w:rsidRDefault="00B85928" w:rsidP="009C33F1">
      <w:pPr>
        <w:bidi/>
        <w:rPr>
          <w:rFonts w:ascii="Cambria Math" w:eastAsiaTheme="minorEastAsia" w:hAnsi="Cambria Math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לכן:</w:t>
      </w:r>
      <w:r w:rsidRPr="00B85928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hint="cs"/>
          <w:i/>
          <w:rtl/>
          <w:lang w:val="en-US"/>
        </w:rPr>
        <w:t xml:space="preserve">וגם </w:t>
      </w:r>
      <w:r>
        <w:rPr>
          <w:rFonts w:eastAsiaTheme="minorEastAsia" w:hint="cs"/>
          <w:rtl/>
          <w:lang w:val="en-US"/>
        </w:rPr>
        <w:t>:</w:t>
      </w:r>
      <w:r w:rsidRPr="00B85928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68D96EF5" w14:textId="46967A25" w:rsidR="00B85928" w:rsidRDefault="00B85928" w:rsidP="00FF3F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כמובן ש: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ממקסמת את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 xml:space="preserve"> וג</w:t>
      </w:r>
      <w:r w:rsidR="00FF3F56">
        <w:rPr>
          <w:rFonts w:eastAsiaTheme="minorEastAsia" w:hint="cs"/>
          <w:rtl/>
          <w:lang w:val="en-US"/>
        </w:rPr>
        <w:t>ם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FF3F56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מההנחה בשלילה</w:t>
      </w:r>
      <w:r w:rsidR="00FF3F56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לכן, עבור </w:t>
      </w:r>
      <m:oMath>
        <m:r>
          <w:rPr>
            <w:rFonts w:ascii="Cambria Math" w:eastAsiaTheme="minorEastAsia" w:hAnsi="Cambria Math"/>
            <w:lang w:val="en-US"/>
          </w:rPr>
          <m:t xml:space="preserve">γ&gt;0 </m:t>
        </m:r>
      </m:oMath>
      <w:r>
        <w:rPr>
          <w:rFonts w:eastAsiaTheme="minorEastAsia" w:hint="cs"/>
          <w:rtl/>
          <w:lang w:val="en-US"/>
        </w:rPr>
        <w:t xml:space="preserve"> אנחנו מקבלים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בסתירה לנתון ש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ממקסם את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>.</w:t>
      </w:r>
    </w:p>
    <w:p w14:paraId="6C87B507" w14:textId="426D9442" w:rsidR="0011351B" w:rsidRDefault="0011351B" w:rsidP="0011351B">
      <w:pPr>
        <w:bidi/>
        <w:jc w:val="right"/>
        <w:rPr>
          <w:rFonts w:eastAsiaTheme="minorEastAsia"/>
          <w:u w:val="single"/>
          <w:rtl/>
          <w:lang w:val="en-US"/>
        </w:rPr>
      </w:pPr>
      <w:r w:rsidRPr="0011351B">
        <w:rPr>
          <w:rFonts w:eastAsiaTheme="minorEastAsia"/>
          <w:u w:val="single"/>
          <w:lang w:val="en-US"/>
        </w:rPr>
        <w:t>Question 2</w:t>
      </w:r>
    </w:p>
    <w:p w14:paraId="7B77E17B" w14:textId="1C3C4CC2" w:rsidR="00172449" w:rsidRDefault="00172449" w:rsidP="00172449">
      <w:pPr>
        <w:bidi/>
        <w:jc w:val="right"/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Q2.1</w:t>
      </w:r>
    </w:p>
    <w:p w14:paraId="42B6FB1C" w14:textId="1A8739F0" w:rsidR="00F617FD" w:rsidRDefault="00F617FD" w:rsidP="005460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המידע הזה תומך בטיעון מכיוון שהמילה </w:t>
      </w:r>
      <w:r>
        <w:rPr>
          <w:rFonts w:eastAsiaTheme="minorEastAsia"/>
          <w:lang w:val="en-US"/>
        </w:rPr>
        <w:t>“</w:t>
      </w:r>
      <w:proofErr w:type="spellStart"/>
      <w:r>
        <w:rPr>
          <w:rFonts w:eastAsiaTheme="minorEastAsia"/>
          <w:lang w:val="en-US"/>
        </w:rPr>
        <w:t>gonna</w:t>
      </w:r>
      <w:proofErr w:type="spellEnd"/>
      <w:r>
        <w:rPr>
          <w:rFonts w:eastAsiaTheme="minorEastAsia"/>
          <w:lang w:val="en-US"/>
        </w:rPr>
        <w:t>”</w:t>
      </w:r>
      <w:r>
        <w:rPr>
          <w:rFonts w:eastAsiaTheme="minorEastAsia" w:hint="cs"/>
          <w:rtl/>
          <w:lang w:val="en-US"/>
        </w:rPr>
        <w:t xml:space="preserve"> היא</w:t>
      </w:r>
      <w:r w:rsidR="0017244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סלנג של </w:t>
      </w:r>
      <w:r>
        <w:rPr>
          <w:rFonts w:eastAsiaTheme="minorEastAsia"/>
          <w:lang w:val="en-US"/>
        </w:rPr>
        <w:t>“going to”</w:t>
      </w:r>
      <w:r>
        <w:rPr>
          <w:rFonts w:eastAsiaTheme="minorEastAsia" w:hint="cs"/>
          <w:rtl/>
          <w:lang w:val="en-US"/>
        </w:rPr>
        <w:t xml:space="preserve"> (</w:t>
      </w:r>
      <w:r w:rsidR="00172449">
        <w:rPr>
          <w:rFonts w:eastAsiaTheme="minorEastAsia" w:hint="cs"/>
          <w:rtl/>
          <w:lang w:val="en-US"/>
        </w:rPr>
        <w:t xml:space="preserve">שמתאים </w:t>
      </w:r>
      <w:r>
        <w:rPr>
          <w:rFonts w:eastAsiaTheme="minorEastAsia" w:hint="cs"/>
          <w:rtl/>
          <w:lang w:val="en-US"/>
        </w:rPr>
        <w:t xml:space="preserve">רק כשלאחר מכן מגיע פועל) , שמכיל את המילה </w:t>
      </w:r>
      <w:r>
        <w:rPr>
          <w:rFonts w:eastAsiaTheme="minorEastAsia"/>
          <w:lang w:val="en-US"/>
        </w:rPr>
        <w:t>“to”</w:t>
      </w:r>
      <w:r>
        <w:rPr>
          <w:rFonts w:eastAsiaTheme="minorEastAsia" w:hint="cs"/>
          <w:rtl/>
          <w:lang w:val="en-US"/>
        </w:rPr>
        <w:t xml:space="preserve">. במשפט השני </w:t>
      </w:r>
      <w:proofErr w:type="spellStart"/>
      <w:r>
        <w:rPr>
          <w:rFonts w:eastAsiaTheme="minorEastAsia"/>
          <w:lang w:val="en-US"/>
        </w:rPr>
        <w:t>gonna</w:t>
      </w:r>
      <w:proofErr w:type="spellEnd"/>
      <w:r>
        <w:rPr>
          <w:rFonts w:eastAsiaTheme="minorEastAsia" w:hint="cs"/>
          <w:rtl/>
          <w:lang w:val="en-US"/>
        </w:rPr>
        <w:t xml:space="preserve"> לא מתאים למשפט,</w:t>
      </w:r>
      <w:r w:rsidR="00172449">
        <w:rPr>
          <w:rFonts w:eastAsiaTheme="minorEastAsia" w:hint="cs"/>
          <w:rtl/>
          <w:lang w:val="en-US"/>
        </w:rPr>
        <w:t xml:space="preserve"> אך </w:t>
      </w:r>
      <w:r w:rsidR="00172449">
        <w:rPr>
          <w:rFonts w:eastAsiaTheme="minorEastAsia"/>
          <w:lang w:val="en-US"/>
        </w:rPr>
        <w:t>going to</w:t>
      </w:r>
      <w:r w:rsidR="00172449">
        <w:rPr>
          <w:rFonts w:eastAsiaTheme="minorEastAsia" w:hint="cs"/>
          <w:rtl/>
          <w:lang w:val="en-US"/>
        </w:rPr>
        <w:t xml:space="preserve"> כן מתאים,</w:t>
      </w:r>
      <w:r>
        <w:rPr>
          <w:rFonts w:eastAsiaTheme="minorEastAsia" w:hint="cs"/>
          <w:rtl/>
          <w:lang w:val="en-US"/>
        </w:rPr>
        <w:t xml:space="preserve"> לכן אפשר להגיד של</w:t>
      </w:r>
      <w:r w:rsidR="00283D2E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to</w:t>
      </w:r>
      <w:r>
        <w:rPr>
          <w:rFonts w:eastAsiaTheme="minorEastAsia" w:hint="cs"/>
          <w:rtl/>
          <w:lang w:val="en-US"/>
        </w:rPr>
        <w:t xml:space="preserve"> יש 2 תפקידים. בתפקיד אחד מגיע פועל במשפט אחרי ה-</w:t>
      </w:r>
      <w:r>
        <w:rPr>
          <w:rFonts w:eastAsiaTheme="minorEastAsia"/>
          <w:lang w:val="en-US"/>
        </w:rPr>
        <w:t>to</w:t>
      </w:r>
      <w:r>
        <w:rPr>
          <w:rFonts w:eastAsiaTheme="minorEastAsia" w:hint="cs"/>
          <w:rtl/>
          <w:lang w:val="en-US"/>
        </w:rPr>
        <w:t xml:space="preserve"> (וניתן להשתמש ב</w:t>
      </w:r>
      <w:proofErr w:type="spellStart"/>
      <w:r>
        <w:rPr>
          <w:rFonts w:eastAsiaTheme="minorEastAsia"/>
          <w:lang w:val="en-US"/>
        </w:rPr>
        <w:t>gonna</w:t>
      </w:r>
      <w:proofErr w:type="spellEnd"/>
      <w:r>
        <w:rPr>
          <w:rFonts w:eastAsiaTheme="minorEastAsia" w:hint="cs"/>
          <w:rtl/>
          <w:lang w:val="en-US"/>
        </w:rPr>
        <w:t>)</w:t>
      </w:r>
      <w:r w:rsidR="00172449">
        <w:rPr>
          <w:rFonts w:eastAsiaTheme="minorEastAsia" w:hint="cs"/>
          <w:rtl/>
          <w:lang w:val="en-US"/>
        </w:rPr>
        <w:t xml:space="preserve"> ובמקרה כזה נשתמש בתג </w:t>
      </w:r>
      <w:r w:rsidR="00172449">
        <w:rPr>
          <w:rFonts w:eastAsiaTheme="minorEastAsia" w:hint="cs"/>
          <w:lang w:val="en-US"/>
        </w:rPr>
        <w:t>TO</w:t>
      </w:r>
      <w:r w:rsidR="00283D2E">
        <w:rPr>
          <w:rFonts w:eastAsiaTheme="minorEastAsia" w:hint="cs"/>
          <w:rtl/>
          <w:lang w:val="en-US"/>
        </w:rPr>
        <w:t>.</w:t>
      </w:r>
      <w:r>
        <w:rPr>
          <w:rFonts w:eastAsiaTheme="minorEastAsia" w:hint="cs"/>
          <w:rtl/>
          <w:lang w:val="en-US"/>
        </w:rPr>
        <w:t xml:space="preserve"> </w:t>
      </w:r>
      <w:r w:rsidR="00172449">
        <w:rPr>
          <w:rFonts w:eastAsiaTheme="minorEastAsia" w:hint="cs"/>
          <w:rtl/>
          <w:lang w:val="en-US"/>
        </w:rPr>
        <w:t>ב</w:t>
      </w:r>
      <w:r>
        <w:rPr>
          <w:rFonts w:eastAsiaTheme="minorEastAsia" w:hint="cs"/>
          <w:rtl/>
          <w:lang w:val="en-US"/>
        </w:rPr>
        <w:t xml:space="preserve">תפקיד </w:t>
      </w:r>
      <w:r w:rsidR="00172449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>שני שלא מגיע פועל אחריו (כמו</w:t>
      </w:r>
      <w:r w:rsidR="00263DA5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going to the beach</w:t>
      </w:r>
      <w:r>
        <w:rPr>
          <w:rFonts w:eastAsiaTheme="minorEastAsia" w:hint="cs"/>
          <w:rtl/>
          <w:lang w:val="en-US"/>
        </w:rPr>
        <w:t>)</w:t>
      </w:r>
      <w:r w:rsidR="00263DA5">
        <w:rPr>
          <w:rFonts w:eastAsiaTheme="minorEastAsia" w:hint="cs"/>
          <w:rtl/>
          <w:lang w:val="en-US"/>
        </w:rPr>
        <w:t>,</w:t>
      </w:r>
      <w:r w:rsidR="00172449">
        <w:rPr>
          <w:rFonts w:eastAsiaTheme="minorEastAsia" w:hint="cs"/>
          <w:rtl/>
          <w:lang w:val="en-US"/>
        </w:rPr>
        <w:t xml:space="preserve"> נצטרך למצוא חלק דיבר חלופי.</w:t>
      </w:r>
    </w:p>
    <w:p w14:paraId="6305C74B" w14:textId="6E50C2DA" w:rsidR="00DC0089" w:rsidRDefault="00491201" w:rsidP="00DC008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במקרה השני,</w:t>
      </w:r>
      <w:r w:rsidR="00DC008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תג </w:t>
      </w:r>
      <w:r w:rsidR="00DC0089">
        <w:rPr>
          <w:rFonts w:eastAsiaTheme="minorEastAsia" w:hint="cs"/>
          <w:rtl/>
          <w:lang w:val="en-US"/>
        </w:rPr>
        <w:t xml:space="preserve">עבור המילה </w:t>
      </w:r>
      <w:r w:rsidR="00DC0089">
        <w:rPr>
          <w:rFonts w:eastAsiaTheme="minorEastAsia"/>
          <w:lang w:val="en-US"/>
        </w:rPr>
        <w:t>to</w:t>
      </w:r>
      <w:r w:rsidR="00DC0089">
        <w:rPr>
          <w:rFonts w:eastAsiaTheme="minorEastAsia" w:hint="cs"/>
          <w:rtl/>
          <w:lang w:val="en-US"/>
        </w:rPr>
        <w:t xml:space="preserve"> יכול להיות מילת יחס </w:t>
      </w:r>
      <w:r w:rsidR="00DC0089">
        <w:rPr>
          <w:rFonts w:eastAsiaTheme="minorEastAsia"/>
          <w:lang w:val="en-US"/>
        </w:rPr>
        <w:t>(preposition)</w:t>
      </w:r>
      <w:r w:rsidR="00B57988">
        <w:rPr>
          <w:rFonts w:eastAsiaTheme="minorEastAsia" w:hint="cs"/>
          <w:rtl/>
          <w:lang w:val="en-US"/>
        </w:rPr>
        <w:t>.</w:t>
      </w:r>
      <w:r w:rsidR="00DC0089">
        <w:rPr>
          <w:rFonts w:eastAsiaTheme="minorEastAsia" w:hint="cs"/>
          <w:rtl/>
          <w:lang w:val="en-US"/>
        </w:rPr>
        <w:t xml:space="preserve"> במשפט השני אם נחליף את </w:t>
      </w:r>
      <w:proofErr w:type="spellStart"/>
      <w:r w:rsidR="00DC0089">
        <w:rPr>
          <w:rFonts w:eastAsiaTheme="minorEastAsia"/>
          <w:lang w:val="en-US"/>
        </w:rPr>
        <w:t>gonna</w:t>
      </w:r>
      <w:proofErr w:type="spellEnd"/>
      <w:r w:rsidR="00DC0089">
        <w:rPr>
          <w:rFonts w:eastAsiaTheme="minorEastAsia" w:hint="cs"/>
          <w:rtl/>
          <w:lang w:val="en-US"/>
        </w:rPr>
        <w:t xml:space="preserve"> עם </w:t>
      </w:r>
      <w:r w:rsidR="00DC0089">
        <w:rPr>
          <w:rFonts w:eastAsiaTheme="minorEastAsia"/>
          <w:lang w:val="en-US"/>
        </w:rPr>
        <w:t>going to</w:t>
      </w:r>
      <w:r w:rsidR="00DC0089">
        <w:rPr>
          <w:rFonts w:eastAsiaTheme="minorEastAsia" w:hint="cs"/>
          <w:rtl/>
          <w:lang w:val="en-US"/>
        </w:rPr>
        <w:t xml:space="preserve"> המילה </w:t>
      </w:r>
      <w:r w:rsidR="00DC0089">
        <w:rPr>
          <w:rFonts w:eastAsiaTheme="minorEastAsia"/>
          <w:lang w:val="en-US"/>
        </w:rPr>
        <w:t>to</w:t>
      </w:r>
      <w:r w:rsidR="00DC0089">
        <w:rPr>
          <w:rFonts w:eastAsiaTheme="minorEastAsia" w:hint="cs"/>
          <w:rtl/>
          <w:lang w:val="en-US"/>
        </w:rPr>
        <w:t xml:space="preserve"> משמשת כמילת יחס בדיוק כמו המילה </w:t>
      </w:r>
      <w:r w:rsidR="00DC0089">
        <w:rPr>
          <w:rFonts w:eastAsiaTheme="minorEastAsia"/>
          <w:lang w:val="en-US"/>
        </w:rPr>
        <w:t>in</w:t>
      </w:r>
      <w:r w:rsidR="00DC0089">
        <w:rPr>
          <w:rFonts w:eastAsiaTheme="minorEastAsia" w:hint="cs"/>
          <w:rtl/>
          <w:lang w:val="en-US"/>
        </w:rPr>
        <w:t xml:space="preserve"> במשפט </w:t>
      </w:r>
      <w:r w:rsidR="00DC0089">
        <w:rPr>
          <w:rFonts w:eastAsiaTheme="minorEastAsia"/>
          <w:lang w:val="en-US"/>
        </w:rPr>
        <w:t>she is going in the water</w:t>
      </w:r>
      <w:r w:rsidR="00DC0089">
        <w:rPr>
          <w:rFonts w:eastAsiaTheme="minorEastAsia" w:hint="cs"/>
          <w:rtl/>
          <w:lang w:val="en-US"/>
        </w:rPr>
        <w:t>.</w:t>
      </w:r>
    </w:p>
    <w:p w14:paraId="27B60D85" w14:textId="297FD322" w:rsidR="00DF4387" w:rsidRDefault="00DF4387" w:rsidP="00DF4387">
      <w:pPr>
        <w:rPr>
          <w:rFonts w:eastAsiaTheme="minorEastAsia"/>
          <w:u w:val="single"/>
          <w:lang w:val="en-US"/>
        </w:rPr>
      </w:pPr>
      <w:r w:rsidRPr="00DF4387">
        <w:rPr>
          <w:rFonts w:eastAsiaTheme="minorEastAsia"/>
          <w:u w:val="single"/>
          <w:lang w:val="en-US"/>
        </w:rPr>
        <w:t>Q2.2</w:t>
      </w:r>
    </w:p>
    <w:p w14:paraId="7A9A8AA0" w14:textId="488C0B65" w:rsidR="00DF4387" w:rsidRDefault="00527C57" w:rsidP="00DF43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נוכיח שלא ניתן לבצע סכמה במסגרת תיוג רצפים שתאפשר טיפול בישויות מקוננות:</w:t>
      </w:r>
    </w:p>
    <w:p w14:paraId="505C11A9" w14:textId="533EAE09" w:rsidR="00F617FD" w:rsidRDefault="00527C57" w:rsidP="00283D2E">
      <w:pPr>
        <w:bidi/>
        <w:rPr>
          <w:rFonts w:ascii="Cambria Math" w:eastAsiaTheme="minorEastAsia" w:hAnsi="Cambria Math" w:cs="Arial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נראה למה </w:t>
      </w:r>
      <w:r w:rsidR="00485410">
        <w:rPr>
          <w:rFonts w:eastAsiaTheme="minorEastAsia" w:hint="cs"/>
          <w:rtl/>
          <w:lang w:val="en-US"/>
        </w:rPr>
        <w:t>סכמת תיוג</w:t>
      </w:r>
      <w:r>
        <w:rPr>
          <w:rFonts w:eastAsiaTheme="minorEastAsia" w:hint="cs"/>
          <w:rtl/>
          <w:lang w:val="en-US"/>
        </w:rPr>
        <w:t xml:space="preserve"> לא עובד</w:t>
      </w:r>
      <w:r w:rsidR="00485410">
        <w:rPr>
          <w:rFonts w:eastAsiaTheme="minorEastAsia" w:hint="cs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 xml:space="preserve">. עבור המשפט </w:t>
      </w:r>
      <w:r w:rsidR="00F80276">
        <w:rPr>
          <w:rFonts w:eastAsiaTheme="minorEastAsia" w:cs="Arial" w:hint="cs"/>
          <w:rtl/>
          <w:lang w:val="en-US"/>
        </w:rPr>
        <w:t>"</w:t>
      </w:r>
      <w:r w:rsidRPr="00527C57">
        <w:rPr>
          <w:rFonts w:eastAsiaTheme="minorEastAsia" w:cs="Arial"/>
          <w:rtl/>
          <w:lang w:val="en-US"/>
        </w:rPr>
        <w:t>הועד הפועל של רשות השידור</w:t>
      </w:r>
      <w:r w:rsidR="00F80276">
        <w:rPr>
          <w:rFonts w:eastAsiaTheme="minorEastAsia" w:cs="Arial" w:hint="cs"/>
          <w:rtl/>
          <w:lang w:val="en-US"/>
        </w:rPr>
        <w:t>"</w:t>
      </w:r>
      <w:r>
        <w:rPr>
          <w:rFonts w:eastAsiaTheme="minorEastAsia" w:cs="Arial" w:hint="cs"/>
          <w:rtl/>
          <w:lang w:val="en-US"/>
        </w:rPr>
        <w:t xml:space="preserve"> ישנם 2 ישויות, כל ה</w:t>
      </w:r>
      <w:r w:rsidR="00363438">
        <w:rPr>
          <w:rFonts w:eastAsiaTheme="minorEastAsia" w:cs="Arial" w:hint="cs"/>
          <w:rtl/>
          <w:lang w:val="en-US"/>
        </w:rPr>
        <w:t xml:space="preserve">משפט ורק החלק </w:t>
      </w:r>
      <w:r w:rsidR="00F80276">
        <w:rPr>
          <w:rFonts w:eastAsiaTheme="minorEastAsia" w:cs="Arial" w:hint="cs"/>
          <w:rtl/>
          <w:lang w:val="en-US"/>
        </w:rPr>
        <w:t>"</w:t>
      </w:r>
      <w:r w:rsidRPr="00527C57">
        <w:rPr>
          <w:rFonts w:eastAsiaTheme="minorEastAsia" w:cs="Arial"/>
          <w:rtl/>
          <w:lang w:val="en-US"/>
        </w:rPr>
        <w:t>רשות השידור</w:t>
      </w:r>
      <w:r w:rsidR="00F80276">
        <w:rPr>
          <w:rFonts w:eastAsiaTheme="minorEastAsia" w:cs="Arial" w:hint="cs"/>
          <w:rtl/>
          <w:lang w:val="en-US"/>
        </w:rPr>
        <w:t>"</w:t>
      </w:r>
      <w:r>
        <w:rPr>
          <w:rFonts w:eastAsiaTheme="minorEastAsia" w:cs="Arial" w:hint="cs"/>
          <w:rtl/>
          <w:lang w:val="en-US"/>
        </w:rPr>
        <w:t xml:space="preserve">. שתי הישויות נגמרות במילה </w:t>
      </w:r>
      <w:r w:rsidR="00F80276">
        <w:rPr>
          <w:rFonts w:eastAsiaTheme="minorEastAsia" w:cs="Arial" w:hint="cs"/>
          <w:rtl/>
          <w:lang w:val="en-US"/>
        </w:rPr>
        <w:t>"</w:t>
      </w:r>
      <w:r>
        <w:rPr>
          <w:rFonts w:eastAsiaTheme="minorEastAsia" w:cs="Arial" w:hint="cs"/>
          <w:rtl/>
          <w:lang w:val="en-US"/>
        </w:rPr>
        <w:t>השידור</w:t>
      </w:r>
      <w:r w:rsidR="00F80276">
        <w:rPr>
          <w:rFonts w:eastAsiaTheme="minorEastAsia" w:cs="Arial" w:hint="cs"/>
          <w:rtl/>
          <w:lang w:val="en-US"/>
        </w:rPr>
        <w:t>"</w:t>
      </w:r>
      <w:r>
        <w:rPr>
          <w:rFonts w:eastAsiaTheme="minorEastAsia" w:cs="Arial" w:hint="cs"/>
          <w:rtl/>
          <w:lang w:val="en-US"/>
        </w:rPr>
        <w:t xml:space="preserve"> ולכן צריך תג מיוחד שיבשר ש-2 הישויות נגמרות במילה הזאת ותג </w:t>
      </w:r>
      <w:r w:rsidR="00363438">
        <w:rPr>
          <w:rFonts w:eastAsiaTheme="minorEastAsia" w:cs="Arial" w:hint="cs"/>
          <w:rtl/>
          <w:lang w:val="en-US"/>
        </w:rPr>
        <w:t>1</w:t>
      </w:r>
      <w:r>
        <w:rPr>
          <w:rFonts w:eastAsiaTheme="minorEastAsia" w:cs="Arial" w:hint="cs"/>
          <w:rtl/>
          <w:lang w:val="en-US"/>
        </w:rPr>
        <w:t xml:space="preserve"> לא מספיק.</w:t>
      </w:r>
      <w:r w:rsidR="00EA1ADE">
        <w:rPr>
          <w:rFonts w:eastAsiaTheme="minorEastAsia" w:cs="Arial" w:hint="cs"/>
          <w:rtl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>אפשר להבין אינטואיטיבית שכדי לפתור את הבעיה צריך שימוש בסוגריים,</w:t>
      </w:r>
      <w:r w:rsidR="00EA1ADE">
        <w:rPr>
          <w:rFonts w:eastAsiaTheme="minorEastAsia" w:cs="Arial" w:hint="cs"/>
          <w:rtl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>למש</w:t>
      </w:r>
      <w:r w:rsidR="00737B69">
        <w:rPr>
          <w:rFonts w:eastAsiaTheme="minorEastAsia" w:cs="Arial" w:hint="cs"/>
          <w:rtl/>
          <w:lang w:val="en-US"/>
        </w:rPr>
        <w:t>ל: "</w:t>
      </w:r>
      <w:r>
        <w:rPr>
          <w:rFonts w:eastAsiaTheme="minorEastAsia" w:cs="Arial" w:hint="cs"/>
          <w:rtl/>
          <w:lang w:val="en-US"/>
        </w:rPr>
        <w:t>{</w:t>
      </w:r>
      <w:r w:rsidRPr="00527C57">
        <w:rPr>
          <w:rFonts w:eastAsiaTheme="minorEastAsia" w:cs="Arial"/>
          <w:rtl/>
          <w:lang w:val="en-US"/>
        </w:rPr>
        <w:t xml:space="preserve">הועד הפועל של </w:t>
      </w:r>
      <w:r>
        <w:rPr>
          <w:rFonts w:eastAsiaTheme="minorEastAsia" w:cs="Arial" w:hint="cs"/>
          <w:rtl/>
          <w:lang w:val="en-US"/>
        </w:rPr>
        <w:t>{</w:t>
      </w:r>
      <w:r w:rsidRPr="00527C57">
        <w:rPr>
          <w:rFonts w:eastAsiaTheme="minorEastAsia" w:cs="Arial"/>
          <w:rtl/>
          <w:lang w:val="en-US"/>
        </w:rPr>
        <w:t>רשות השידור</w:t>
      </w:r>
      <w:r>
        <w:rPr>
          <w:rFonts w:eastAsiaTheme="minorEastAsia" w:cs="Arial" w:hint="cs"/>
          <w:rtl/>
          <w:lang w:val="en-US"/>
        </w:rPr>
        <w:t>}}</w:t>
      </w:r>
      <w:r w:rsidR="00F80276">
        <w:rPr>
          <w:rFonts w:eastAsiaTheme="minorEastAsia" w:cs="Arial" w:hint="cs"/>
          <w:rtl/>
          <w:lang w:val="en-US"/>
        </w:rPr>
        <w:t>"</w:t>
      </w:r>
      <w:r w:rsidR="00EA1ADE">
        <w:rPr>
          <w:rFonts w:eastAsiaTheme="minorEastAsia" w:cs="Arial" w:hint="cs"/>
          <w:rtl/>
          <w:lang w:val="en-US"/>
        </w:rPr>
        <w:t>.</w:t>
      </w:r>
      <w:r w:rsidR="00F80276">
        <w:rPr>
          <w:rFonts w:eastAsiaTheme="minorEastAsia" w:cs="Arial"/>
          <w:rtl/>
          <w:lang w:val="en-US"/>
        </w:rPr>
        <w:br/>
      </w:r>
      <w:r>
        <w:rPr>
          <w:rFonts w:eastAsiaTheme="minorEastAsia" w:cs="Arial" w:hint="cs"/>
          <w:rtl/>
          <w:lang w:val="en-US"/>
        </w:rPr>
        <w:t xml:space="preserve">בשביל 2 הסוגריים בסוף, צריך תג מיוחד </w:t>
      </w:r>
      <w:r w:rsidR="00EA1ADE">
        <w:rPr>
          <w:rFonts w:eastAsiaTheme="minorEastAsia" w:cs="Arial" w:hint="cs"/>
          <w:rtl/>
          <w:lang w:val="en-US"/>
        </w:rPr>
        <w:t>שיסמן על שני</w:t>
      </w:r>
      <w:r>
        <w:rPr>
          <w:rFonts w:eastAsiaTheme="minorEastAsia" w:cs="Arial" w:hint="cs"/>
          <w:rtl/>
          <w:lang w:val="en-US"/>
        </w:rPr>
        <w:t xml:space="preserve"> סוגרים. אותו דבר אם 2 ישויות שונות היו </w:t>
      </w:r>
      <w:r w:rsidR="00DD43E7">
        <w:rPr>
          <w:rFonts w:eastAsiaTheme="minorEastAsia" w:cs="Arial" w:hint="cs"/>
          <w:rtl/>
          <w:lang w:val="en-US"/>
        </w:rPr>
        <w:t>ג</w:t>
      </w:r>
      <w:r>
        <w:rPr>
          <w:rFonts w:eastAsiaTheme="minorEastAsia" w:cs="Arial" w:hint="cs"/>
          <w:rtl/>
          <w:lang w:val="en-US"/>
        </w:rPr>
        <w:t>ם מתחילות באותה המילה.</w:t>
      </w:r>
      <w:r w:rsidR="000A429F">
        <w:rPr>
          <w:rFonts w:eastAsiaTheme="minorEastAsia" w:cs="Arial"/>
          <w:rtl/>
          <w:lang w:val="en-US"/>
        </w:rPr>
        <w:br/>
      </w:r>
      <w:r>
        <w:rPr>
          <w:rFonts w:eastAsiaTheme="minorEastAsia" w:cs="Arial" w:hint="cs"/>
          <w:rtl/>
          <w:lang w:val="en-US"/>
        </w:rPr>
        <w:t xml:space="preserve">בחזרה </w:t>
      </w:r>
      <w:r w:rsidR="000A429F">
        <w:rPr>
          <w:rFonts w:eastAsiaTheme="minorEastAsia" w:cs="Arial" w:hint="cs"/>
          <w:rtl/>
          <w:lang w:val="en-US"/>
        </w:rPr>
        <w:t>להוכחה</w:t>
      </w:r>
      <w:r>
        <w:rPr>
          <w:rFonts w:eastAsiaTheme="minorEastAsia" w:cs="Arial" w:hint="cs"/>
          <w:rtl/>
          <w:lang w:val="en-US"/>
        </w:rPr>
        <w:t>, נניח בשלילה שאכן יש סכמה כזאת. כמות התגים בסכמה הזאת צריכה להיות סופית, נסמנה ב-</w:t>
      </w:r>
      <w:r w:rsidRPr="00527C57">
        <w:rPr>
          <w:rFonts w:ascii="Cambria Math" w:eastAsiaTheme="minorEastAsia" w:hAnsi="Cambria Math" w:cs="Arial"/>
          <w:i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M</m:t>
        </m:r>
      </m:oMath>
      <w:r w:rsidR="009A5D4A">
        <w:rPr>
          <w:rFonts w:eastAsiaTheme="minorEastAsia" w:cs="Arial" w:hint="cs"/>
          <w:rtl/>
          <w:lang w:val="en-US"/>
        </w:rPr>
        <w:t xml:space="preserve">. </w:t>
      </w:r>
      <w:r>
        <w:rPr>
          <w:rFonts w:eastAsiaTheme="minorEastAsia" w:cs="Arial" w:hint="cs"/>
          <w:rtl/>
          <w:lang w:val="en-US"/>
        </w:rPr>
        <w:t>ניצור טקסט</w:t>
      </w:r>
      <w:r>
        <w:rPr>
          <w:rFonts w:eastAsiaTheme="minorEastAsia" w:cs="Arial"/>
          <w:lang w:val="en-US"/>
        </w:rPr>
        <w:t>\</w:t>
      </w:r>
      <w:r>
        <w:rPr>
          <w:rFonts w:eastAsiaTheme="minorEastAsia" w:cs="Arial" w:hint="cs"/>
          <w:rtl/>
          <w:lang w:val="en-US"/>
        </w:rPr>
        <w:t xml:space="preserve">משפט באורך גדול מזה שמכיל </w:t>
      </w:r>
      <m:oMath>
        <m:r>
          <w:rPr>
            <w:rFonts w:ascii="Cambria Math" w:eastAsiaTheme="minorEastAsia" w:hAnsi="Cambria Math" w:cs="Arial"/>
            <w:lang w:val="en-US"/>
          </w:rPr>
          <m:t>N</m:t>
        </m:r>
      </m:oMath>
      <w:r>
        <w:rPr>
          <w:rFonts w:eastAsiaTheme="minorEastAsia" w:cs="Arial" w:hint="cs"/>
          <w:rtl/>
          <w:lang w:val="en-US"/>
        </w:rPr>
        <w:t xml:space="preserve"> ישויות מקוננות (כך ש:</w:t>
      </w:r>
      <m:oMath>
        <m:r>
          <w:rPr>
            <w:rFonts w:ascii="Cambria Math" w:eastAsiaTheme="minorEastAsia" w:hAnsi="Cambria Math" w:cs="Arial"/>
            <w:lang w:val="en-US"/>
          </w:rPr>
          <m:t>N&gt;M</m:t>
        </m:r>
      </m:oMath>
      <w:r>
        <w:rPr>
          <w:rFonts w:eastAsiaTheme="minorEastAsia" w:cs="Arial" w:hint="cs"/>
          <w:rtl/>
          <w:lang w:val="en-US"/>
        </w:rPr>
        <w:t>) שנגמרות באותה המילה. מאחר ו-</w:t>
      </w:r>
      <w:r w:rsidR="003D7B85" w:rsidRPr="003D7B85">
        <w:rPr>
          <w:rFonts w:ascii="Cambria Math" w:eastAsiaTheme="minorEastAsia" w:hAnsi="Cambria Math" w:cs="Arial"/>
          <w:i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N&gt;M</m:t>
        </m:r>
      </m:oMath>
      <w:r w:rsidR="003D7B85">
        <w:rPr>
          <w:rFonts w:ascii="Cambria Math" w:eastAsiaTheme="minorEastAsia" w:hAnsi="Cambria Math" w:cs="Arial" w:hint="cs"/>
          <w:i/>
          <w:rtl/>
          <w:lang w:val="en-US"/>
        </w:rPr>
        <w:t xml:space="preserve">, אין תג שיבשר את סיום </w:t>
      </w:r>
      <m:oMath>
        <m:r>
          <w:rPr>
            <w:rFonts w:ascii="Cambria Math" w:eastAsiaTheme="minorEastAsia" w:hAnsi="Cambria Math" w:cs="Arial"/>
            <w:lang w:val="en-US"/>
          </w:rPr>
          <m:t>N</m:t>
        </m:r>
      </m:oMath>
      <w:r w:rsidR="003D7B85">
        <w:rPr>
          <w:rFonts w:ascii="Cambria Math" w:eastAsiaTheme="minorEastAsia" w:hAnsi="Cambria Math" w:cs="Arial" w:hint="cs"/>
          <w:i/>
          <w:rtl/>
          <w:lang w:val="en-US"/>
        </w:rPr>
        <w:t xml:space="preserve"> הישויות המקוננות, לכן הסכמה לא פותרת את הבעיה.</w:t>
      </w:r>
    </w:p>
    <w:p w14:paraId="73BB7480" w14:textId="77777777" w:rsidR="007F708E" w:rsidRDefault="00662971" w:rsidP="007F708E">
      <w:pPr>
        <w:rPr>
          <w:rFonts w:eastAsiaTheme="minorEastAsia"/>
          <w:u w:val="single"/>
          <w:rtl/>
          <w:lang w:val="en-US"/>
        </w:rPr>
      </w:pPr>
      <w:r w:rsidRPr="00662971">
        <w:rPr>
          <w:rFonts w:eastAsiaTheme="minorEastAsia"/>
          <w:u w:val="single"/>
          <w:lang w:val="en-US"/>
        </w:rPr>
        <w:t>Q</w:t>
      </w:r>
      <w:r>
        <w:rPr>
          <w:rFonts w:eastAsiaTheme="minorEastAsia"/>
          <w:u w:val="single"/>
          <w:lang w:val="en-US"/>
        </w:rPr>
        <w:t>3</w:t>
      </w:r>
    </w:p>
    <w:p w14:paraId="085E74BB" w14:textId="71D181DA" w:rsidR="00662971" w:rsidRPr="007F708E" w:rsidRDefault="007113BE" w:rsidP="0075532E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מוצג </w:t>
      </w:r>
      <w:r w:rsidR="00DC1F93">
        <w:rPr>
          <w:rFonts w:eastAsiaTheme="minorEastAsia" w:hint="cs"/>
          <w:rtl/>
          <w:lang w:val="en-US"/>
        </w:rPr>
        <w:t>בעמוד הבא</w:t>
      </w:r>
      <w:r>
        <w:rPr>
          <w:rFonts w:eastAsiaTheme="minorEastAsia" w:hint="cs"/>
          <w:rtl/>
          <w:lang w:val="en-US"/>
        </w:rPr>
        <w:t xml:space="preserve"> כהדפסה של ה</w:t>
      </w:r>
      <w:proofErr w:type="spellStart"/>
      <w:r>
        <w:rPr>
          <w:rFonts w:eastAsiaTheme="minorEastAsia"/>
          <w:lang w:val="en-US"/>
        </w:rPr>
        <w:t>colab</w:t>
      </w:r>
      <w:proofErr w:type="spellEnd"/>
      <w:r>
        <w:rPr>
          <w:rFonts w:eastAsiaTheme="minorEastAsia"/>
          <w:lang w:val="en-US"/>
        </w:rPr>
        <w:t xml:space="preserve"> notebook</w:t>
      </w:r>
      <w:r w:rsidR="00DC1F93">
        <w:rPr>
          <w:rFonts w:eastAsiaTheme="minorEastAsia" w:hint="cs"/>
          <w:rtl/>
          <w:lang w:val="en-US"/>
        </w:rPr>
        <w:t>.</w:t>
      </w:r>
    </w:p>
    <w:sectPr w:rsidR="00662971" w:rsidRPr="007F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14ED6"/>
    <w:rsid w:val="000A429F"/>
    <w:rsid w:val="0011351B"/>
    <w:rsid w:val="00172449"/>
    <w:rsid w:val="001B1C33"/>
    <w:rsid w:val="00263DA5"/>
    <w:rsid w:val="00283D2E"/>
    <w:rsid w:val="00317518"/>
    <w:rsid w:val="00363438"/>
    <w:rsid w:val="003D7B85"/>
    <w:rsid w:val="003F0AAC"/>
    <w:rsid w:val="00485410"/>
    <w:rsid w:val="00491201"/>
    <w:rsid w:val="004E348C"/>
    <w:rsid w:val="00527C57"/>
    <w:rsid w:val="0054609E"/>
    <w:rsid w:val="005D18BE"/>
    <w:rsid w:val="005F7EC4"/>
    <w:rsid w:val="0062615A"/>
    <w:rsid w:val="00662971"/>
    <w:rsid w:val="00680DF1"/>
    <w:rsid w:val="006E2882"/>
    <w:rsid w:val="007113BE"/>
    <w:rsid w:val="00737B69"/>
    <w:rsid w:val="0075532E"/>
    <w:rsid w:val="007C3B93"/>
    <w:rsid w:val="007F708E"/>
    <w:rsid w:val="008531C8"/>
    <w:rsid w:val="009A5D4A"/>
    <w:rsid w:val="009C33F1"/>
    <w:rsid w:val="00B57988"/>
    <w:rsid w:val="00B85928"/>
    <w:rsid w:val="00DC0089"/>
    <w:rsid w:val="00DC1F93"/>
    <w:rsid w:val="00DD43E7"/>
    <w:rsid w:val="00DF4387"/>
    <w:rsid w:val="00E64BC9"/>
    <w:rsid w:val="00EA1ADE"/>
    <w:rsid w:val="00EA4C65"/>
    <w:rsid w:val="00F00AB2"/>
    <w:rsid w:val="00F617FD"/>
    <w:rsid w:val="00F80276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25</cp:revision>
  <cp:lastPrinted>2024-02-05T18:56:00Z</cp:lastPrinted>
  <dcterms:created xsi:type="dcterms:W3CDTF">2024-02-05T11:05:00Z</dcterms:created>
  <dcterms:modified xsi:type="dcterms:W3CDTF">2024-02-05T19:04:00Z</dcterms:modified>
</cp:coreProperties>
</file>