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9B2" w:rsidRPr="001379B2" w:rsidRDefault="001379B2" w:rsidP="001379B2">
      <w:pPr>
        <w:jc w:val="both"/>
        <w:rPr>
          <w:rFonts w:ascii="Times New Roman" w:eastAsia="Times New Roman" w:hAnsi="Times New Roman" w:cs="Times New Roman"/>
          <w:sz w:val="28"/>
          <w:szCs w:val="26"/>
          <w:lang w:val="uk-UA" w:eastAsia="ru-RU"/>
        </w:rPr>
      </w:pPr>
      <w:r w:rsidRPr="001379B2">
        <w:rPr>
          <w:rFonts w:ascii="Times New Roman" w:eastAsia="Times New Roman" w:hAnsi="Times New Roman" w:cs="Times New Roman"/>
          <w:sz w:val="28"/>
          <w:szCs w:val="26"/>
          <w:lang w:val="uk-UA" w:eastAsia="ru-RU"/>
        </w:rPr>
        <w:t>Відстань між об’єктами за певною ознакою вимірюється як квадратний корінь модуля різниці квадратів значень ознаки об’єкта. При нормалізації відстань також зводиться до діапазону 0-1.</w:t>
      </w:r>
    </w:p>
    <w:p w:rsidR="001379B2" w:rsidRDefault="001379B2" w:rsidP="001379B2">
      <w:pPr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r w:rsidRPr="001379B2">
        <w:rPr>
          <w:rFonts w:ascii="Times New Roman" w:eastAsia="Times New Roman" w:hAnsi="Times New Roman" w:cs="Times New Roman"/>
          <w:i/>
          <w:sz w:val="28"/>
          <w:lang w:val="uk-UA" w:eastAsia="ru-RU"/>
        </w:rPr>
        <w:t>Суть методу найближчого сусіда</w:t>
      </w: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:</w:t>
      </w:r>
    </w:p>
    <w:p w:rsidR="001379B2" w:rsidRPr="001379B2" w:rsidRDefault="001379B2" w:rsidP="001379B2">
      <w:pPr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ab/>
        <w:t>– м</w:t>
      </w: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етод полягає в тому, що два об'єкти, які належать одній і тій самій групі (кластері), мають коефіцієнт подібності, який менше деякого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порогового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значення S. В термінах евклідової відстані d це означає, що відстань між двома точками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(об'єктами) кластеру не повинна перевищувати деякого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порогового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значення h. Таким чином, h визначає максимально допустимий діаметр підмножини, що утворює кластер.</w:t>
      </w:r>
    </w:p>
    <w:p w:rsidR="001379B2" w:rsidRPr="001379B2" w:rsidRDefault="001379B2" w:rsidP="001379B2">
      <w:pPr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r w:rsidRPr="001379B2">
        <w:rPr>
          <w:rFonts w:ascii="Times New Roman" w:eastAsia="Times New Roman" w:hAnsi="Times New Roman" w:cs="Times New Roman"/>
          <w:i/>
          <w:sz w:val="28"/>
          <w:lang w:val="uk-UA" w:eastAsia="ru-RU"/>
        </w:rPr>
        <w:t>Суть методу найвіддаленішого сусіда зі застосуванням нормалізації</w:t>
      </w: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:</w:t>
      </w:r>
    </w:p>
    <w:p w:rsidR="001379B2" w:rsidRPr="001379B2" w:rsidRDefault="001379B2" w:rsidP="001379B2">
      <w:pPr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Кожен об'єкт розглядається як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одноточковий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кластер. Об'єкти групуються за наступним правилом: два кластери об'єднуються, якщо максимальна відстань між точками одного кластеру та точками іншого мінімальна. Процедура складається з n - 1 кроків і результатом є розбиття, які співпадають з можливими розбиттями в попередньому методі для будь-яких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порогових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значень.</w:t>
      </w:r>
    </w:p>
    <w:p w:rsidR="001379B2" w:rsidRPr="001379B2" w:rsidRDefault="001379B2" w:rsidP="001379B2">
      <w:pPr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ab/>
      </w:r>
      <w:r w:rsidRPr="001379B2">
        <w:rPr>
          <w:rFonts w:ascii="Times New Roman" w:eastAsia="Times New Roman" w:hAnsi="Times New Roman" w:cs="Times New Roman"/>
          <w:i/>
          <w:sz w:val="28"/>
          <w:lang w:val="uk-UA" w:eastAsia="ru-RU"/>
        </w:rPr>
        <w:t xml:space="preserve">Суть методу </w:t>
      </w:r>
      <w:proofErr w:type="spellStart"/>
      <w:r w:rsidRPr="001379B2">
        <w:rPr>
          <w:rFonts w:ascii="Times New Roman" w:eastAsia="Times New Roman" w:hAnsi="Times New Roman" w:cs="Times New Roman"/>
          <w:i/>
          <w:sz w:val="28"/>
          <w:lang w:val="uk-UA" w:eastAsia="ru-RU"/>
        </w:rPr>
        <w:t>Варда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:</w:t>
      </w:r>
    </w:p>
    <w:p w:rsidR="001379B2" w:rsidRPr="001379B2" w:rsidRDefault="001379B2" w:rsidP="001379B2">
      <w:pPr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В якості цільової функції застосовуємо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внутрішньогрупову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суму квадратів відхилень, що є не що інше, як сума квадратів відстаней між кожною точкою</w:t>
      </w:r>
    </w:p>
    <w:p w:rsidR="001379B2" w:rsidRDefault="001379B2" w:rsidP="001379B2">
      <w:pPr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(об'єктом) і середньою по кластеру, який містить цей об'єкт. На кожному кроці об'єднуються такі два кластери, які призводять до мінімального збільшення цільової функції, тобто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внутрішньогрупової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суми квадратів. Цей метод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направлений на об'єднання близько розташованих кластерів.</w:t>
      </w: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cr/>
      </w:r>
    </w:p>
    <w:p w:rsid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ru-RU" w:eastAsia="ru-RU"/>
        </w:rPr>
      </w:pP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Дендрограмма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кластеризації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методом найближчого сусіда:</w:t>
      </w:r>
    </w:p>
    <w:p w:rsidR="001379B2" w:rsidRPr="001379B2" w:rsidRDefault="001379B2" w:rsidP="001379B2">
      <w:pPr>
        <w:autoSpaceDE w:val="0"/>
        <w:autoSpaceDN w:val="0"/>
        <w:adjustRightInd w:val="0"/>
        <w:rPr>
          <w:rFonts w:ascii="Times New Roman" w:eastAsia="Calibri" w:hAnsi="Times New Roman" w:cs="Times New Roman"/>
          <w:lang w:val="ru-RU"/>
        </w:rPr>
      </w:pPr>
      <w:r w:rsidRPr="001379B2">
        <w:rPr>
          <w:rFonts w:ascii="Times New Roman" w:eastAsia="Calibri" w:hAnsi="Times New Roman" w:cs="Times New Roman"/>
          <w:noProof/>
          <w:lang w:val="ru-RU" w:eastAsia="ru-RU"/>
        </w:rPr>
        <w:lastRenderedPageBreak/>
        <w:drawing>
          <wp:inline distT="0" distB="0" distL="0" distR="0" wp14:anchorId="6126D3C0" wp14:editId="29964AB6">
            <wp:extent cx="5972175" cy="58197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9B2" w:rsidRPr="001379B2" w:rsidRDefault="001379B2" w:rsidP="001379B2">
      <w:pPr>
        <w:rPr>
          <w:rFonts w:ascii="Times New Roman" w:eastAsia="Calibri" w:hAnsi="Times New Roman" w:cs="Times New Roman"/>
          <w:lang w:val="ru-RU"/>
        </w:rPr>
      </w:pPr>
      <w:r w:rsidRPr="001379B2">
        <w:rPr>
          <w:rFonts w:ascii="Times New Roman" w:eastAsia="Calibri" w:hAnsi="Times New Roman" w:cs="Times New Roman"/>
          <w:lang w:val="ru-RU"/>
        </w:rPr>
        <w:br w:type="page"/>
      </w:r>
    </w:p>
    <w:p w:rsidR="001379B2" w:rsidRPr="001379B2" w:rsidRDefault="001379B2" w:rsidP="001379B2">
      <w:pPr>
        <w:autoSpaceDE w:val="0"/>
        <w:autoSpaceDN w:val="0"/>
        <w:adjustRightInd w:val="0"/>
        <w:rPr>
          <w:rFonts w:ascii="Times New Roman" w:eastAsia="Calibri" w:hAnsi="Times New Roman" w:cs="Times New Roman"/>
          <w:lang w:val="ru-RU"/>
        </w:rPr>
      </w:pPr>
    </w:p>
    <w:p w:rsidR="001379B2" w:rsidRPr="001379B2" w:rsidRDefault="001379B2" w:rsidP="001379B2">
      <w:pPr>
        <w:autoSpaceDE w:val="0"/>
        <w:autoSpaceDN w:val="0"/>
        <w:adjustRightInd w:val="0"/>
        <w:rPr>
          <w:rFonts w:ascii="Times New Roman" w:eastAsia="Calibri" w:hAnsi="Times New Roman" w:cs="Times New Roman"/>
          <w:lang w:val="ru-RU"/>
        </w:rPr>
      </w:pP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Дендрограмма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кластеризації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методом найвіддаленішого сусіда зі застосуванням нормалізації:</w:t>
      </w:r>
    </w:p>
    <w:p w:rsidR="001379B2" w:rsidRPr="001379B2" w:rsidRDefault="001379B2" w:rsidP="001379B2">
      <w:pPr>
        <w:autoSpaceDE w:val="0"/>
        <w:autoSpaceDN w:val="0"/>
        <w:adjustRightInd w:val="0"/>
        <w:rPr>
          <w:rFonts w:ascii="Times New Roman" w:eastAsia="Calibri" w:hAnsi="Times New Roman" w:cs="Times New Roman"/>
          <w:lang w:val="ru-RU"/>
        </w:rPr>
      </w:pPr>
      <w:r w:rsidRPr="001379B2">
        <w:rPr>
          <w:rFonts w:ascii="Times New Roman" w:eastAsia="Calibri" w:hAnsi="Times New Roman" w:cs="Times New Roman"/>
          <w:noProof/>
          <w:lang w:val="ru-RU" w:eastAsia="ru-RU"/>
        </w:rPr>
        <w:drawing>
          <wp:inline distT="0" distB="0" distL="0" distR="0" wp14:anchorId="05BCF96B" wp14:editId="3DB9346B">
            <wp:extent cx="5972175" cy="5819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9B2" w:rsidRPr="001379B2" w:rsidRDefault="001379B2" w:rsidP="001379B2">
      <w:pPr>
        <w:autoSpaceDE w:val="0"/>
        <w:autoSpaceDN w:val="0"/>
        <w:adjustRightInd w:val="0"/>
        <w:rPr>
          <w:rFonts w:ascii="Times New Roman" w:eastAsia="Calibri" w:hAnsi="Times New Roman" w:cs="Times New Roman"/>
          <w:lang w:val="ru-RU"/>
        </w:rPr>
      </w:pPr>
    </w:p>
    <w:p w:rsidR="001379B2" w:rsidRPr="001379B2" w:rsidRDefault="001379B2" w:rsidP="001379B2">
      <w:pPr>
        <w:autoSpaceDE w:val="0"/>
        <w:autoSpaceDN w:val="0"/>
        <w:adjustRightInd w:val="0"/>
        <w:spacing w:line="400" w:lineRule="atLeast"/>
        <w:rPr>
          <w:rFonts w:ascii="Times New Roman" w:eastAsia="Calibri" w:hAnsi="Times New Roman" w:cs="Times New Roman"/>
          <w:lang w:val="ru-RU"/>
        </w:rPr>
      </w:pPr>
    </w:p>
    <w:p w:rsidR="001379B2" w:rsidRPr="001379B2" w:rsidRDefault="001379B2" w:rsidP="001379B2">
      <w:pPr>
        <w:autoSpaceDE w:val="0"/>
        <w:autoSpaceDN w:val="0"/>
        <w:adjustRightInd w:val="0"/>
        <w:rPr>
          <w:rFonts w:ascii="Times New Roman" w:eastAsia="Calibri" w:hAnsi="Times New Roman" w:cs="Times New Roman"/>
          <w:lang w:val="ru-RU"/>
        </w:rPr>
      </w:pPr>
    </w:p>
    <w:p w:rsidR="001379B2" w:rsidRPr="001379B2" w:rsidRDefault="001379B2" w:rsidP="001379B2">
      <w:pPr>
        <w:rPr>
          <w:rFonts w:ascii="Times New Roman" w:eastAsia="Calibri" w:hAnsi="Times New Roman" w:cs="Times New Roman"/>
          <w:lang w:val="ru-RU"/>
        </w:rPr>
      </w:pPr>
      <w:r w:rsidRPr="001379B2">
        <w:rPr>
          <w:rFonts w:ascii="Times New Roman" w:eastAsia="Calibri" w:hAnsi="Times New Roman" w:cs="Times New Roman"/>
          <w:lang w:val="ru-RU"/>
        </w:rPr>
        <w:br w:type="page"/>
      </w:r>
    </w:p>
    <w:p w:rsidR="001379B2" w:rsidRPr="001379B2" w:rsidRDefault="001379B2" w:rsidP="001379B2">
      <w:pPr>
        <w:autoSpaceDE w:val="0"/>
        <w:autoSpaceDN w:val="0"/>
        <w:adjustRightInd w:val="0"/>
        <w:rPr>
          <w:rFonts w:ascii="Times New Roman" w:eastAsia="Calibri" w:hAnsi="Times New Roman" w:cs="Times New Roman"/>
          <w:lang w:val="ru-RU"/>
        </w:rPr>
      </w:pP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Дендрограмма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кластеризації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методом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Варла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:</w:t>
      </w:r>
    </w:p>
    <w:p w:rsidR="001379B2" w:rsidRPr="001379B2" w:rsidRDefault="001379B2" w:rsidP="001379B2">
      <w:pPr>
        <w:autoSpaceDE w:val="0"/>
        <w:autoSpaceDN w:val="0"/>
        <w:adjustRightInd w:val="0"/>
        <w:rPr>
          <w:rFonts w:ascii="Times New Roman" w:eastAsia="Calibri" w:hAnsi="Times New Roman" w:cs="Times New Roman"/>
          <w:lang w:val="ru-RU"/>
        </w:rPr>
      </w:pPr>
      <w:r w:rsidRPr="001379B2">
        <w:rPr>
          <w:rFonts w:ascii="Times New Roman" w:eastAsia="Calibri" w:hAnsi="Times New Roman" w:cs="Times New Roman"/>
          <w:noProof/>
          <w:lang w:val="ru-RU" w:eastAsia="ru-RU"/>
        </w:rPr>
        <w:drawing>
          <wp:inline distT="0" distB="0" distL="0" distR="0" wp14:anchorId="051CCFB5" wp14:editId="3D58F645">
            <wp:extent cx="5972175" cy="58197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9B2" w:rsidRPr="001379B2" w:rsidRDefault="001379B2" w:rsidP="001379B2">
      <w:pPr>
        <w:autoSpaceDE w:val="0"/>
        <w:autoSpaceDN w:val="0"/>
        <w:adjustRightInd w:val="0"/>
        <w:rPr>
          <w:rFonts w:ascii="Times New Roman" w:eastAsia="Calibri" w:hAnsi="Times New Roman" w:cs="Times New Roman"/>
          <w:lang w:val="ru-RU"/>
        </w:rPr>
      </w:pPr>
    </w:p>
    <w:p w:rsidR="001379B2" w:rsidRPr="001379B2" w:rsidRDefault="001379B2" w:rsidP="001379B2">
      <w:pPr>
        <w:autoSpaceDE w:val="0"/>
        <w:autoSpaceDN w:val="0"/>
        <w:adjustRightInd w:val="0"/>
        <w:spacing w:line="400" w:lineRule="atLeast"/>
        <w:rPr>
          <w:rFonts w:ascii="Times New Roman" w:eastAsia="Calibri" w:hAnsi="Times New Roman" w:cs="Times New Roman"/>
          <w:lang w:val="ru-RU"/>
        </w:rPr>
      </w:pP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1379B2" w:rsidRPr="001379B2" w:rsidRDefault="001379B2" w:rsidP="001379B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79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Висновок: На основі</w:t>
      </w: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отриманих даних ми визначили, що оптимально розділяти данні на чотири кластери. В перший кластер повинні входити м. Київ. В другий – Дніпропетровська. В третій – Вінницька, Полтавська, Запорізька, Київська, Львівська, Одеська, Харківська, Донецька. В четвертий – всі інші.</w:t>
      </w: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ru-RU" w:eastAsia="ru-RU"/>
        </w:rPr>
      </w:pPr>
      <w:proofErr w:type="spellStart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>Таблиця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 xml:space="preserve"> 2.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>Результати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кластерного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>розподілу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>регіонів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>використання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proofErr w:type="gramStart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>р</w:t>
      </w:r>
      <w:proofErr w:type="gramEnd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>ізних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>методів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кластерного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>аналізу</w:t>
      </w:r>
      <w:proofErr w:type="spellEnd"/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ru-RU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5"/>
        <w:gridCol w:w="2715"/>
        <w:gridCol w:w="2386"/>
        <w:gridCol w:w="4433"/>
      </w:tblGrid>
      <w:tr w:rsidR="001379B2" w:rsidRPr="001379B2" w:rsidTr="00EA4DD4">
        <w:tc>
          <w:tcPr>
            <w:tcW w:w="745" w:type="dxa"/>
            <w:vMerge w:val="restart"/>
            <w:vAlign w:val="center"/>
          </w:tcPr>
          <w:p w:rsidR="001379B2" w:rsidRPr="001379B2" w:rsidRDefault="001379B2" w:rsidP="001379B2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  <w:t>№</w:t>
            </w:r>
          </w:p>
        </w:tc>
        <w:tc>
          <w:tcPr>
            <w:tcW w:w="9534" w:type="dxa"/>
            <w:gridSpan w:val="3"/>
          </w:tcPr>
          <w:p w:rsidR="001379B2" w:rsidRPr="001379B2" w:rsidRDefault="001379B2" w:rsidP="001379B2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</w:pPr>
            <w:proofErr w:type="spellStart"/>
            <w:r w:rsidRPr="001379B2"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  <w:t>Методи</w:t>
            </w:r>
            <w:proofErr w:type="spellEnd"/>
          </w:p>
        </w:tc>
      </w:tr>
      <w:tr w:rsidR="001379B2" w:rsidRPr="001379B2" w:rsidTr="00EA4DD4">
        <w:tc>
          <w:tcPr>
            <w:tcW w:w="745" w:type="dxa"/>
            <w:vMerge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</w:pPr>
          </w:p>
        </w:tc>
        <w:tc>
          <w:tcPr>
            <w:tcW w:w="2715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</w:pPr>
            <w:proofErr w:type="spellStart"/>
            <w:r w:rsidRPr="001379B2"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  <w:t>Найближчого</w:t>
            </w:r>
            <w:proofErr w:type="spellEnd"/>
            <w:r w:rsidRPr="001379B2"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  <w:t xml:space="preserve"> </w:t>
            </w:r>
            <w:proofErr w:type="spellStart"/>
            <w:r w:rsidRPr="001379B2"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  <w:t>сусіда</w:t>
            </w:r>
            <w:proofErr w:type="spellEnd"/>
          </w:p>
        </w:tc>
        <w:tc>
          <w:tcPr>
            <w:tcW w:w="2386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</w:pPr>
            <w:proofErr w:type="spellStart"/>
            <w:r w:rsidRPr="001379B2"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  <w:t>Варда</w:t>
            </w:r>
            <w:proofErr w:type="spellEnd"/>
          </w:p>
        </w:tc>
        <w:tc>
          <w:tcPr>
            <w:tcW w:w="4433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</w:pPr>
            <w:proofErr w:type="spellStart"/>
            <w:r w:rsidRPr="001379B2"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  <w:t>Найдальшого</w:t>
            </w:r>
            <w:proofErr w:type="spellEnd"/>
            <w:r w:rsidRPr="001379B2"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  <w:t xml:space="preserve"> </w:t>
            </w:r>
            <w:proofErr w:type="spellStart"/>
            <w:r w:rsidRPr="001379B2"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  <w:t>сусіда</w:t>
            </w:r>
            <w:proofErr w:type="spellEnd"/>
            <w:r w:rsidRPr="001379B2"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  <w:t xml:space="preserve">, </w:t>
            </w:r>
            <w:proofErr w:type="spellStart"/>
            <w:r w:rsidRPr="001379B2"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  <w:t>нормалізований</w:t>
            </w:r>
            <w:proofErr w:type="spellEnd"/>
          </w:p>
        </w:tc>
      </w:tr>
      <w:tr w:rsidR="001379B2" w:rsidRPr="001379B2" w:rsidTr="00EA4DD4">
        <w:tc>
          <w:tcPr>
            <w:tcW w:w="745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  <w:t>1</w:t>
            </w:r>
          </w:p>
        </w:tc>
        <w:tc>
          <w:tcPr>
            <w:tcW w:w="2715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м. Київ</w:t>
            </w:r>
          </w:p>
        </w:tc>
        <w:tc>
          <w:tcPr>
            <w:tcW w:w="2386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м. Київ</w:t>
            </w:r>
          </w:p>
        </w:tc>
        <w:tc>
          <w:tcPr>
            <w:tcW w:w="4433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м. Київ</w:t>
            </w:r>
          </w:p>
        </w:tc>
      </w:tr>
      <w:tr w:rsidR="001379B2" w:rsidRPr="001379B2" w:rsidTr="00EA4DD4">
        <w:tc>
          <w:tcPr>
            <w:tcW w:w="745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  <w:t>2</w:t>
            </w:r>
          </w:p>
        </w:tc>
        <w:tc>
          <w:tcPr>
            <w:tcW w:w="2715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Дніпропетровська</w:t>
            </w:r>
          </w:p>
        </w:tc>
        <w:tc>
          <w:tcPr>
            <w:tcW w:w="2386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Дніпропетровська</w:t>
            </w:r>
          </w:p>
        </w:tc>
        <w:tc>
          <w:tcPr>
            <w:tcW w:w="4433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Дніпропетровська</w:t>
            </w:r>
          </w:p>
        </w:tc>
      </w:tr>
      <w:tr w:rsidR="001379B2" w:rsidRPr="0021653D" w:rsidTr="00EA4DD4">
        <w:tc>
          <w:tcPr>
            <w:tcW w:w="745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  <w:t>3</w:t>
            </w:r>
          </w:p>
        </w:tc>
        <w:tc>
          <w:tcPr>
            <w:tcW w:w="2715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Донецька</w:t>
            </w:r>
          </w:p>
        </w:tc>
        <w:tc>
          <w:tcPr>
            <w:tcW w:w="2386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>Київська</w:t>
            </w:r>
          </w:p>
        </w:tc>
        <w:tc>
          <w:tcPr>
            <w:tcW w:w="4433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t xml:space="preserve">Вінницька, Полтавська, </w:t>
            </w:r>
            <w:r w:rsidRPr="001379B2">
              <w:rPr>
                <w:rFonts w:ascii="Times New Roman" w:eastAsia="Times New Roman" w:hAnsi="Times New Roman" w:cs="Times New Roman"/>
                <w:sz w:val="28"/>
                <w:lang w:val="uk-UA" w:eastAsia="ru-RU"/>
              </w:rPr>
              <w:lastRenderedPageBreak/>
              <w:t>Запорізька, Київська, Львівська, Одеська, Харківська, Донецька</w:t>
            </w:r>
          </w:p>
        </w:tc>
      </w:tr>
      <w:tr w:rsidR="001379B2" w:rsidRPr="001379B2" w:rsidTr="00EA4DD4">
        <w:tc>
          <w:tcPr>
            <w:tcW w:w="745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  <w:lastRenderedPageBreak/>
              <w:t>4</w:t>
            </w:r>
          </w:p>
        </w:tc>
        <w:tc>
          <w:tcPr>
            <w:tcW w:w="2715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</w:pPr>
            <w:proofErr w:type="spellStart"/>
            <w:r w:rsidRPr="001379B2"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  <w:t>Інші</w:t>
            </w:r>
            <w:proofErr w:type="spellEnd"/>
          </w:p>
        </w:tc>
        <w:tc>
          <w:tcPr>
            <w:tcW w:w="2386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</w:pPr>
            <w:proofErr w:type="spellStart"/>
            <w:r w:rsidRPr="001379B2"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  <w:t>Інші</w:t>
            </w:r>
            <w:proofErr w:type="spellEnd"/>
          </w:p>
        </w:tc>
        <w:tc>
          <w:tcPr>
            <w:tcW w:w="4433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</w:pPr>
            <w:proofErr w:type="spellStart"/>
            <w:r w:rsidRPr="001379B2">
              <w:rPr>
                <w:rFonts w:ascii="Times New Roman" w:eastAsia="Times New Roman" w:hAnsi="Times New Roman" w:cs="Times New Roman"/>
                <w:sz w:val="28"/>
                <w:lang w:val="ru-RU" w:eastAsia="ru-RU"/>
              </w:rPr>
              <w:t>Інші</w:t>
            </w:r>
            <w:proofErr w:type="spellEnd"/>
          </w:p>
        </w:tc>
      </w:tr>
    </w:tbl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ru-RU" w:eastAsia="ru-RU"/>
        </w:rPr>
      </w:pP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ru-RU" w:eastAsia="ru-RU"/>
        </w:rPr>
      </w:pP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  <w:proofErr w:type="spellStart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>Таблиця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 xml:space="preserve"> 3.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>Кластерний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>розподіл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>регіонів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>України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за </w:t>
      </w:r>
      <w:proofErr w:type="spellStart"/>
      <w:proofErr w:type="gramStart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>р</w:t>
      </w:r>
      <w:proofErr w:type="gramEnd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>івнем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>соціально-демографічного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>розвитку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2015 р. </w:t>
      </w: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За методом найдальшого сусіда з нормалізацією.</w:t>
      </w: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ru-RU" w:eastAsia="ru-RU"/>
        </w:rPr>
      </w:pP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ru-RU" w:eastAsia="ru-RU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1611"/>
        <w:gridCol w:w="1417"/>
        <w:gridCol w:w="1701"/>
        <w:gridCol w:w="1701"/>
        <w:gridCol w:w="1699"/>
        <w:gridCol w:w="1668"/>
      </w:tblGrid>
      <w:tr w:rsidR="001379B2" w:rsidRPr="0021653D" w:rsidTr="00EA4DD4">
        <w:tc>
          <w:tcPr>
            <w:tcW w:w="482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№ кластеру</w:t>
            </w:r>
          </w:p>
        </w:tc>
        <w:tc>
          <w:tcPr>
            <w:tcW w:w="1611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Кількість </w:t>
            </w:r>
            <w:proofErr w:type="spellStart"/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живонароджених</w:t>
            </w:r>
            <w:proofErr w:type="spellEnd"/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(осіб)</w:t>
            </w:r>
          </w:p>
        </w:tc>
        <w:tc>
          <w:tcPr>
            <w:tcW w:w="1417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Кількість померлих</w:t>
            </w: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(осіб)</w:t>
            </w:r>
          </w:p>
        </w:tc>
        <w:tc>
          <w:tcPr>
            <w:tcW w:w="1701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Середня заробітна плата</w:t>
            </w: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грн</w:t>
            </w:r>
            <w:proofErr w:type="spellEnd"/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)</w:t>
            </w:r>
          </w:p>
        </w:tc>
        <w:tc>
          <w:tcPr>
            <w:tcW w:w="1701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Експорт    (</w:t>
            </w:r>
            <w:proofErr w:type="spellStart"/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тис.дол</w:t>
            </w:r>
            <w:proofErr w:type="spellEnd"/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 США)</w:t>
            </w:r>
          </w:p>
        </w:tc>
        <w:tc>
          <w:tcPr>
            <w:tcW w:w="1699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Імпорт       (</w:t>
            </w:r>
            <w:proofErr w:type="spellStart"/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тис.дол</w:t>
            </w:r>
            <w:proofErr w:type="spellEnd"/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 США)</w:t>
            </w:r>
          </w:p>
        </w:tc>
        <w:tc>
          <w:tcPr>
            <w:tcW w:w="1668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Обсяг виконаних будівельних робіт</w:t>
            </w: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млн.грн</w:t>
            </w:r>
            <w:proofErr w:type="spellEnd"/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)</w:t>
            </w:r>
          </w:p>
        </w:tc>
      </w:tr>
      <w:tr w:rsidR="001379B2" w:rsidRPr="001379B2" w:rsidTr="00EA4DD4">
        <w:trPr>
          <w:trHeight w:val="403"/>
        </w:trPr>
        <w:tc>
          <w:tcPr>
            <w:tcW w:w="482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611" w:type="dxa"/>
          </w:tcPr>
          <w:p w:rsidR="001379B2" w:rsidRPr="001379B2" w:rsidRDefault="001379B2" w:rsidP="001379B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36570</w:t>
            </w:r>
          </w:p>
        </w:tc>
        <w:tc>
          <w:tcPr>
            <w:tcW w:w="1417" w:type="dxa"/>
          </w:tcPr>
          <w:p w:rsidR="001379B2" w:rsidRPr="001379B2" w:rsidRDefault="001379B2" w:rsidP="001379B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30666</w:t>
            </w:r>
          </w:p>
        </w:tc>
        <w:tc>
          <w:tcPr>
            <w:tcW w:w="1701" w:type="dxa"/>
          </w:tcPr>
          <w:p w:rsidR="001379B2" w:rsidRPr="001379B2" w:rsidRDefault="001379B2" w:rsidP="001379B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8586</w:t>
            </w:r>
          </w:p>
        </w:tc>
        <w:tc>
          <w:tcPr>
            <w:tcW w:w="1701" w:type="dxa"/>
          </w:tcPr>
          <w:p w:rsidR="001379B2" w:rsidRPr="001379B2" w:rsidRDefault="001379B2" w:rsidP="001379B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8558160</w:t>
            </w:r>
          </w:p>
        </w:tc>
        <w:tc>
          <w:tcPr>
            <w:tcW w:w="1699" w:type="dxa"/>
          </w:tcPr>
          <w:p w:rsidR="001379B2" w:rsidRPr="001379B2" w:rsidRDefault="001379B2" w:rsidP="001379B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16115091</w:t>
            </w:r>
          </w:p>
        </w:tc>
        <w:tc>
          <w:tcPr>
            <w:tcW w:w="1668" w:type="dxa"/>
          </w:tcPr>
          <w:p w:rsidR="001379B2" w:rsidRPr="001379B2" w:rsidRDefault="001379B2" w:rsidP="001379B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91794</w:t>
            </w:r>
          </w:p>
        </w:tc>
      </w:tr>
      <w:tr w:rsidR="001379B2" w:rsidRPr="001379B2" w:rsidTr="00EA4DD4">
        <w:tc>
          <w:tcPr>
            <w:tcW w:w="482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611" w:type="dxa"/>
          </w:tcPr>
          <w:p w:rsidR="001379B2" w:rsidRPr="001379B2" w:rsidRDefault="001379B2" w:rsidP="001379B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31000</w:t>
            </w:r>
          </w:p>
        </w:tc>
        <w:tc>
          <w:tcPr>
            <w:tcW w:w="1417" w:type="dxa"/>
          </w:tcPr>
          <w:p w:rsidR="001379B2" w:rsidRPr="001379B2" w:rsidRDefault="001379B2" w:rsidP="001379B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53127</w:t>
            </w:r>
          </w:p>
        </w:tc>
        <w:tc>
          <w:tcPr>
            <w:tcW w:w="1701" w:type="dxa"/>
          </w:tcPr>
          <w:p w:rsidR="001379B2" w:rsidRPr="001379B2" w:rsidRDefault="001379B2" w:rsidP="001379B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5084</w:t>
            </w:r>
          </w:p>
        </w:tc>
        <w:tc>
          <w:tcPr>
            <w:tcW w:w="1701" w:type="dxa"/>
          </w:tcPr>
          <w:p w:rsidR="001379B2" w:rsidRPr="001379B2" w:rsidRDefault="001379B2" w:rsidP="001379B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5859668</w:t>
            </w:r>
          </w:p>
        </w:tc>
        <w:tc>
          <w:tcPr>
            <w:tcW w:w="1699" w:type="dxa"/>
          </w:tcPr>
          <w:p w:rsidR="001379B2" w:rsidRPr="001379B2" w:rsidRDefault="001379B2" w:rsidP="001379B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3431922</w:t>
            </w:r>
          </w:p>
        </w:tc>
        <w:tc>
          <w:tcPr>
            <w:tcW w:w="1668" w:type="dxa"/>
          </w:tcPr>
          <w:p w:rsidR="001379B2" w:rsidRPr="001379B2" w:rsidRDefault="001379B2" w:rsidP="001379B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34241</w:t>
            </w:r>
          </w:p>
        </w:tc>
      </w:tr>
      <w:tr w:rsidR="001379B2" w:rsidRPr="001379B2" w:rsidTr="00EA4DD4">
        <w:tc>
          <w:tcPr>
            <w:tcW w:w="482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1611" w:type="dxa"/>
          </w:tcPr>
          <w:p w:rsidR="001379B2" w:rsidRPr="001379B2" w:rsidRDefault="001379B2" w:rsidP="001379B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159359</w:t>
            </w:r>
          </w:p>
        </w:tc>
        <w:tc>
          <w:tcPr>
            <w:tcW w:w="1417" w:type="dxa"/>
          </w:tcPr>
          <w:p w:rsidR="001379B2" w:rsidRPr="001379B2" w:rsidRDefault="001379B2" w:rsidP="001379B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250246</w:t>
            </w:r>
          </w:p>
        </w:tc>
        <w:tc>
          <w:tcPr>
            <w:tcW w:w="1701" w:type="dxa"/>
          </w:tcPr>
          <w:p w:rsidR="001379B2" w:rsidRPr="001379B2" w:rsidRDefault="001379B2" w:rsidP="001379B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4888,225313</w:t>
            </w:r>
          </w:p>
        </w:tc>
        <w:tc>
          <w:tcPr>
            <w:tcW w:w="1701" w:type="dxa"/>
          </w:tcPr>
          <w:p w:rsidR="001379B2" w:rsidRPr="001379B2" w:rsidRDefault="001379B2" w:rsidP="001379B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13616883,8</w:t>
            </w:r>
          </w:p>
        </w:tc>
        <w:tc>
          <w:tcPr>
            <w:tcW w:w="1699" w:type="dxa"/>
          </w:tcPr>
          <w:p w:rsidR="001379B2" w:rsidRPr="001379B2" w:rsidRDefault="001379B2" w:rsidP="001379B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10391720</w:t>
            </w:r>
          </w:p>
        </w:tc>
        <w:tc>
          <w:tcPr>
            <w:tcW w:w="1668" w:type="dxa"/>
          </w:tcPr>
          <w:p w:rsidR="001379B2" w:rsidRPr="001379B2" w:rsidRDefault="001379B2" w:rsidP="001379B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174705,3</w:t>
            </w:r>
          </w:p>
        </w:tc>
      </w:tr>
      <w:tr w:rsidR="001379B2" w:rsidRPr="001379B2" w:rsidTr="00EA4DD4">
        <w:tc>
          <w:tcPr>
            <w:tcW w:w="482" w:type="dxa"/>
          </w:tcPr>
          <w:p w:rsidR="001379B2" w:rsidRPr="001379B2" w:rsidRDefault="001379B2" w:rsidP="001379B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1611" w:type="dxa"/>
          </w:tcPr>
          <w:p w:rsidR="001379B2" w:rsidRPr="001379B2" w:rsidRDefault="001379B2" w:rsidP="001379B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170110</w:t>
            </w:r>
          </w:p>
        </w:tc>
        <w:tc>
          <w:tcPr>
            <w:tcW w:w="1417" w:type="dxa"/>
          </w:tcPr>
          <w:p w:rsidR="001379B2" w:rsidRPr="001379B2" w:rsidRDefault="001379B2" w:rsidP="001379B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249592</w:t>
            </w:r>
          </w:p>
        </w:tc>
        <w:tc>
          <w:tcPr>
            <w:tcW w:w="1701" w:type="dxa"/>
          </w:tcPr>
          <w:p w:rsidR="001379B2" w:rsidRPr="001379B2" w:rsidRDefault="001379B2" w:rsidP="001379B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4163,057611</w:t>
            </w:r>
          </w:p>
        </w:tc>
        <w:tc>
          <w:tcPr>
            <w:tcW w:w="1701" w:type="dxa"/>
          </w:tcPr>
          <w:p w:rsidR="001379B2" w:rsidRPr="001379B2" w:rsidRDefault="001379B2" w:rsidP="001379B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7991507,9</w:t>
            </w:r>
          </w:p>
        </w:tc>
        <w:tc>
          <w:tcPr>
            <w:tcW w:w="1699" w:type="dxa"/>
          </w:tcPr>
          <w:p w:rsidR="001379B2" w:rsidRPr="001379B2" w:rsidRDefault="001379B2" w:rsidP="001379B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6470310</w:t>
            </w:r>
          </w:p>
        </w:tc>
        <w:tc>
          <w:tcPr>
            <w:tcW w:w="1668" w:type="dxa"/>
          </w:tcPr>
          <w:p w:rsidR="001379B2" w:rsidRPr="001379B2" w:rsidRDefault="001379B2" w:rsidP="001379B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379B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82654,2</w:t>
            </w:r>
          </w:p>
        </w:tc>
      </w:tr>
    </w:tbl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Характеристика кл</w:t>
      </w:r>
      <w:r w:rsidR="0021653D">
        <w:rPr>
          <w:rFonts w:ascii="Times New Roman" w:eastAsia="Times New Roman" w:hAnsi="Times New Roman" w:cs="Times New Roman"/>
          <w:sz w:val="28"/>
          <w:lang w:eastAsia="ru-RU"/>
        </w:rPr>
        <w:t>f</w:t>
      </w:r>
      <w:bookmarkStart w:id="0" w:name="_GoBack"/>
      <w:bookmarkEnd w:id="0"/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стерів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:</w:t>
      </w: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– особливістю першого кластеру є найбільше значення рівню експорту та імпорту і найменша кількість померлих осіб;</w:t>
      </w: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– Особливістю 2 кластеру є найменша кількість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живонароджених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, найменший експорт, імпорт та обсяг виконаних будівельних робіт. </w:t>
      </w: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– особливістю 3 кластеру є найбільша кількість померлих і найбільший обсяг виконаних будівельних робіт;</w:t>
      </w: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– особливістю 4 кластеру є найбільша кількість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живонароджених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, найменша середня заробітна плата та обсяг виконаних будівельних робіт.</w:t>
      </w:r>
    </w:p>
    <w:p w:rsidR="001379B2" w:rsidRPr="001379B2" w:rsidRDefault="001379B2" w:rsidP="001379B2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highlight w:val="white"/>
          <w:lang w:val="uk-UA"/>
        </w:rPr>
      </w:pPr>
      <w:r w:rsidRPr="001379B2">
        <w:rPr>
          <w:rFonts w:ascii="Times New Roman" w:eastAsia="Calibri" w:hAnsi="Times New Roman" w:cs="Times New Roman"/>
          <w:sz w:val="28"/>
          <w:szCs w:val="28"/>
          <w:highlight w:val="white"/>
          <w:lang w:val="uk-UA"/>
        </w:rPr>
        <w:br w:type="page"/>
      </w:r>
    </w:p>
    <w:p w:rsidR="00E7724B" w:rsidRPr="001379B2" w:rsidRDefault="00E7724B">
      <w:pPr>
        <w:rPr>
          <w:lang w:val="uk-UA"/>
        </w:rPr>
      </w:pPr>
    </w:p>
    <w:p w:rsidR="001379B2" w:rsidRDefault="001379B2">
      <w:pPr>
        <w:rPr>
          <w:lang w:val="ru-RU"/>
        </w:rPr>
      </w:pPr>
    </w:p>
    <w:p w:rsidR="001379B2" w:rsidRDefault="001379B2">
      <w:pPr>
        <w:rPr>
          <w:lang w:val="ru-RU"/>
        </w:rPr>
      </w:pPr>
    </w:p>
    <w:p w:rsidR="001379B2" w:rsidRDefault="001379B2">
      <w:pPr>
        <w:rPr>
          <w:lang w:val="ru-RU"/>
        </w:rPr>
      </w:pPr>
    </w:p>
    <w:p w:rsidR="001379B2" w:rsidRDefault="001379B2">
      <w:pPr>
        <w:rPr>
          <w:lang w:val="ru-RU"/>
        </w:rPr>
      </w:pPr>
    </w:p>
    <w:p w:rsidR="001379B2" w:rsidRDefault="001379B2">
      <w:pPr>
        <w:rPr>
          <w:lang w:val="ru-RU"/>
        </w:rPr>
      </w:pPr>
    </w:p>
    <w:p w:rsidR="001379B2" w:rsidRDefault="001379B2">
      <w:pPr>
        <w:rPr>
          <w:lang w:val="ru-RU"/>
        </w:rPr>
      </w:pPr>
    </w:p>
    <w:p w:rsidR="001379B2" w:rsidRDefault="001379B2">
      <w:pPr>
        <w:rPr>
          <w:lang w:val="ru-RU"/>
        </w:rPr>
      </w:pPr>
    </w:p>
    <w:p w:rsidR="001379B2" w:rsidRDefault="001379B2">
      <w:pPr>
        <w:rPr>
          <w:lang w:val="ru-RU"/>
        </w:rPr>
      </w:pPr>
    </w:p>
    <w:p w:rsidR="001379B2" w:rsidRDefault="001379B2">
      <w:pPr>
        <w:rPr>
          <w:lang w:val="ru-RU"/>
        </w:rPr>
      </w:pPr>
    </w:p>
    <w:p w:rsidR="001379B2" w:rsidRDefault="001379B2">
      <w:pPr>
        <w:rPr>
          <w:lang w:val="ru-RU"/>
        </w:rPr>
      </w:pPr>
    </w:p>
    <w:p w:rsidR="001379B2" w:rsidRDefault="001379B2">
      <w:pPr>
        <w:rPr>
          <w:lang w:val="ru-RU"/>
        </w:rPr>
      </w:pPr>
    </w:p>
    <w:p w:rsidR="001379B2" w:rsidRDefault="001379B2">
      <w:pPr>
        <w:rPr>
          <w:lang w:val="ru-RU"/>
        </w:rPr>
      </w:pPr>
    </w:p>
    <w:p w:rsidR="001379B2" w:rsidRDefault="001379B2">
      <w:pPr>
        <w:rPr>
          <w:lang w:val="ru-RU"/>
        </w:rPr>
      </w:pPr>
    </w:p>
    <w:p w:rsidR="001379B2" w:rsidRPr="001379B2" w:rsidRDefault="001379B2" w:rsidP="001379B2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379B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Задачі: </w:t>
      </w:r>
    </w:p>
    <w:p w:rsidR="001379B2" w:rsidRPr="001379B2" w:rsidRDefault="001379B2" w:rsidP="001379B2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379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Кластеризувати</w:t>
      </w:r>
      <w:proofErr w:type="spellEnd"/>
      <w:r w:rsidRPr="001379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данні методом ближнього сусіда, віддаленого сусіда та методом </w:t>
      </w: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379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Варла</w:t>
      </w:r>
      <w:proofErr w:type="spellEnd"/>
      <w:r w:rsidRPr="001379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 допомогою програмних засобів </w:t>
      </w:r>
      <w:proofErr w:type="spellStart"/>
      <w:r w:rsidRPr="001379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дата-майнінгу</w:t>
      </w:r>
      <w:proofErr w:type="spellEnd"/>
      <w:r w:rsidRPr="001379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(SPSS).</w:t>
      </w: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szCs w:val="26"/>
          <w:lang w:val="uk-UA" w:eastAsia="ru-RU"/>
        </w:rPr>
      </w:pPr>
      <w:r w:rsidRPr="001379B2">
        <w:rPr>
          <w:rFonts w:ascii="Times New Roman" w:eastAsia="Times New Roman" w:hAnsi="Times New Roman" w:cs="Times New Roman"/>
          <w:sz w:val="28"/>
          <w:szCs w:val="26"/>
          <w:lang w:val="uk-UA" w:eastAsia="ru-RU"/>
        </w:rPr>
        <w:t>Відстань між об’єктами за певною ознакою вимірюється як квадратний корінь модуля різниці квадратів значень ознаки об’єкта. При нормалізації відстань також зводиться до діапазону 0-1.</w:t>
      </w: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Суть методу найближчого сусіда:</w:t>
      </w:r>
      <w:r w:rsidRPr="001379B2">
        <w:rPr>
          <w:rFonts w:ascii="Times New Roman" w:eastAsia="Times New Roman" w:hAnsi="Times New Roman" w:cs="Times New Roman"/>
          <w:lang w:val="uk-UA" w:eastAsia="ru-RU"/>
        </w:rPr>
        <w:br/>
      </w: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Метод полягає в тому, що два об'єкти, які належать одній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ітій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самій групі (кластері), мають коефіцієнт подібності,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якийменше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деякого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порогового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значення S. В термінах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евклідовоївідстані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d це означає, що відстань між двома точками</w:t>
      </w: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(об'єктами) кластеру не повинна перевищувати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деякогопорогового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значення h. Таким чином, h визначає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максимальнодопустимий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діаметр підмножини, що утворює кластер.</w:t>
      </w: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Суть методу найвіддаленішого сусіда зі застосуванням нормалізації:</w:t>
      </w: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Кожен об'єкт розглядається як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одноточковий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кластер.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Об'єктигрупуються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за наступним правилом: два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кластериоб'єднуються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, якщо максимальна відстань між точками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одногокластеру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та точками іншого мінімальна.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Процедураскладається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з n - 1 кроків і результатом є розбиття,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якіспівпадають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з можливими розбиттями в попередньому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методідля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будь-яких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порогових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значень.</w:t>
      </w: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Суть методу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Варда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:</w:t>
      </w: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В якості цільової функції застосовуємо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внутрішньогрупову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суму квадратів відхилень, що є не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щоінше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, як сума квадратів відстаней між кожною точкою</w:t>
      </w: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(об'єктом) і середньою по кластеру, який містить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цейоб'єкт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. На кожному кроці об'єднуються такі два кластери,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якіпризводять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до мінімального збільшення цільової функції,тобто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внутрішньогрупової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суми квадратів. Цей метод</w:t>
      </w: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направлений на об'єднання близько розташованих кластерів.</w:t>
      </w: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cr/>
      </w: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Таблиця 1 Дані економічних показників за 2016 рік </w:t>
      </w:r>
    </w:p>
    <w:tbl>
      <w:tblPr>
        <w:tblW w:w="103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1580"/>
        <w:gridCol w:w="2020"/>
        <w:gridCol w:w="1760"/>
        <w:gridCol w:w="1660"/>
        <w:gridCol w:w="1480"/>
      </w:tblGrid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Обл.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Експорт</w:t>
            </w:r>
            <w:proofErr w:type="spellEnd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 xml:space="preserve">  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Індекс</w:t>
            </w:r>
            <w:proofErr w:type="spellEnd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споживчих</w:t>
            </w:r>
            <w:proofErr w:type="spellEnd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ц</w:t>
            </w:r>
            <w:proofErr w:type="gram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i</w:t>
            </w:r>
            <w:proofErr w:type="gramEnd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н</w:t>
            </w:r>
            <w:proofErr w:type="spellEnd"/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Чисельн</w:t>
            </w:r>
            <w:proofErr w:type="gram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i</w:t>
            </w:r>
            <w:proofErr w:type="gramEnd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сть</w:t>
            </w:r>
            <w:proofErr w:type="spellEnd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 xml:space="preserve"> н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Кiлькiсть</w:t>
            </w:r>
            <w:proofErr w:type="spellEnd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gram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п</w:t>
            </w:r>
            <w:proofErr w:type="gramEnd"/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Середня</w:t>
            </w:r>
            <w:proofErr w:type="spellEnd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зп</w:t>
            </w:r>
            <w:proofErr w:type="spellEnd"/>
          </w:p>
        </w:tc>
      </w:tr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Вінницька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970358,3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101,7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1583,3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9442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5097</w:t>
            </w:r>
          </w:p>
        </w:tc>
      </w:tr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Волинська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602263,7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102,5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1038,2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5600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5028</w:t>
            </w:r>
          </w:p>
        </w:tc>
      </w:tr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Дніпропетровська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5859667,5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101,7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3227,1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27251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5905</w:t>
            </w:r>
          </w:p>
        </w:tc>
      </w:tr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Донецька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3428478,5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102,7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4231,2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11763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6503</w:t>
            </w:r>
          </w:p>
        </w:tc>
      </w:tr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Житомирська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461775,3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101,5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1241,2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6607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4871</w:t>
            </w:r>
          </w:p>
        </w:tc>
      </w:tr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lastRenderedPageBreak/>
              <w:t>Закарпатська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1165337,2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102,1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1255,9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6111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5191</w:t>
            </w:r>
          </w:p>
        </w:tc>
      </w:tr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Запорізька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2289912,3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102,2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1738,7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14423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5831</w:t>
            </w:r>
          </w:p>
        </w:tc>
      </w:tr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Івано-Франківська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545586,4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103,3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1377,2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7942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5218</w:t>
            </w:r>
          </w:p>
        </w:tc>
      </w:tr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Київська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1696595,1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102,3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1728,7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18164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6160</w:t>
            </w:r>
          </w:p>
        </w:tc>
      </w:tr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Кіровоградська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425137,2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102,5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959,3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7684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4919</w:t>
            </w:r>
          </w:p>
        </w:tc>
      </w:tr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Луганська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435547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102,5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2190,7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3354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5385</w:t>
            </w:r>
          </w:p>
        </w:tc>
      </w:tr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Львівська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1258257,6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102,1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2515,7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18628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5372</w:t>
            </w:r>
          </w:p>
        </w:tc>
      </w:tr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Миколаївська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1664779,6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102,1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1149,4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10569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5743</w:t>
            </w:r>
          </w:p>
        </w:tc>
      </w:tr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Одеська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1517770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102,4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2375,5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23883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5666</w:t>
            </w:r>
          </w:p>
        </w:tc>
      </w:tr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Полтавська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1434992,9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101,6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1419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10142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5466</w:t>
            </w:r>
          </w:p>
        </w:tc>
      </w:tr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proofErr w:type="gram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Р</w:t>
            </w:r>
            <w:proofErr w:type="gramEnd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івненська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310656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102,3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1161,7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5253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5214</w:t>
            </w:r>
          </w:p>
        </w:tc>
      </w:tr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Сумська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532107,1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102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1102,3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5842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5097</w:t>
            </w:r>
          </w:p>
        </w:tc>
      </w:tr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Тернопільська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287831,2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102,7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1055,9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5096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4641</w:t>
            </w:r>
          </w:p>
        </w:tc>
      </w:tr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Харківська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1020519,1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101,7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2685,6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24938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5263</w:t>
            </w:r>
          </w:p>
        </w:tc>
      </w:tr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Херсонська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245035,6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103,3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1054,2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8008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4867</w:t>
            </w:r>
          </w:p>
        </w:tc>
      </w:tr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Хмельницька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314372,4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102,1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1282,1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6992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5027</w:t>
            </w:r>
          </w:p>
        </w:tc>
      </w:tr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Черкаська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468563,2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102,3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1227,6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8296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5055</w:t>
            </w:r>
          </w:p>
        </w:tc>
      </w:tr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Чернівецька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105691,9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101,9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905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4054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4717</w:t>
            </w:r>
          </w:p>
        </w:tc>
      </w:tr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Чернігівська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426824,1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102,4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1024,9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6018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4758</w:t>
            </w:r>
          </w:p>
        </w:tc>
      </w:tr>
      <w:tr w:rsidR="001379B2" w:rsidRPr="001379B2" w:rsidTr="00EA4DD4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м</w:t>
            </w:r>
            <w:proofErr w:type="gram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.К</w:t>
            </w:r>
            <w:proofErr w:type="gramEnd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иїв</w:t>
            </w:r>
            <w:proofErr w:type="spellEnd"/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8558160,2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101,8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2884,5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87380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9292</w:t>
            </w:r>
          </w:p>
        </w:tc>
      </w:tr>
    </w:tbl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379B2">
        <w:rPr>
          <w:rFonts w:ascii="Times New Roman" w:eastAsia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74F15665" wp14:editId="698C5B46">
            <wp:extent cx="2388235" cy="4885690"/>
            <wp:effectExtent l="19050" t="0" r="0" b="0"/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488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Рис 1. Розподілення областей на кластери методом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Варда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1379B2" w:rsidRPr="001379B2" w:rsidRDefault="001379B2" w:rsidP="001379B2">
      <w:pPr>
        <w:ind w:left="360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Таблиця 2 Результати розбиття областей на кластери 5 різними способами.</w:t>
      </w:r>
    </w:p>
    <w:p w:rsidR="001379B2" w:rsidRPr="001379B2" w:rsidRDefault="001379B2" w:rsidP="001379B2">
      <w:pPr>
        <w:ind w:left="360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379B2">
        <w:rPr>
          <w:rFonts w:ascii="Times New Roman" w:eastAsia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48966C90" wp14:editId="4DCFABE0">
            <wp:extent cx="6388573" cy="2470245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2470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eastAsia="ru-RU"/>
        </w:rPr>
      </w:pP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ru-RU" w:eastAsia="ru-RU"/>
        </w:rPr>
      </w:pP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Дендрограмма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кластеризації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методом найближчого сусіда:</w:t>
      </w:r>
    </w:p>
    <w:p w:rsidR="001379B2" w:rsidRPr="001379B2" w:rsidRDefault="001379B2" w:rsidP="001379B2">
      <w:pPr>
        <w:autoSpaceDE w:val="0"/>
        <w:autoSpaceDN w:val="0"/>
        <w:adjustRightInd w:val="0"/>
        <w:rPr>
          <w:rFonts w:ascii="Times New Roman" w:eastAsia="Calibri" w:hAnsi="Times New Roman" w:cs="Times New Roman"/>
          <w:lang w:val="ru-RU"/>
        </w:rPr>
      </w:pPr>
      <w:r w:rsidRPr="001379B2">
        <w:rPr>
          <w:rFonts w:ascii="Times New Roman" w:eastAsia="Calibri" w:hAnsi="Times New Roman" w:cs="Times New Roman"/>
          <w:noProof/>
          <w:lang w:val="ru-RU" w:eastAsia="ru-RU"/>
        </w:rPr>
        <w:drawing>
          <wp:inline distT="0" distB="0" distL="0" distR="0" wp14:anchorId="330188DE" wp14:editId="5CEC73FB">
            <wp:extent cx="6384925" cy="5589905"/>
            <wp:effectExtent l="19050" t="0" r="0" b="0"/>
            <wp:docPr id="8" name="Рисунок 3" descr="C:\Users\Ramlz\Desktop\kpi\karaeva\Nie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lz\Desktop\kpi\karaeva\Nieres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558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B2" w:rsidRPr="001379B2" w:rsidRDefault="001379B2" w:rsidP="001379B2">
      <w:pPr>
        <w:rPr>
          <w:rFonts w:ascii="Times New Roman" w:eastAsia="Calibri" w:hAnsi="Times New Roman" w:cs="Times New Roman"/>
          <w:lang w:val="ru-RU"/>
        </w:rPr>
      </w:pPr>
      <w:r w:rsidRPr="001379B2">
        <w:rPr>
          <w:rFonts w:ascii="Times New Roman" w:eastAsia="Calibri" w:hAnsi="Times New Roman" w:cs="Times New Roman"/>
          <w:lang w:val="ru-RU"/>
        </w:rPr>
        <w:br w:type="page"/>
      </w:r>
    </w:p>
    <w:p w:rsidR="001379B2" w:rsidRPr="001379B2" w:rsidRDefault="001379B2" w:rsidP="001379B2">
      <w:pPr>
        <w:autoSpaceDE w:val="0"/>
        <w:autoSpaceDN w:val="0"/>
        <w:adjustRightInd w:val="0"/>
        <w:rPr>
          <w:rFonts w:ascii="Times New Roman" w:eastAsia="Calibri" w:hAnsi="Times New Roman" w:cs="Times New Roman"/>
          <w:lang w:val="ru-RU"/>
        </w:rPr>
      </w:pPr>
    </w:p>
    <w:p w:rsidR="001379B2" w:rsidRPr="001379B2" w:rsidRDefault="001379B2" w:rsidP="001379B2">
      <w:pPr>
        <w:autoSpaceDE w:val="0"/>
        <w:autoSpaceDN w:val="0"/>
        <w:adjustRightInd w:val="0"/>
        <w:rPr>
          <w:rFonts w:ascii="Times New Roman" w:eastAsia="Calibri" w:hAnsi="Times New Roman" w:cs="Times New Roman"/>
          <w:lang w:val="ru-RU"/>
        </w:rPr>
      </w:pP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Дендрограмма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кластеризації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методом найвіддаленішого сусіда зі застосуванням нормалізації:</w:t>
      </w:r>
    </w:p>
    <w:p w:rsidR="001379B2" w:rsidRPr="001379B2" w:rsidRDefault="001379B2" w:rsidP="001379B2">
      <w:pPr>
        <w:autoSpaceDE w:val="0"/>
        <w:autoSpaceDN w:val="0"/>
        <w:adjustRightInd w:val="0"/>
        <w:rPr>
          <w:rFonts w:ascii="Times New Roman" w:eastAsia="Calibri" w:hAnsi="Times New Roman" w:cs="Times New Roman"/>
          <w:lang w:val="ru-RU"/>
        </w:rPr>
      </w:pPr>
      <w:r w:rsidRPr="001379B2">
        <w:rPr>
          <w:rFonts w:ascii="Times New Roman" w:eastAsia="Calibri" w:hAnsi="Times New Roman" w:cs="Times New Roman"/>
          <w:noProof/>
          <w:lang w:val="ru-RU" w:eastAsia="ru-RU"/>
        </w:rPr>
        <w:drawing>
          <wp:inline distT="0" distB="0" distL="0" distR="0" wp14:anchorId="762A3B06" wp14:editId="4D274306">
            <wp:extent cx="6381750" cy="3780430"/>
            <wp:effectExtent l="19050" t="0" r="0" b="0"/>
            <wp:docPr id="9" name="Рисунок 2" descr="C:\Users\Ramlz\Desktop\kpi\karaeva\Farest neighb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lz\Desktop\kpi\karaeva\Farest neighbou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3782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B2" w:rsidRPr="001379B2" w:rsidRDefault="001379B2" w:rsidP="001379B2">
      <w:pPr>
        <w:autoSpaceDE w:val="0"/>
        <w:autoSpaceDN w:val="0"/>
        <w:adjustRightInd w:val="0"/>
        <w:rPr>
          <w:rFonts w:ascii="Times New Roman" w:eastAsia="Calibri" w:hAnsi="Times New Roman" w:cs="Times New Roman"/>
          <w:lang w:val="ru-RU"/>
        </w:rPr>
      </w:pPr>
    </w:p>
    <w:p w:rsidR="001379B2" w:rsidRPr="001379B2" w:rsidRDefault="001379B2" w:rsidP="001379B2">
      <w:pPr>
        <w:autoSpaceDE w:val="0"/>
        <w:autoSpaceDN w:val="0"/>
        <w:adjustRightInd w:val="0"/>
        <w:spacing w:line="400" w:lineRule="atLeast"/>
        <w:rPr>
          <w:rFonts w:ascii="Times New Roman" w:eastAsia="Calibri" w:hAnsi="Times New Roman" w:cs="Times New Roman"/>
          <w:lang w:val="ru-RU"/>
        </w:rPr>
      </w:pPr>
    </w:p>
    <w:p w:rsidR="001379B2" w:rsidRPr="001379B2" w:rsidRDefault="001379B2" w:rsidP="001379B2">
      <w:pPr>
        <w:autoSpaceDE w:val="0"/>
        <w:autoSpaceDN w:val="0"/>
        <w:adjustRightInd w:val="0"/>
        <w:rPr>
          <w:rFonts w:ascii="Times New Roman" w:eastAsia="Calibri" w:hAnsi="Times New Roman" w:cs="Times New Roman"/>
          <w:lang w:val="ru-RU"/>
        </w:rPr>
      </w:pPr>
    </w:p>
    <w:p w:rsidR="001379B2" w:rsidRPr="001379B2" w:rsidRDefault="001379B2" w:rsidP="001379B2">
      <w:pPr>
        <w:rPr>
          <w:rFonts w:ascii="Times New Roman" w:eastAsia="Times New Roman" w:hAnsi="Times New Roman" w:cs="Times New Roman"/>
          <w:sz w:val="28"/>
          <w:lang w:val="uk-UA" w:eastAsia="ru-RU"/>
        </w:rPr>
      </w:pP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Дендрограмма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кластеризації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методом </w:t>
      </w:r>
      <w:proofErr w:type="spellStart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Варда</w:t>
      </w:r>
      <w:proofErr w:type="spellEnd"/>
      <w:r w:rsidRPr="001379B2">
        <w:rPr>
          <w:rFonts w:ascii="Times New Roman" w:eastAsia="Times New Roman" w:hAnsi="Times New Roman" w:cs="Times New Roman"/>
          <w:sz w:val="28"/>
          <w:lang w:val="uk-UA" w:eastAsia="ru-RU"/>
        </w:rPr>
        <w:t>:</w:t>
      </w:r>
    </w:p>
    <w:p w:rsidR="001379B2" w:rsidRPr="001379B2" w:rsidRDefault="001379B2" w:rsidP="001379B2">
      <w:pPr>
        <w:autoSpaceDE w:val="0"/>
        <w:autoSpaceDN w:val="0"/>
        <w:adjustRightInd w:val="0"/>
        <w:rPr>
          <w:rFonts w:ascii="Times New Roman" w:eastAsia="Calibri" w:hAnsi="Times New Roman" w:cs="Times New Roman"/>
          <w:lang w:val="ru-RU"/>
        </w:rPr>
      </w:pPr>
      <w:r w:rsidRPr="001379B2">
        <w:rPr>
          <w:rFonts w:ascii="Times New Roman" w:eastAsia="Calibri" w:hAnsi="Times New Roman" w:cs="Times New Roman"/>
          <w:noProof/>
          <w:lang w:val="ru-RU" w:eastAsia="ru-RU"/>
        </w:rPr>
        <w:drawing>
          <wp:inline distT="0" distB="0" distL="0" distR="0" wp14:anchorId="764321F5" wp14:editId="087A999C">
            <wp:extent cx="6381749" cy="4135271"/>
            <wp:effectExtent l="19050" t="0" r="1" b="0"/>
            <wp:docPr id="10" name="Рисунок 1" descr="C:\Users\Ramlz\Desktop\kpi\karaeva\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lz\Desktop\kpi\karaeva\war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4137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B2" w:rsidRPr="001379B2" w:rsidRDefault="001379B2" w:rsidP="001379B2">
      <w:pPr>
        <w:autoSpaceDE w:val="0"/>
        <w:autoSpaceDN w:val="0"/>
        <w:adjustRightInd w:val="0"/>
        <w:rPr>
          <w:rFonts w:ascii="Times New Roman" w:eastAsia="Calibri" w:hAnsi="Times New Roman" w:cs="Times New Roman"/>
          <w:lang w:val="ru-RU"/>
        </w:rPr>
      </w:pPr>
    </w:p>
    <w:p w:rsidR="001379B2" w:rsidRPr="001379B2" w:rsidRDefault="001379B2" w:rsidP="001379B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379B2" w:rsidRPr="001379B2" w:rsidRDefault="001379B2" w:rsidP="001379B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379B2" w:rsidRPr="001379B2" w:rsidRDefault="001379B2" w:rsidP="001379B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79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Розподіл значень індикаторів по кластерам отриманим методом </w:t>
      </w:r>
      <w:proofErr w:type="spellStart"/>
      <w:r w:rsidRPr="001379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Варда</w:t>
      </w:r>
      <w:proofErr w:type="spellEnd"/>
    </w:p>
    <w:tbl>
      <w:tblPr>
        <w:tblW w:w="11400" w:type="dxa"/>
        <w:tblLook w:val="04A0" w:firstRow="1" w:lastRow="0" w:firstColumn="1" w:lastColumn="0" w:noHBand="0" w:noVBand="1"/>
      </w:tblPr>
      <w:tblGrid>
        <w:gridCol w:w="1140"/>
        <w:gridCol w:w="2077"/>
        <w:gridCol w:w="2020"/>
        <w:gridCol w:w="1760"/>
        <w:gridCol w:w="1660"/>
        <w:gridCol w:w="1493"/>
        <w:gridCol w:w="1250"/>
      </w:tblGrid>
      <w:tr w:rsidR="001379B2" w:rsidRPr="001379B2" w:rsidTr="00EA4DD4">
        <w:trPr>
          <w:trHeight w:val="315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Кластер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Експорт</w:t>
            </w:r>
            <w:proofErr w:type="spellEnd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 xml:space="preserve">  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Індекс</w:t>
            </w:r>
            <w:proofErr w:type="spellEnd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споживчих</w:t>
            </w:r>
            <w:proofErr w:type="spellEnd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ц</w:t>
            </w:r>
            <w:proofErr w:type="gram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i</w:t>
            </w:r>
            <w:proofErr w:type="gramEnd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н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Чисельн</w:t>
            </w:r>
            <w:proofErr w:type="gram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i</w:t>
            </w:r>
            <w:proofErr w:type="gramEnd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сть</w:t>
            </w:r>
            <w:proofErr w:type="spellEnd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 xml:space="preserve"> н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Кiлькiсть</w:t>
            </w:r>
            <w:proofErr w:type="spellEnd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gram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п</w:t>
            </w:r>
            <w:proofErr w:type="gramEnd"/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Середня</w:t>
            </w:r>
            <w:proofErr w:type="spellEnd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ru-RU" w:eastAsia="ru-RU"/>
              </w:rPr>
              <w:t>зп</w:t>
            </w:r>
            <w:proofErr w:type="spellEnd"/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B2" w:rsidRPr="001379B2" w:rsidRDefault="001379B2" w:rsidP="001379B2">
            <w:pPr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м</w:t>
            </w:r>
            <w:proofErr w:type="gram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.К</w:t>
            </w:r>
            <w:proofErr w:type="gramEnd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иїв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8558160,2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101,8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2884,5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87380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9292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% по </w:t>
            </w: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Україні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0,237553658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-0,428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0,068006762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0,254425809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3840,56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B2" w:rsidRPr="001379B2" w:rsidRDefault="001379B2" w:rsidP="001379B2">
            <w:pPr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Дніпропетровська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5859667,5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101,7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3227,1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27251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5905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Донецька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3428478,5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102,7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4231,2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11763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6503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% по </w:t>
            </w: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Україні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0,257816284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-0,028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0,175841509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0,113597717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752,56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B2" w:rsidRPr="001379B2" w:rsidRDefault="001379B2" w:rsidP="001379B2">
            <w:pPr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Харківська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1020519,1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101,7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2685,6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24938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5263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Одеська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1517770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102,4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2375,5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23883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5666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Львівська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1258257,6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102,1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2515,7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18628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5372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Луганська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435547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102,5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2190,7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3354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5385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Миколаївська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1664779,6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102,1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1149,4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10569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5743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Київська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1696595,1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102,3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1728,7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18164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6160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Запорізька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2289912,3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102,2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1738,7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14423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5831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% по </w:t>
            </w: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Україні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0,274338547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-0,042285714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0,339133182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0,331816329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179,98857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B2" w:rsidRPr="001379B2" w:rsidRDefault="001379B2" w:rsidP="001379B2">
            <w:pPr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Івано-Франківська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545586,4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103,3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1377,2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7942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5218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Херсонська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245035,6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103,3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1054,2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8008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4867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% по </w:t>
            </w: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Україні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0,021945739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1,072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0,057324195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0,046441882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-408,94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9B2" w:rsidRPr="001379B2" w:rsidRDefault="001379B2" w:rsidP="001379B2">
            <w:pPr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Вінницька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970358,3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101,7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1583,3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9442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5097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Волинська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602263,7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102,5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1038,2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5600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5028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Житомирська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461775,3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101,5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1241,2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6607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4871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Закарпатська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1165337,2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102,1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1255,9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6111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5191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Кіровоградська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425137,2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102,5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959,3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7684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4919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Полтавська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1434992,9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101,6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1419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10142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5466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proofErr w:type="gram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Р</w:t>
            </w:r>
            <w:proofErr w:type="gramEnd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івненська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310656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102,3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1161,7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5253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5214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Сумська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532107,1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1102,3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5842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5097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Тернопільська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287831,2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102,7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1055,9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5096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4641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Хмельницька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314372,4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102,1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1282,1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6992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5027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Черкаська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468563,2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102,3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1227,6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8296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5055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uk-UA" w:eastAsia="ru-RU"/>
              </w:rPr>
              <w:t>Чернівецька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105691,9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101,9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905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4054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4717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Чернігівська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426824,1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102,4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1024,9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6018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4758</w:t>
            </w:r>
          </w:p>
        </w:tc>
      </w:tr>
      <w:tr w:rsidR="001379B2" w:rsidRPr="001379B2" w:rsidTr="00EA4DD4">
        <w:trPr>
          <w:trHeight w:val="315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% по </w:t>
            </w:r>
            <w:proofErr w:type="spellStart"/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Україні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0,208345772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-0,104923077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0,359694353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0,253718262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9B2" w:rsidRPr="001379B2" w:rsidRDefault="001379B2" w:rsidP="001379B2">
            <w:pPr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1379B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-445,20923</w:t>
            </w:r>
          </w:p>
        </w:tc>
      </w:tr>
    </w:tbl>
    <w:p w:rsidR="001379B2" w:rsidRPr="001379B2" w:rsidRDefault="001379B2" w:rsidP="001379B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ectPr w:rsidR="001379B2" w:rsidRPr="001379B2" w:rsidSect="00031152">
          <w:pgSz w:w="11906" w:h="16838"/>
          <w:pgMar w:top="425" w:right="851" w:bottom="425" w:left="454" w:header="709" w:footer="709" w:gutter="0"/>
          <w:cols w:space="708"/>
          <w:docGrid w:linePitch="360"/>
        </w:sectPr>
      </w:pPr>
      <w:r w:rsidRPr="001379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Висновок: в ході виконання роботи я ознайомився з проведенням </w:t>
      </w:r>
      <w:proofErr w:type="spellStart"/>
      <w:r w:rsidRPr="001379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кластерного</w:t>
      </w:r>
      <w:proofErr w:type="spellEnd"/>
      <w:r w:rsidRPr="001379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аналізу за допомогою програми </w:t>
      </w:r>
      <w:r w:rsidRPr="001379B2">
        <w:rPr>
          <w:rFonts w:ascii="Times New Roman" w:eastAsia="Times New Roman" w:hAnsi="Times New Roman" w:cs="Times New Roman"/>
          <w:sz w:val="28"/>
          <w:szCs w:val="28"/>
          <w:lang w:eastAsia="ru-RU"/>
        </w:rPr>
        <w:t>SPSS</w:t>
      </w:r>
      <w:r w:rsidRPr="001379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1379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Всі 5 використаних методів показують приблизно однаковий результат </w:t>
      </w:r>
      <w:proofErr w:type="spellStart"/>
      <w:r w:rsidRPr="001379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кластеризації</w:t>
      </w:r>
      <w:proofErr w:type="spellEnd"/>
      <w:r w:rsidRPr="001379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Ресурси приблизно однаково розподілені по кластерах, але потрібно врахувати, що кількість міст в різних кластерах суттєво різниться. З цих даних можна зробити висновок. що найбільш розвиненими є Київська, Дніпропетровська, Донецька, Харківська області України.</w:t>
      </w:r>
    </w:p>
    <w:p w:rsidR="001379B2" w:rsidRPr="001379B2" w:rsidRDefault="001379B2">
      <w:pPr>
        <w:rPr>
          <w:lang w:val="uk-UA"/>
        </w:rPr>
      </w:pPr>
    </w:p>
    <w:p w:rsidR="001379B2" w:rsidRPr="001379B2" w:rsidRDefault="001379B2">
      <w:pPr>
        <w:rPr>
          <w:lang w:val="uk-UA"/>
        </w:rPr>
      </w:pPr>
    </w:p>
    <w:p w:rsidR="001379B2" w:rsidRPr="001379B2" w:rsidRDefault="001379B2">
      <w:pPr>
        <w:rPr>
          <w:lang w:val="uk-UA"/>
        </w:rPr>
      </w:pPr>
    </w:p>
    <w:p w:rsidR="001379B2" w:rsidRPr="001379B2" w:rsidRDefault="001379B2">
      <w:pPr>
        <w:rPr>
          <w:lang w:val="uk-UA"/>
        </w:rPr>
      </w:pPr>
    </w:p>
    <w:p w:rsidR="001379B2" w:rsidRPr="001379B2" w:rsidRDefault="001379B2">
      <w:pPr>
        <w:rPr>
          <w:lang w:val="uk-UA"/>
        </w:rPr>
      </w:pPr>
    </w:p>
    <w:p w:rsidR="001379B2" w:rsidRPr="001379B2" w:rsidRDefault="001379B2">
      <w:pPr>
        <w:rPr>
          <w:lang w:val="uk-UA"/>
        </w:rPr>
      </w:pPr>
    </w:p>
    <w:p w:rsidR="001379B2" w:rsidRPr="001379B2" w:rsidRDefault="001379B2">
      <w:pPr>
        <w:rPr>
          <w:lang w:val="uk-UA"/>
        </w:rPr>
      </w:pPr>
    </w:p>
    <w:sectPr w:rsidR="001379B2" w:rsidRPr="0013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D26"/>
    <w:rsid w:val="00043406"/>
    <w:rsid w:val="001379B2"/>
    <w:rsid w:val="0021653D"/>
    <w:rsid w:val="007B3D26"/>
    <w:rsid w:val="00E7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D2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B3D2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3D26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D2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B3D2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3D26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1305</Words>
  <Characters>7439</Characters>
  <Application>Microsoft Office Word</Application>
  <DocSecurity>0</DocSecurity>
  <Lines>61</Lines>
  <Paragraphs>17</Paragraphs>
  <ScaleCrop>false</ScaleCrop>
  <Company>Microsoft</Company>
  <LinksUpToDate>false</LinksUpToDate>
  <CharactersWithSpaces>8727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2018-11-19T11:25:00Z</dcterms:created>
  <dcterms:modified xsi:type="dcterms:W3CDTF">2018-11-19T12:00:00Z</dcterms:modified>
</cp:coreProperties>
</file>