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264" w:lineRule="auto"/>
        <w:jc w:val="left"/>
      </w:pPr>
      <w:r>
        <w:t>市场风险仪表盘项目立项与实施方案（Next.js）</w:t>
      </w:r>
    </w:p>
    <w:p/>
    <w:p>
      <w:pPr>
        <w:spacing w:before="0" w:after="120" w:line="300" w:lineRule="auto"/>
      </w:pPr>
      <w:r>
        <w:t>版本：1.0</w:t>
      </w:r>
    </w:p>
    <w:p>
      <w:pPr>
        <w:spacing w:before="0" w:after="120" w:line="300" w:lineRule="auto"/>
      </w:pPr>
      <w:r>
        <w:t>日期：2026-05-28</w:t>
      </w:r>
    </w:p>
    <w:p>
      <w:pPr>
        <w:spacing w:before="0" w:after="120" w:line="300" w:lineRule="auto"/>
      </w:pPr>
      <w:r>
        <w:t>适用对象：产品、设计、研发、运营、Codex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1. 立项结论</w:t>
      </w:r>
    </w:p>
    <w:p/>
    <w:p>
      <w:pPr>
        <w:spacing w:before="0" w:after="120" w:line="300" w:lineRule="auto"/>
      </w:pPr>
      <w:r>
        <w:t xml:space="preserve">建议立项，项目按 </w:t>
      </w:r>
      <w:r>
        <w:rPr>
          <w:b/>
        </w:rPr>
        <w:t>“统一风险仪表盘 + 单指标详情页 + 方法论说明页 + 内容页”</w:t>
      </w:r>
      <w:r>
        <w:t xml:space="preserve"> 四层结构推进。</w:t>
      </w:r>
    </w:p>
    <w:p/>
    <w:p>
      <w:pPr>
        <w:spacing w:before="0" w:after="120" w:line="300" w:lineRule="auto"/>
      </w:pPr>
      <w:r>
        <w:t xml:space="preserve">这个项目不是再做一个“只显示 VIX 数字”的小工具，而是做一个 </w:t>
      </w:r>
      <w:r>
        <w:rPr>
          <w:b/>
        </w:rPr>
        <w:t>帮助用户理解风险是否正在跨资产扩散</w:t>
      </w:r>
      <w:r>
        <w:t xml:space="preserve"> 的市场风险站点。站点的核心价值不是“告诉用户今天恐慌不恐慌”，而是把权益波动、系统性金融压力、解读方法和背景内容放在一个地方，帮助用户建立稳定的观察框架。</w:t>
      </w:r>
    </w:p>
    <w:p/>
    <w:p>
      <w:pPr>
        <w:spacing w:before="0" w:after="120" w:line="300" w:lineRule="auto"/>
      </w:pPr>
      <w:r>
        <w:rPr>
          <w:b/>
        </w:rPr>
        <w:t>一句话定位：</w:t>
      </w:r>
    </w:p>
    <w:p>
      <w:pPr>
        <w:spacing w:before="0" w:after="120" w:line="300" w:lineRule="auto"/>
      </w:pPr>
      <w:r>
        <w:t>给金融爱好者看的市场风险仪表盘，用统一页面把 VIX、期限结构、跨市场波动、金融压力与解读逻辑组织起来，让用户知道“现在是正常波动，还是风险开始共振”。</w:t>
      </w:r>
    </w:p>
    <w:p/>
    <w:p>
      <w:pPr>
        <w:spacing w:before="0" w:after="120" w:line="300" w:lineRule="auto"/>
      </w:pPr>
      <w:r>
        <w:rPr>
          <w:b/>
        </w:rPr>
        <w:t>本项目推荐采用：</w:t>
      </w:r>
    </w:p>
    <w:p>
      <w:pPr>
        <w:pStyle w:val="ListBullet"/>
        <w:spacing w:before="0" w:after="40" w:line="276" w:lineRule="auto"/>
      </w:pPr>
      <w:r>
        <w:t>前端框架：Next.js 16.x + App Router + TypeScript</w:t>
      </w:r>
    </w:p>
    <w:p>
      <w:pPr>
        <w:pStyle w:val="ListBullet"/>
        <w:spacing w:before="0" w:after="40" w:line="276" w:lineRule="auto"/>
      </w:pPr>
      <w:r>
        <w:t>渲染模式：Server Components 为主，图表模块局部 Client Components</w:t>
      </w:r>
    </w:p>
    <w:p>
      <w:pPr>
        <w:pStyle w:val="ListBullet"/>
        <w:spacing w:before="0" w:after="40" w:line="276" w:lineRule="auto"/>
      </w:pPr>
      <w:r>
        <w:t>数据存储：Managed PostgreSQL + Drizzle ORM</w:t>
      </w:r>
    </w:p>
    <w:p>
      <w:pPr>
        <w:pStyle w:val="ListBullet"/>
        <w:spacing w:before="0" w:after="40" w:line="276" w:lineRule="auto"/>
      </w:pPr>
      <w:r>
        <w:t>部署：Vercel</w:t>
      </w:r>
    </w:p>
    <w:p>
      <w:pPr>
        <w:pStyle w:val="ListBullet"/>
        <w:spacing w:before="0" w:after="40" w:line="276" w:lineRule="auto"/>
      </w:pPr>
      <w:r>
        <w:t>定时同步：Vercel Cron（生产建议 Pro）或外部定时器打内网接口</w:t>
      </w:r>
    </w:p>
    <w:p>
      <w:pPr>
        <w:pStyle w:val="ListBullet"/>
        <w:spacing w:before="0" w:after="40" w:line="276" w:lineRule="auto"/>
      </w:pPr>
      <w:r>
        <w:t>内容系统：文件型 MDX</w:t>
      </w:r>
    </w:p>
    <w:p>
      <w:pPr>
        <w:pStyle w:val="ListBullet"/>
        <w:spacing w:before="0" w:after="40" w:line="276" w:lineRule="auto"/>
      </w:pPr>
      <w:r>
        <w:t>首版原则：</w:t>
      </w:r>
      <w:r>
        <w:rPr>
          <w:b/>
        </w:rPr>
        <w:t>先做可公开、可持续、可解释的版本，不先碰高授权风险数据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2. 背景与机会</w:t>
      </w:r>
    </w:p>
    <w:p/>
    <w:p>
      <w:pPr>
        <w:pStyle w:val="Heading2"/>
        <w:spacing w:before="80" w:after="120" w:line="276" w:lineRule="auto"/>
      </w:pPr>
      <w:r>
        <w:t>2.1 用户问题</w:t>
      </w:r>
    </w:p>
    <w:p/>
    <w:p>
      <w:pPr>
        <w:spacing w:before="0" w:after="120" w:line="300" w:lineRule="auto"/>
      </w:pPr>
      <w:r>
        <w:t>很多用户第一次接触市场风险指标时，会习惯性只看 VIX，然后把 VIX 高低直接理解成“市场危险”或“市场安全”。这会有两个问题：</w:t>
      </w:r>
    </w:p>
    <w:p/>
    <w:p>
      <w:pPr>
        <w:pStyle w:val="ListNumber"/>
        <w:spacing w:before="0" w:after="40" w:line="276" w:lineRule="auto"/>
      </w:pPr>
      <w:r>
        <w:t>单看 VIX 很容易被短期消息带偏。</w:t>
      </w:r>
    </w:p>
    <w:p>
      <w:pPr>
        <w:pStyle w:val="ListNumber"/>
        <w:spacing w:before="0" w:after="40" w:line="276" w:lineRule="auto"/>
      </w:pPr>
      <w:r>
        <w:t>真正值得关注的，通常不是某一个指标抬头，而是多个市场的风险是否开始一起升温。</w:t>
      </w:r>
    </w:p>
    <w:p/>
    <w:p>
      <w:pPr>
        <w:pStyle w:val="Heading2"/>
        <w:spacing w:before="80" w:after="120" w:line="276" w:lineRule="auto"/>
      </w:pPr>
      <w:r>
        <w:t>2.2 市场机会</w:t>
      </w:r>
    </w:p>
    <w:p/>
    <w:p>
      <w:pPr>
        <w:spacing w:before="0" w:after="120" w:line="300" w:lineRule="auto"/>
      </w:pPr>
      <w:r>
        <w:t>现有公开工具常见两种形态：</w:t>
      </w:r>
    </w:p>
    <w:p/>
    <w:p>
      <w:pPr>
        <w:pStyle w:val="ListNumber"/>
        <w:spacing w:before="0" w:after="40" w:line="276" w:lineRule="auto"/>
      </w:pPr>
      <w:r>
        <w:rPr>
          <w:b/>
        </w:rPr>
        <w:t>纯数据页</w:t>
      </w:r>
      <w:r>
        <w:t>：数字很多，但不知道怎么读。</w:t>
      </w:r>
    </w:p>
    <w:p>
      <w:pPr>
        <w:pStyle w:val="ListNumber"/>
        <w:spacing w:before="0" w:after="40" w:line="276" w:lineRule="auto"/>
      </w:pPr>
      <w:r>
        <w:rPr>
          <w:b/>
        </w:rPr>
        <w:t>纯内容页</w:t>
      </w:r>
      <w:r>
        <w:t>：解释很多，但没有数据联动。</w:t>
      </w:r>
    </w:p>
    <w:p/>
    <w:p>
      <w:pPr>
        <w:spacing w:before="0" w:after="120" w:line="300" w:lineRule="auto"/>
      </w:pPr>
      <w:r>
        <w:t>本项目的机会点在于把工具和内容结合起来：</w:t>
      </w:r>
    </w:p>
    <w:p/>
    <w:p>
      <w:pPr>
        <w:pStyle w:val="ListBullet"/>
        <w:spacing w:before="0" w:after="40" w:line="276" w:lineRule="auto"/>
      </w:pPr>
      <w:r>
        <w:t>用统一风险仪表盘承接“现在怎么看”</w:t>
      </w:r>
    </w:p>
    <w:p>
      <w:pPr>
        <w:pStyle w:val="ListBullet"/>
        <w:spacing w:before="0" w:after="40" w:line="276" w:lineRule="auto"/>
      </w:pPr>
      <w:r>
        <w:t>用详情页解决“这个指标到底是什么”</w:t>
      </w:r>
    </w:p>
    <w:p>
      <w:pPr>
        <w:pStyle w:val="ListBullet"/>
        <w:spacing w:before="0" w:after="40" w:line="276" w:lineRule="auto"/>
      </w:pPr>
      <w:r>
        <w:t>用方法论页解决“几个图应该怎么一起看”</w:t>
      </w:r>
    </w:p>
    <w:p>
      <w:pPr>
        <w:pStyle w:val="ListBullet"/>
        <w:spacing w:before="0" w:after="40" w:line="276" w:lineRule="auto"/>
      </w:pPr>
      <w:r>
        <w:t>用文章页解决“为什么这次的市场环境不一样”</w:t>
      </w:r>
    </w:p>
    <w:p/>
    <w:p>
      <w:pPr>
        <w:pStyle w:val="Heading2"/>
        <w:spacing w:before="80" w:after="120" w:line="276" w:lineRule="auto"/>
      </w:pPr>
      <w:r>
        <w:t>2.3 立项边界判断</w:t>
      </w:r>
    </w:p>
    <w:p/>
    <w:p>
      <w:pPr>
        <w:spacing w:before="0" w:after="120" w:line="300" w:lineRule="auto"/>
      </w:pPr>
      <w:r>
        <w:t>本项目不是券商终端，不追求 tick 级实时性；</w:t>
      </w:r>
    </w:p>
    <w:p>
      <w:pPr>
        <w:spacing w:before="0" w:after="120" w:line="300" w:lineRule="auto"/>
      </w:pPr>
      <w:r>
        <w:t>本项目也不是投顾服务，不做买卖建议；</w:t>
      </w:r>
    </w:p>
    <w:p>
      <w:pPr>
        <w:spacing w:before="0" w:after="120" w:line="300" w:lineRule="auto"/>
      </w:pPr>
      <w:r>
        <w:t xml:space="preserve">本项目更像是一个 </w:t>
      </w:r>
      <w:r>
        <w:rPr>
          <w:b/>
        </w:rPr>
        <w:t>市场风险观察工具 + 教育型内容站</w:t>
      </w:r>
      <w:r>
        <w:t>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3. 产品愿景、定位与原则</w:t>
      </w:r>
    </w:p>
    <w:p/>
    <w:p>
      <w:pPr>
        <w:pStyle w:val="Heading2"/>
        <w:spacing w:before="80" w:after="120" w:line="276" w:lineRule="auto"/>
      </w:pPr>
      <w:r>
        <w:t>3.1 产品愿景</w:t>
      </w:r>
    </w:p>
    <w:p/>
    <w:p>
      <w:pPr>
        <w:spacing w:before="0" w:after="120" w:line="300" w:lineRule="auto"/>
      </w:pPr>
      <w:r>
        <w:t>做一个让金融爱好者、交易型用户、内容创作者都愿意打开的“风险观察首页”。</w:t>
      </w:r>
    </w:p>
    <w:p/>
    <w:p>
      <w:pPr>
        <w:pStyle w:val="Heading2"/>
        <w:spacing w:before="80" w:after="120" w:line="276" w:lineRule="auto"/>
      </w:pPr>
      <w:r>
        <w:t>3.2 目标用户</w:t>
      </w:r>
    </w:p>
    <w:p/>
    <w:p>
      <w:pPr>
        <w:pStyle w:val="Heading3"/>
        <w:spacing w:before="80" w:after="120" w:line="276" w:lineRule="auto"/>
      </w:pPr>
      <w:r>
        <w:t>A. 金融爱好者</w:t>
      </w:r>
    </w:p>
    <w:p>
      <w:pPr>
        <w:pStyle w:val="ListBullet"/>
        <w:spacing w:before="0" w:after="40" w:line="276" w:lineRule="auto"/>
      </w:pPr>
      <w:r>
        <w:t>想知道今天市场是不是“真紧张”</w:t>
      </w:r>
    </w:p>
    <w:p>
      <w:pPr>
        <w:pStyle w:val="ListBullet"/>
        <w:spacing w:before="0" w:after="40" w:line="276" w:lineRule="auto"/>
      </w:pPr>
      <w:r>
        <w:t>不想只看社交媒体情绪</w:t>
      </w:r>
    </w:p>
    <w:p>
      <w:pPr>
        <w:pStyle w:val="ListBullet"/>
        <w:spacing w:before="0" w:after="40" w:line="276" w:lineRule="auto"/>
      </w:pPr>
      <w:r>
        <w:t>需要一个能长期复用的观察框架</w:t>
      </w:r>
    </w:p>
    <w:p/>
    <w:p>
      <w:pPr>
        <w:pStyle w:val="Heading3"/>
        <w:spacing w:before="80" w:after="120" w:line="276" w:lineRule="auto"/>
      </w:pPr>
      <w:r>
        <w:t>B. 交易/资产配置用户</w:t>
      </w:r>
    </w:p>
    <w:p>
      <w:pPr>
        <w:pStyle w:val="ListBullet"/>
        <w:spacing w:before="0" w:after="40" w:line="276" w:lineRule="auto"/>
      </w:pPr>
      <w:r>
        <w:t>想快速判断风险是在权益市场、债市还是系统层面</w:t>
      </w:r>
    </w:p>
    <w:p>
      <w:pPr>
        <w:pStyle w:val="ListBullet"/>
        <w:spacing w:before="0" w:after="40" w:line="276" w:lineRule="auto"/>
      </w:pPr>
      <w:r>
        <w:t>需要风险代理指标来辅助仓位判断</w:t>
      </w:r>
    </w:p>
    <w:p>
      <w:pPr>
        <w:pStyle w:val="ListBullet"/>
        <w:spacing w:before="0" w:after="40" w:line="276" w:lineRule="auto"/>
      </w:pPr>
      <w:r>
        <w:t>需要历史区间、分位数、交叉验证</w:t>
      </w:r>
    </w:p>
    <w:p/>
    <w:p>
      <w:pPr>
        <w:pStyle w:val="Heading3"/>
        <w:spacing w:before="80" w:after="120" w:line="276" w:lineRule="auto"/>
      </w:pPr>
      <w:r>
        <w:t>C. 财经内容创作者</w:t>
      </w:r>
    </w:p>
    <w:p>
      <w:pPr>
        <w:pStyle w:val="ListBullet"/>
        <w:spacing w:before="0" w:after="40" w:line="276" w:lineRule="auto"/>
      </w:pPr>
      <w:r>
        <w:t>需要可引用的图表和解释</w:t>
      </w:r>
    </w:p>
    <w:p>
      <w:pPr>
        <w:pStyle w:val="ListBullet"/>
        <w:spacing w:before="0" w:after="40" w:line="276" w:lineRule="auto"/>
      </w:pPr>
      <w:r>
        <w:t>需要清晰的数据来源与更新时间</w:t>
      </w:r>
    </w:p>
    <w:p>
      <w:pPr>
        <w:pStyle w:val="ListBullet"/>
        <w:spacing w:before="0" w:after="40" w:line="276" w:lineRule="auto"/>
      </w:pPr>
      <w:r>
        <w:t>需要能快速写解读的模板</w:t>
      </w:r>
    </w:p>
    <w:p/>
    <w:p>
      <w:pPr>
        <w:pStyle w:val="Heading2"/>
        <w:spacing w:before="80" w:after="120" w:line="276" w:lineRule="auto"/>
      </w:pPr>
      <w:r>
        <w:t>3.3 产品原则</w:t>
      </w:r>
    </w:p>
    <w:p/>
    <w:p>
      <w:pPr>
        <w:pStyle w:val="ListNumber"/>
        <w:spacing w:before="0" w:after="40" w:line="276" w:lineRule="auto"/>
      </w:pPr>
      <w:r>
        <w:rPr>
          <w:b/>
        </w:rPr>
        <w:t>解释优先于堆指标</w:t>
      </w:r>
    </w:p>
    <w:p>
      <w:pPr>
        <w:spacing w:before="0" w:after="120" w:line="300" w:lineRule="auto"/>
      </w:pPr>
      <w:r>
        <w:t>不做“指标越多越专业”的错觉，先保证每个指标有用、有解释。</w:t>
      </w:r>
    </w:p>
    <w:p/>
    <w:p>
      <w:pPr>
        <w:pStyle w:val="ListNumber"/>
        <w:spacing w:before="0" w:after="40" w:line="276" w:lineRule="auto"/>
      </w:pPr>
      <w:r>
        <w:rPr>
          <w:b/>
        </w:rPr>
        <w:t>统一页面优先于分散页面</w:t>
      </w:r>
    </w:p>
    <w:p>
      <w:pPr>
        <w:spacing w:before="0" w:after="120" w:line="300" w:lineRule="auto"/>
      </w:pPr>
      <w:r>
        <w:t>先把首页的联合解读能力做好，再做更多子页面。</w:t>
      </w:r>
    </w:p>
    <w:p/>
    <w:p>
      <w:pPr>
        <w:pStyle w:val="ListNumber"/>
        <w:spacing w:before="0" w:after="40" w:line="276" w:lineRule="auto"/>
      </w:pPr>
      <w:r>
        <w:rPr>
          <w:b/>
        </w:rPr>
        <w:t>公开可用优先于高风险抓取</w:t>
      </w:r>
    </w:p>
    <w:p>
      <w:pPr>
        <w:spacing w:before="0" w:after="120" w:line="300" w:lineRule="auto"/>
      </w:pPr>
      <w:r>
        <w:t>首版只接入稳定、公开、可维护的数据源；对授权不明或明确限制再分发的数据，放到后续 licensed 版本。</w:t>
      </w:r>
    </w:p>
    <w:p/>
    <w:p>
      <w:pPr>
        <w:pStyle w:val="ListNumber"/>
        <w:spacing w:before="0" w:after="40" w:line="276" w:lineRule="auto"/>
      </w:pPr>
      <w:r>
        <w:rPr>
          <w:b/>
        </w:rPr>
        <w:t>内容价值优先于薄工具页</w:t>
      </w:r>
    </w:p>
    <w:p>
      <w:pPr>
        <w:spacing w:before="0" w:after="120" w:line="300" w:lineRule="auto"/>
      </w:pPr>
      <w:r>
        <w:t>每个核心页面都必须有解释、数据来源、更新时间、免责声明和延伸阅读。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4. 项目目标、成功指标与非目标</w:t>
      </w:r>
    </w:p>
    <w:p/>
    <w:p>
      <w:pPr>
        <w:pStyle w:val="Heading2"/>
        <w:spacing w:before="80" w:after="120" w:line="276" w:lineRule="auto"/>
      </w:pPr>
      <w:r>
        <w:t>4.1 项目目标</w:t>
      </w:r>
    </w:p>
    <w:p/>
    <w:p>
      <w:pPr>
        <w:spacing w:before="0" w:after="120" w:line="300" w:lineRule="auto"/>
      </w:pPr>
      <w:r>
        <w:rPr>
          <w:b/>
        </w:rPr>
        <w:t>产品目标</w:t>
      </w:r>
    </w:p>
    <w:p>
      <w:pPr>
        <w:pStyle w:val="ListBullet"/>
        <w:spacing w:before="0" w:after="40" w:line="276" w:lineRule="auto"/>
      </w:pPr>
      <w:r>
        <w:t>提供一个统一的市场风险总览页面</w:t>
      </w:r>
    </w:p>
    <w:p>
      <w:pPr>
        <w:pStyle w:val="ListBullet"/>
        <w:spacing w:before="0" w:after="40" w:line="276" w:lineRule="auto"/>
      </w:pPr>
      <w:r>
        <w:t>提供核心指标的详情页和方法论页</w:t>
      </w:r>
    </w:p>
    <w:p>
      <w:pPr>
        <w:pStyle w:val="ListBullet"/>
        <w:spacing w:before="0" w:after="40" w:line="276" w:lineRule="auto"/>
      </w:pPr>
      <w:r>
        <w:t>让用户能看懂“单指标信号”和“多指标共振”</w:t>
      </w:r>
    </w:p>
    <w:p>
      <w:pPr>
        <w:pStyle w:val="ListBullet"/>
        <w:spacing w:before="0" w:after="40" w:line="276" w:lineRule="auto"/>
      </w:pPr>
      <w:r>
        <w:t>为后续内容页、SEO 和商业化打基础</w:t>
      </w:r>
    </w:p>
    <w:p/>
    <w:p>
      <w:pPr>
        <w:spacing w:before="0" w:after="120" w:line="300" w:lineRule="auto"/>
      </w:pPr>
      <w:r>
        <w:rPr>
          <w:b/>
        </w:rPr>
        <w:t>技术目标</w:t>
      </w:r>
    </w:p>
    <w:p>
      <w:pPr>
        <w:pStyle w:val="ListBullet"/>
        <w:spacing w:before="0" w:after="40" w:line="276" w:lineRule="auto"/>
      </w:pPr>
      <w:r>
        <w:t>建立稳定的数据同步、存储、缓存和展示链路</w:t>
      </w:r>
    </w:p>
    <w:p>
      <w:pPr>
        <w:pStyle w:val="ListBullet"/>
        <w:spacing w:before="0" w:after="40" w:line="276" w:lineRule="auto"/>
      </w:pPr>
      <w:r>
        <w:t>用 Next.js App Router 实现 SSR/ISR 友好的内容与数据站点</w:t>
      </w:r>
    </w:p>
    <w:p>
      <w:pPr>
        <w:pStyle w:val="ListBullet"/>
        <w:spacing w:before="0" w:after="40" w:line="276" w:lineRule="auto"/>
      </w:pPr>
      <w:r>
        <w:t>建立可扩展的指标配置与数据适配器机制</w:t>
      </w:r>
    </w:p>
    <w:p>
      <w:pPr>
        <w:pStyle w:val="ListBullet"/>
        <w:spacing w:before="0" w:after="40" w:line="276" w:lineRule="auto"/>
      </w:pPr>
      <w:r>
        <w:t>让 Codex 能按文档直接开始实现</w:t>
      </w:r>
    </w:p>
    <w:p/>
    <w:p>
      <w:pPr>
        <w:pStyle w:val="Heading2"/>
        <w:spacing w:before="80" w:after="120" w:line="276" w:lineRule="auto"/>
      </w:pPr>
      <w:r>
        <w:t>4.2 成功指标（项目内指标）</w:t>
      </w:r>
    </w:p>
    <w:p/>
    <w:p>
      <w:pPr>
        <w:spacing w:before="0" w:after="120" w:line="300" w:lineRule="auto"/>
      </w:pPr>
      <w:r>
        <w:t>不设置对外增长承诺，内部验收只看以下维度：</w:t>
      </w:r>
    </w:p>
    <w:p/>
    <w:p>
      <w:pPr>
        <w:pStyle w:val="ListBullet"/>
        <w:spacing w:before="0" w:after="40" w:line="276" w:lineRule="auto"/>
      </w:pPr>
      <w:r>
        <w:t>首页可在一次访问中回答“当前风险状态是什么”</w:t>
      </w:r>
    </w:p>
    <w:p>
      <w:pPr>
        <w:pStyle w:val="ListBullet"/>
        <w:spacing w:before="0" w:after="40" w:line="276" w:lineRule="auto"/>
      </w:pPr>
      <w:r>
        <w:t>每个指标页具备：定义、数据源、更新时间、图表、区间说明、常见误读</w:t>
      </w:r>
    </w:p>
    <w:p>
      <w:pPr>
        <w:pStyle w:val="ListBullet"/>
        <w:spacing w:before="0" w:after="40" w:line="276" w:lineRule="auto"/>
      </w:pPr>
      <w:r>
        <w:t>数据同步失败可监控、可重试、可追踪</w:t>
      </w:r>
    </w:p>
    <w:p>
      <w:pPr>
        <w:pStyle w:val="ListBullet"/>
        <w:spacing w:before="0" w:after="40" w:line="276" w:lineRule="auto"/>
      </w:pPr>
      <w:r>
        <w:t>至少具备一套自动生成的日度/周度解读文案模板</w:t>
      </w:r>
    </w:p>
    <w:p>
      <w:pPr>
        <w:pStyle w:val="ListBullet"/>
        <w:spacing w:before="0" w:after="40" w:line="276" w:lineRule="auto"/>
      </w:pPr>
      <w:r>
        <w:t>SEO 基础设施完整：metadata、OG、sitemap、robots、结构化数据</w:t>
      </w:r>
    </w:p>
    <w:p>
      <w:pPr>
        <w:pStyle w:val="ListBullet"/>
        <w:spacing w:before="0" w:after="40" w:line="276" w:lineRule="auto"/>
      </w:pPr>
      <w:r>
        <w:t>站点在没有广告时也成立；广告只作为后续增强项</w:t>
      </w:r>
    </w:p>
    <w:p/>
    <w:p>
      <w:pPr>
        <w:pStyle w:val="Heading2"/>
        <w:spacing w:before="80" w:after="120" w:line="276" w:lineRule="auto"/>
      </w:pPr>
      <w:r>
        <w:t>4.3 非目标</w:t>
      </w:r>
    </w:p>
    <w:p/>
    <w:p>
      <w:pPr>
        <w:spacing w:before="0" w:after="120" w:line="300" w:lineRule="auto"/>
      </w:pPr>
      <w:r>
        <w:t>首版不做以下内容：</w:t>
      </w:r>
    </w:p>
    <w:p/>
    <w:p>
      <w:pPr>
        <w:pStyle w:val="ListBullet"/>
        <w:spacing w:before="0" w:after="40" w:line="276" w:lineRule="auto"/>
      </w:pPr>
      <w:r>
        <w:t>不做用户账户体系</w:t>
      </w:r>
    </w:p>
    <w:p>
      <w:pPr>
        <w:pStyle w:val="ListBullet"/>
        <w:spacing w:before="0" w:after="40" w:line="276" w:lineRule="auto"/>
      </w:pPr>
      <w:r>
        <w:t>不做交易信号订阅</w:t>
      </w:r>
    </w:p>
    <w:p>
      <w:pPr>
        <w:pStyle w:val="ListBullet"/>
        <w:spacing w:before="0" w:after="40" w:line="276" w:lineRule="auto"/>
      </w:pPr>
      <w:r>
        <w:t>不做实时分钟级行情</w:t>
      </w:r>
    </w:p>
    <w:p>
      <w:pPr>
        <w:pStyle w:val="ListBullet"/>
        <w:spacing w:before="0" w:after="40" w:line="276" w:lineRule="auto"/>
      </w:pPr>
      <w:r>
        <w:t>不做复杂自定义 watchlist</w:t>
      </w:r>
    </w:p>
    <w:p>
      <w:pPr>
        <w:pStyle w:val="ListBullet"/>
        <w:spacing w:before="0" w:after="40" w:line="276" w:lineRule="auto"/>
      </w:pPr>
      <w:r>
        <w:t>不做量化回测器</w:t>
      </w:r>
    </w:p>
    <w:p>
      <w:pPr>
        <w:pStyle w:val="ListBullet"/>
        <w:spacing w:before="0" w:after="40" w:line="276" w:lineRule="auto"/>
      </w:pPr>
      <w:r>
        <w:t>不做高级会员系统</w:t>
      </w:r>
    </w:p>
    <w:p>
      <w:pPr>
        <w:pStyle w:val="ListBullet"/>
        <w:spacing w:before="0" w:after="40" w:line="276" w:lineRule="auto"/>
      </w:pPr>
      <w:r>
        <w:t>不做所有全球市场指标一口气接入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5. 产品范围与版本规划</w:t>
      </w:r>
    </w:p>
    <w:p/>
    <w:p>
      <w:pPr>
        <w:pStyle w:val="Heading1"/>
        <w:spacing w:before="160" w:after="120" w:line="276" w:lineRule="auto"/>
      </w:pPr>
      <w:r>
        <w:t>5.1 MVP（必须做）</w:t>
      </w:r>
    </w:p>
    <w:p/>
    <w:p>
      <w:pPr>
        <w:pStyle w:val="Heading2"/>
        <w:spacing w:before="80" w:after="120" w:line="276" w:lineRule="auto"/>
      </w:pPr>
      <w:r>
        <w:t>页面</w:t>
      </w:r>
    </w:p>
    <w:p>
      <w:pPr>
        <w:pStyle w:val="ListBullet"/>
        <w:spacing w:before="0" w:after="40" w:line="276" w:lineRule="auto"/>
      </w:pPr>
      <w:r>
        <w:t>首页仪表盘 `/`</w:t>
      </w:r>
    </w:p>
    <w:p>
      <w:pPr>
        <w:pStyle w:val="ListBullet"/>
        <w:spacing w:before="0" w:after="40" w:line="276" w:lineRule="auto"/>
      </w:pPr>
      <w:r>
        <w:t>指标列表页 `/indicators`</w:t>
      </w:r>
    </w:p>
    <w:p>
      <w:pPr>
        <w:pStyle w:val="ListBullet"/>
        <w:spacing w:before="0" w:after="40" w:line="276" w:lineRule="auto"/>
      </w:pPr>
      <w:r>
        <w:t>单指标详情页 `/indicators/[slug]`</w:t>
      </w:r>
    </w:p>
    <w:p>
      <w:pPr>
        <w:pStyle w:val="ListBullet"/>
        <w:spacing w:before="0" w:after="40" w:line="276" w:lineRule="auto"/>
      </w:pPr>
      <w:r>
        <w:t>方法论说明页 `/how-to-read`</w:t>
      </w:r>
    </w:p>
    <w:p>
      <w:pPr>
        <w:pStyle w:val="ListBullet"/>
        <w:spacing w:before="0" w:after="40" w:line="276" w:lineRule="auto"/>
      </w:pPr>
      <w:r>
        <w:t>数据来源页 `/data-sources`</w:t>
      </w:r>
    </w:p>
    <w:p>
      <w:pPr>
        <w:pStyle w:val="ListBullet"/>
        <w:spacing w:before="0" w:after="40" w:line="276" w:lineRule="auto"/>
      </w:pPr>
      <w:r>
        <w:t>文章列表页 `/articles`</w:t>
      </w:r>
    </w:p>
    <w:p>
      <w:pPr>
        <w:pStyle w:val="ListBullet"/>
        <w:spacing w:before="0" w:after="40" w:line="276" w:lineRule="auto"/>
      </w:pPr>
      <w:r>
        <w:t>文章详情页 `/articles/[slug]`</w:t>
      </w:r>
    </w:p>
    <w:p>
      <w:pPr>
        <w:pStyle w:val="ListBullet"/>
        <w:spacing w:before="0" w:after="40" w:line="276" w:lineRule="auto"/>
      </w:pPr>
      <w:r>
        <w:t>关于页 `/about`</w:t>
      </w:r>
    </w:p>
    <w:p>
      <w:pPr>
        <w:pStyle w:val="ListBullet"/>
        <w:spacing w:before="0" w:after="40" w:line="276" w:lineRule="auto"/>
      </w:pPr>
      <w:r>
        <w:t>隐私政策 `/privacy`</w:t>
      </w:r>
    </w:p>
    <w:p>
      <w:pPr>
        <w:pStyle w:val="ListBullet"/>
        <w:spacing w:before="0" w:after="40" w:line="276" w:lineRule="auto"/>
      </w:pPr>
      <w:r>
        <w:t>使用条款 `/terms`</w:t>
      </w:r>
    </w:p>
    <w:p/>
    <w:p>
      <w:pPr>
        <w:pStyle w:val="Heading2"/>
        <w:spacing w:before="80" w:after="120" w:line="276" w:lineRule="auto"/>
      </w:pPr>
      <w:r>
        <w:t>指标</w:t>
      </w:r>
    </w:p>
    <w:p>
      <w:pPr>
        <w:pStyle w:val="ListBullet"/>
        <w:spacing w:before="0" w:after="40" w:line="276" w:lineRule="auto"/>
      </w:pPr>
      <w:r>
        <w:t>VIX</w:t>
      </w:r>
    </w:p>
    <w:p>
      <w:pPr>
        <w:pStyle w:val="ListBullet"/>
        <w:spacing w:before="0" w:after="40" w:line="276" w:lineRule="auto"/>
      </w:pPr>
      <w:r>
        <w:t>VIX 3M（VXV）与 VIX/VXV 期限结构代理</w:t>
      </w:r>
    </w:p>
    <w:p>
      <w:pPr>
        <w:pStyle w:val="ListBullet"/>
        <w:spacing w:before="0" w:after="40" w:line="276" w:lineRule="auto"/>
      </w:pPr>
      <w:r>
        <w:t>VXN</w:t>
      </w:r>
    </w:p>
    <w:p>
      <w:pPr>
        <w:pStyle w:val="ListBullet"/>
        <w:spacing w:before="0" w:after="40" w:line="276" w:lineRule="auto"/>
      </w:pPr>
      <w:r>
        <w:t>RVX</w:t>
      </w:r>
    </w:p>
    <w:p>
      <w:pPr>
        <w:pStyle w:val="ListBullet"/>
        <w:spacing w:before="0" w:after="40" w:line="276" w:lineRule="auto"/>
      </w:pPr>
      <w:r>
        <w:t>VXD</w:t>
      </w:r>
    </w:p>
    <w:p>
      <w:pPr>
        <w:pStyle w:val="ListBullet"/>
        <w:spacing w:before="0" w:after="40" w:line="276" w:lineRule="auto"/>
      </w:pPr>
      <w:r>
        <w:t>STLFSI4</w:t>
      </w:r>
    </w:p>
    <w:p>
      <w:pPr>
        <w:pStyle w:val="ListBullet"/>
        <w:spacing w:before="0" w:after="40" w:line="276" w:lineRule="auto"/>
      </w:pPr>
      <w:r>
        <w:t>NFCI</w:t>
      </w:r>
    </w:p>
    <w:p>
      <w:pPr>
        <w:pStyle w:val="ListBullet"/>
        <w:spacing w:before="0" w:after="40" w:line="276" w:lineRule="auto"/>
      </w:pPr>
      <w:r>
        <w:t>ANFCI（可选但推荐）</w:t>
      </w:r>
    </w:p>
    <w:p>
      <w:pPr>
        <w:pStyle w:val="ListBullet"/>
        <w:spacing w:before="0" w:after="40" w:line="276" w:lineRule="auto"/>
      </w:pPr>
      <w:r>
        <w:t>站内综合风险分数（自研）</w:t>
      </w:r>
    </w:p>
    <w:p/>
    <w:p>
      <w:pPr>
        <w:pStyle w:val="Heading2"/>
        <w:spacing w:before="80" w:after="120" w:line="276" w:lineRule="auto"/>
      </w:pPr>
      <w:r>
        <w:t>能力</w:t>
      </w:r>
    </w:p>
    <w:p>
      <w:pPr>
        <w:pStyle w:val="ListBullet"/>
        <w:spacing w:before="0" w:after="40" w:line="276" w:lineRule="auto"/>
      </w:pPr>
      <w:r>
        <w:t>日/周数据抓取与落库</w:t>
      </w:r>
    </w:p>
    <w:p>
      <w:pPr>
        <w:pStyle w:val="ListBullet"/>
        <w:spacing w:before="0" w:after="40" w:line="276" w:lineRule="auto"/>
      </w:pPr>
      <w:r>
        <w:t>最新值、近 1 日/5 日/20 日变化</w:t>
      </w:r>
    </w:p>
    <w:p>
      <w:pPr>
        <w:pStyle w:val="ListBullet"/>
        <w:spacing w:before="0" w:after="40" w:line="276" w:lineRule="auto"/>
      </w:pPr>
      <w:r>
        <w:t>1 年分位数、Z-Score</w:t>
      </w:r>
    </w:p>
    <w:p>
      <w:pPr>
        <w:pStyle w:val="ListBullet"/>
        <w:spacing w:before="0" w:after="40" w:line="276" w:lineRule="auto"/>
      </w:pPr>
      <w:r>
        <w:t>自动解读模块</w:t>
      </w:r>
    </w:p>
    <w:p>
      <w:pPr>
        <w:pStyle w:val="ListBullet"/>
        <w:spacing w:before="0" w:after="40" w:line="276" w:lineRule="auto"/>
      </w:pPr>
      <w:r>
        <w:t>文章系统（MDX）</w:t>
      </w:r>
    </w:p>
    <w:p>
      <w:pPr>
        <w:pStyle w:val="ListBullet"/>
        <w:spacing w:before="0" w:after="40" w:line="276" w:lineRule="auto"/>
      </w:pPr>
      <w:r>
        <w:t>方法论与指标解释文案</w:t>
      </w:r>
    </w:p>
    <w:p/>
    <w:p>
      <w:pPr>
        <w:pStyle w:val="Heading1"/>
        <w:spacing w:before="160" w:after="120" w:line="276" w:lineRule="auto"/>
      </w:pPr>
      <w:r>
        <w:t>5.2 V1.1（建议后做）</w:t>
      </w:r>
    </w:p>
    <w:p/>
    <w:p>
      <w:pPr>
        <w:pStyle w:val="ListBullet"/>
        <w:spacing w:before="0" w:after="40" w:line="276" w:lineRule="auto"/>
      </w:pPr>
      <w:r>
        <w:t>VIX9D</w:t>
      </w:r>
    </w:p>
    <w:p>
      <w:pPr>
        <w:pStyle w:val="ListBullet"/>
        <w:spacing w:before="0" w:after="40" w:line="276" w:lineRule="auto"/>
      </w:pPr>
      <w:r>
        <w:t>VVIX</w:t>
      </w:r>
    </w:p>
    <w:p>
      <w:pPr>
        <w:pStyle w:val="ListBullet"/>
        <w:spacing w:before="0" w:after="40" w:line="276" w:lineRule="auto"/>
      </w:pPr>
      <w:r>
        <w:t>SKEW</w:t>
      </w:r>
    </w:p>
    <w:p>
      <w:pPr>
        <w:pStyle w:val="ListBullet"/>
        <w:spacing w:before="0" w:after="40" w:line="276" w:lineRule="auto"/>
      </w:pPr>
      <w:r>
        <w:t>Put/Call Ratio</w:t>
      </w:r>
    </w:p>
    <w:p>
      <w:pPr>
        <w:pStyle w:val="ListBullet"/>
        <w:spacing w:before="0" w:after="40" w:line="276" w:lineRule="auto"/>
      </w:pPr>
      <w:r>
        <w:t>AAII Sentiment</w:t>
      </w:r>
    </w:p>
    <w:p>
      <w:pPr>
        <w:pStyle w:val="ListBullet"/>
        <w:spacing w:before="0" w:after="40" w:line="276" w:lineRule="auto"/>
      </w:pPr>
      <w:r>
        <w:t>NAAIM Exposure Index</w:t>
      </w:r>
    </w:p>
    <w:p>
      <w:pPr>
        <w:pStyle w:val="ListBullet"/>
        <w:spacing w:before="0" w:after="40" w:line="276" w:lineRule="auto"/>
      </w:pPr>
      <w:r>
        <w:t>比较页 `/compare`</w:t>
      </w:r>
    </w:p>
    <w:p>
      <w:pPr>
        <w:pStyle w:val="ListBullet"/>
        <w:spacing w:before="0" w:after="40" w:line="276" w:lineRule="auto"/>
      </w:pPr>
      <w:r>
        <w:t>周报页 `/weekly`</w:t>
      </w:r>
    </w:p>
    <w:p>
      <w:pPr>
        <w:pStyle w:val="ListBullet"/>
        <w:spacing w:before="0" w:after="40" w:line="276" w:lineRule="auto"/>
      </w:pPr>
      <w:r>
        <w:t>社交分享图自动生成</w:t>
      </w:r>
    </w:p>
    <w:p/>
    <w:p>
      <w:pPr>
        <w:pStyle w:val="Heading1"/>
        <w:spacing w:before="160" w:after="120" w:line="276" w:lineRule="auto"/>
      </w:pPr>
      <w:r>
        <w:t>5.3 V2（需要授权或更强运维后再做）</w:t>
      </w:r>
    </w:p>
    <w:p/>
    <w:p>
      <w:pPr>
        <w:pStyle w:val="ListBullet"/>
        <w:spacing w:before="0" w:after="40" w:line="276" w:lineRule="auto"/>
      </w:pPr>
      <w:r>
        <w:t>MOVE Index</w:t>
      </w:r>
    </w:p>
    <w:p>
      <w:pPr>
        <w:pStyle w:val="ListBullet"/>
        <w:spacing w:before="0" w:after="40" w:line="276" w:lineRule="auto"/>
      </w:pPr>
      <w:r>
        <w:t>High Yield OAS（公开展示前必须做授权审查）</w:t>
      </w:r>
    </w:p>
    <w:p>
      <w:pPr>
        <w:pStyle w:val="ListBullet"/>
        <w:spacing w:before="0" w:after="40" w:line="276" w:lineRule="auto"/>
      </w:pPr>
      <w:r>
        <w:t>全球市场模块（VSTOXX、India VIX、Nikkei 225 VI、VHSI）</w:t>
      </w:r>
    </w:p>
    <w:p>
      <w:pPr>
        <w:pStyle w:val="ListBullet"/>
        <w:spacing w:before="0" w:after="40" w:line="276" w:lineRule="auto"/>
      </w:pPr>
      <w:r>
        <w:t>用户收藏、自定义仪表盘</w:t>
      </w:r>
    </w:p>
    <w:p>
      <w:pPr>
        <w:pStyle w:val="ListBullet"/>
        <w:spacing w:before="0" w:after="40" w:line="276" w:lineRule="auto"/>
      </w:pPr>
      <w:r>
        <w:t>会员深度内容或 API 服务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6. 信息架构与路由设计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353"/>
            <w:vAlign w:val="center"/>
          </w:tcPr>
          <w:p>
            <w:r>
              <w:rPr>
                <w:b/>
              </w:rPr>
              <w:t>页面类型</w:t>
            </w:r>
          </w:p>
        </w:tc>
        <w:tc>
          <w:tcPr>
            <w:tcW w:type="dxa" w:w="2353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353"/>
            <w:vAlign w:val="center"/>
          </w:tcPr>
          <w:p>
            <w:r>
              <w:rPr>
                <w:b/>
              </w:rPr>
              <w:t>是否 MVP</w:t>
            </w:r>
          </w:p>
        </w:tc>
      </w:tr>
      <w:tr>
        <w:tc>
          <w:tcPr>
            <w:tcW w:type="dxa" w:w="2353"/>
            <w:vAlign w:val="center"/>
          </w:tcPr>
          <w:p>
            <w:r>
              <w:t>`/`</w:t>
            </w:r>
          </w:p>
        </w:tc>
        <w:tc>
          <w:tcPr>
            <w:tcW w:type="dxa" w:w="2353"/>
            <w:vAlign w:val="center"/>
          </w:tcPr>
          <w:p>
            <w:r>
              <w:t>首页仪表盘</w:t>
            </w:r>
          </w:p>
        </w:tc>
        <w:tc>
          <w:tcPr>
            <w:tcW w:type="dxa" w:w="2353"/>
            <w:vAlign w:val="center"/>
          </w:tcPr>
          <w:p>
            <w:r>
              <w:t>统一看当前风险状态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`/indicators`</w:t>
            </w:r>
          </w:p>
        </w:tc>
        <w:tc>
          <w:tcPr>
            <w:tcW w:type="dxa" w:w="2353"/>
            <w:vAlign w:val="center"/>
          </w:tcPr>
          <w:p>
            <w:r>
              <w:t>列表页</w:t>
            </w:r>
          </w:p>
        </w:tc>
        <w:tc>
          <w:tcPr>
            <w:tcW w:type="dxa" w:w="2353"/>
            <w:vAlign w:val="center"/>
          </w:tcPr>
          <w:p>
            <w:r>
              <w:t>浏览全部指标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`/indicators/vix`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VIX 定义、图表、解读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`/indicators/vix-term-proxy`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VIX / VXV 或 VIX-VXV 期限代理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`/indicators/vxn`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科技股波动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`/indicators/rvx`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小盘股波动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`/indicators/vxd`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道指波动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`/indicators/stlfsi4`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圣路易斯联储金融压力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`/indicators/nfci`</w:t>
            </w:r>
          </w:p>
        </w:tc>
        <w:tc>
          <w:tcPr>
            <w:tcW w:type="dxa" w:w="2353"/>
            <w:vAlign w:val="center"/>
          </w:tcPr>
          <w:p>
            <w:r>
              <w:t>指标详情</w:t>
            </w:r>
          </w:p>
        </w:tc>
        <w:tc>
          <w:tcPr>
            <w:tcW w:type="dxa" w:w="2353"/>
            <w:vAlign w:val="center"/>
          </w:tcPr>
          <w:p>
            <w:r>
              <w:t>Chicago Fed 金融条件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`/how-to-read`</w:t>
            </w:r>
          </w:p>
        </w:tc>
        <w:tc>
          <w:tcPr>
            <w:tcW w:type="dxa" w:w="2353"/>
            <w:vAlign w:val="center"/>
          </w:tcPr>
          <w:p>
            <w:r>
              <w:t>方法论页</w:t>
            </w:r>
          </w:p>
        </w:tc>
        <w:tc>
          <w:tcPr>
            <w:tcW w:type="dxa" w:w="2353"/>
            <w:vAlign w:val="center"/>
          </w:tcPr>
          <w:p>
            <w:r>
              <w:t>教用户如何联读多个图表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`/data-sources`</w:t>
            </w:r>
          </w:p>
        </w:tc>
        <w:tc>
          <w:tcPr>
            <w:tcW w:type="dxa" w:w="2353"/>
            <w:vAlign w:val="center"/>
          </w:tcPr>
          <w:p>
            <w:r>
              <w:t>数据页</w:t>
            </w:r>
          </w:p>
        </w:tc>
        <w:tc>
          <w:tcPr>
            <w:tcW w:type="dxa" w:w="2353"/>
            <w:vAlign w:val="center"/>
          </w:tcPr>
          <w:p>
            <w:r>
              <w:t>数据来源、频率、授权说明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`/articles`</w:t>
            </w:r>
          </w:p>
        </w:tc>
        <w:tc>
          <w:tcPr>
            <w:tcW w:type="dxa" w:w="2353"/>
            <w:vAlign w:val="center"/>
          </w:tcPr>
          <w:p>
            <w:r>
              <w:t>内容页</w:t>
            </w:r>
          </w:p>
        </w:tc>
        <w:tc>
          <w:tcPr>
            <w:tcW w:type="dxa" w:w="2353"/>
            <w:vAlign w:val="center"/>
          </w:tcPr>
          <w:p>
            <w:r>
              <w:t>文章列表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`/articles/[slug]`</w:t>
            </w:r>
          </w:p>
        </w:tc>
        <w:tc>
          <w:tcPr>
            <w:tcW w:type="dxa" w:w="2353"/>
            <w:vAlign w:val="center"/>
          </w:tcPr>
          <w:p>
            <w:r>
              <w:t>内容页</w:t>
            </w:r>
          </w:p>
        </w:tc>
        <w:tc>
          <w:tcPr>
            <w:tcW w:type="dxa" w:w="2353"/>
            <w:vAlign w:val="center"/>
          </w:tcPr>
          <w:p>
            <w:r>
              <w:t>深度文章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`/compare`</w:t>
            </w:r>
          </w:p>
        </w:tc>
        <w:tc>
          <w:tcPr>
            <w:tcW w:type="dxa" w:w="2353"/>
            <w:vAlign w:val="center"/>
          </w:tcPr>
          <w:p>
            <w:r>
              <w:t>工具页</w:t>
            </w:r>
          </w:p>
        </w:tc>
        <w:tc>
          <w:tcPr>
            <w:tcW w:type="dxa" w:w="2353"/>
            <w:vAlign w:val="center"/>
          </w:tcPr>
          <w:p>
            <w:r>
              <w:t>多指标对比</w:t>
            </w:r>
          </w:p>
        </w:tc>
        <w:tc>
          <w:tcPr>
            <w:tcW w:type="dxa" w:w="2353"/>
            <w:vAlign w:val="center"/>
          </w:tcPr>
          <w:p>
            <w:r>
              <w:t>否（V1.1）</w:t>
            </w:r>
          </w:p>
        </w:tc>
      </w:tr>
      <w:tr>
        <w:tc>
          <w:tcPr>
            <w:tcW w:type="dxa" w:w="2353"/>
            <w:vAlign w:val="center"/>
          </w:tcPr>
          <w:p>
            <w:r>
              <w:t>`/weekly`</w:t>
            </w:r>
          </w:p>
        </w:tc>
        <w:tc>
          <w:tcPr>
            <w:tcW w:type="dxa" w:w="2353"/>
            <w:vAlign w:val="center"/>
          </w:tcPr>
          <w:p>
            <w:r>
              <w:t>内容页</w:t>
            </w:r>
          </w:p>
        </w:tc>
        <w:tc>
          <w:tcPr>
            <w:tcW w:type="dxa" w:w="2353"/>
            <w:vAlign w:val="center"/>
          </w:tcPr>
          <w:p>
            <w:r>
              <w:t>自动周报/周观察</w:t>
            </w:r>
          </w:p>
        </w:tc>
        <w:tc>
          <w:tcPr>
            <w:tcW w:type="dxa" w:w="2353"/>
            <w:vAlign w:val="center"/>
          </w:tcPr>
          <w:p>
            <w:r>
              <w:t>否（V1.1）</w:t>
            </w:r>
          </w:p>
        </w:tc>
      </w:tr>
      <w:tr>
        <w:tc>
          <w:tcPr>
            <w:tcW w:type="dxa" w:w="2353"/>
            <w:vAlign w:val="center"/>
          </w:tcPr>
          <w:p>
            <w:r>
              <w:t>`/about`</w:t>
            </w:r>
          </w:p>
        </w:tc>
        <w:tc>
          <w:tcPr>
            <w:tcW w:type="dxa" w:w="2353"/>
            <w:vAlign w:val="center"/>
          </w:tcPr>
          <w:p>
            <w:r>
              <w:t>静态页</w:t>
            </w:r>
          </w:p>
        </w:tc>
        <w:tc>
          <w:tcPr>
            <w:tcW w:type="dxa" w:w="2353"/>
            <w:vAlign w:val="center"/>
          </w:tcPr>
          <w:p>
            <w:r>
              <w:t>产品介绍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`/privacy`</w:t>
            </w:r>
          </w:p>
        </w:tc>
        <w:tc>
          <w:tcPr>
            <w:tcW w:type="dxa" w:w="2353"/>
            <w:vAlign w:val="center"/>
          </w:tcPr>
          <w:p>
            <w:r>
              <w:t>静态页</w:t>
            </w:r>
          </w:p>
        </w:tc>
        <w:tc>
          <w:tcPr>
            <w:tcW w:type="dxa" w:w="2353"/>
            <w:vAlign w:val="center"/>
          </w:tcPr>
          <w:p>
            <w:r>
              <w:t>隐私政策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  <w:tr>
        <w:tc>
          <w:tcPr>
            <w:tcW w:type="dxa" w:w="2353"/>
            <w:vAlign w:val="center"/>
          </w:tcPr>
          <w:p>
            <w:r>
              <w:t>`/terms`</w:t>
            </w:r>
          </w:p>
        </w:tc>
        <w:tc>
          <w:tcPr>
            <w:tcW w:type="dxa" w:w="2353"/>
            <w:vAlign w:val="center"/>
          </w:tcPr>
          <w:p>
            <w:r>
              <w:t>静态页</w:t>
            </w:r>
          </w:p>
        </w:tc>
        <w:tc>
          <w:tcPr>
            <w:tcW w:type="dxa" w:w="2353"/>
            <w:vAlign w:val="center"/>
          </w:tcPr>
          <w:p>
            <w:r>
              <w:t>使用条款</w:t>
            </w:r>
          </w:p>
        </w:tc>
        <w:tc>
          <w:tcPr>
            <w:tcW w:type="dxa" w:w="2353"/>
            <w:vAlign w:val="center"/>
          </w:tcPr>
          <w:p>
            <w:r>
              <w:t>是</w:t>
            </w:r>
          </w:p>
        </w:tc>
      </w:tr>
    </w:tbl>
    <w:p/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7. 核心页面 PRD</w:t>
      </w:r>
    </w:p>
    <w:p/>
    <w:p>
      <w:pPr>
        <w:pStyle w:val="Heading1"/>
        <w:spacing w:before="160" w:after="120" w:line="276" w:lineRule="auto"/>
      </w:pPr>
      <w:r>
        <w:t>7.1 首页仪表盘 `/`</w:t>
      </w:r>
    </w:p>
    <w:p/>
    <w:p>
      <w:pPr>
        <w:pStyle w:val="Heading2"/>
        <w:spacing w:before="80" w:after="120" w:line="276" w:lineRule="auto"/>
      </w:pPr>
      <w:r>
        <w:t>页面目标</w:t>
      </w:r>
    </w:p>
    <w:p>
      <w:pPr>
        <w:spacing w:before="0" w:after="120" w:line="300" w:lineRule="auto"/>
      </w:pPr>
      <w:r>
        <w:t>让用户在 10 秒内得到三个答案：</w:t>
      </w:r>
    </w:p>
    <w:p>
      <w:pPr>
        <w:pStyle w:val="ListNumber"/>
        <w:spacing w:before="0" w:after="40" w:line="276" w:lineRule="auto"/>
      </w:pPr>
      <w:r>
        <w:t>当前整体风险状态如何</w:t>
      </w:r>
    </w:p>
    <w:p>
      <w:pPr>
        <w:pStyle w:val="ListNumber"/>
        <w:spacing w:before="0" w:after="40" w:line="276" w:lineRule="auto"/>
      </w:pPr>
      <w:r>
        <w:t>风险主要来自哪一类市场</w:t>
      </w:r>
    </w:p>
    <w:p>
      <w:pPr>
        <w:pStyle w:val="ListNumber"/>
        <w:spacing w:before="0" w:after="40" w:line="276" w:lineRule="auto"/>
      </w:pPr>
      <w:r>
        <w:t>这是不是系统性共振</w:t>
      </w:r>
    </w:p>
    <w:p/>
    <w:p>
      <w:pPr>
        <w:pStyle w:val="Heading2"/>
        <w:spacing w:before="80" w:after="120" w:line="276" w:lineRule="auto"/>
      </w:pPr>
      <w:r>
        <w:t>页面结构</w:t>
      </w:r>
    </w:p>
    <w:p/>
    <w:p>
      <w:pPr>
        <w:pStyle w:val="Heading3"/>
        <w:spacing w:before="80" w:after="120" w:line="276" w:lineRule="auto"/>
      </w:pPr>
      <w:r>
        <w:t>A. Hero 区</w:t>
      </w:r>
    </w:p>
    <w:p>
      <w:pPr>
        <w:pStyle w:val="ListBullet"/>
        <w:spacing w:before="0" w:after="40" w:line="276" w:lineRule="auto"/>
      </w:pPr>
      <w:r>
        <w:t>标题：市场风险仪表盘</w:t>
      </w:r>
    </w:p>
    <w:p>
      <w:pPr>
        <w:pStyle w:val="ListBullet"/>
        <w:spacing w:before="0" w:after="40" w:line="276" w:lineRule="auto"/>
      </w:pPr>
      <w:r>
        <w:t>副标题：把权益波动、金融压力和方法论放到一张首页里</w:t>
      </w:r>
    </w:p>
    <w:p>
      <w:pPr>
        <w:pStyle w:val="ListBullet"/>
        <w:spacing w:before="0" w:after="40" w:line="276" w:lineRule="auto"/>
      </w:pPr>
      <w:r>
        <w:t>数据更新时间</w:t>
      </w:r>
    </w:p>
    <w:p>
      <w:pPr>
        <w:pStyle w:val="ListBullet"/>
        <w:spacing w:before="0" w:after="40" w:line="276" w:lineRule="auto"/>
      </w:pPr>
      <w:r>
        <w:t>风险状态标签：平静 / 观察 / 升温 / 明显承压 / 风险共振</w:t>
      </w:r>
    </w:p>
    <w:p/>
    <w:p>
      <w:pPr>
        <w:pStyle w:val="Heading3"/>
        <w:spacing w:before="80" w:after="120" w:line="276" w:lineRule="auto"/>
      </w:pPr>
      <w:r>
        <w:t>B. 综合风险温度</w:t>
      </w:r>
    </w:p>
    <w:p>
      <w:pPr>
        <w:pStyle w:val="ListBullet"/>
        <w:spacing w:before="0" w:after="40" w:line="276" w:lineRule="auto"/>
      </w:pPr>
      <w:r>
        <w:t>一个 0–100 的综合分数卡</w:t>
      </w:r>
    </w:p>
    <w:p>
      <w:pPr>
        <w:pStyle w:val="ListBullet"/>
        <w:spacing w:before="0" w:after="40" w:line="276" w:lineRule="auto"/>
      </w:pPr>
      <w:r>
        <w:t>一个简洁文字说明</w:t>
      </w:r>
    </w:p>
    <w:p>
      <w:pPr>
        <w:pStyle w:val="ListBullet"/>
        <w:spacing w:before="0" w:after="40" w:line="276" w:lineRule="auto"/>
      </w:pPr>
      <w:r>
        <w:t>一个“这分数是怎么来的”跳转到方法论页</w:t>
      </w:r>
    </w:p>
    <w:p/>
    <w:p>
      <w:pPr>
        <w:pStyle w:val="Heading3"/>
        <w:spacing w:before="80" w:after="120" w:line="276" w:lineRule="auto"/>
      </w:pPr>
      <w:r>
        <w:t>C. 核心指标卡片</w:t>
      </w:r>
    </w:p>
    <w:p>
      <w:pPr>
        <w:spacing w:before="0" w:after="120" w:line="300" w:lineRule="auto"/>
      </w:pPr>
      <w:r>
        <w:t>每张卡展示：</w:t>
      </w:r>
    </w:p>
    <w:p>
      <w:pPr>
        <w:pStyle w:val="ListBullet"/>
        <w:spacing w:before="0" w:after="40" w:line="276" w:lineRule="auto"/>
      </w:pPr>
      <w:r>
        <w:t>指标名</w:t>
      </w:r>
    </w:p>
    <w:p>
      <w:pPr>
        <w:pStyle w:val="ListBullet"/>
        <w:spacing w:before="0" w:after="40" w:line="276" w:lineRule="auto"/>
      </w:pPr>
      <w:r>
        <w:t>最新值</w:t>
      </w:r>
    </w:p>
    <w:p>
      <w:pPr>
        <w:pStyle w:val="ListBullet"/>
        <w:spacing w:before="0" w:after="40" w:line="276" w:lineRule="auto"/>
      </w:pPr>
      <w:r>
        <w:t>1D / 5D / 20D 变化</w:t>
      </w:r>
    </w:p>
    <w:p>
      <w:pPr>
        <w:pStyle w:val="ListBullet"/>
        <w:spacing w:before="0" w:after="40" w:line="276" w:lineRule="auto"/>
      </w:pPr>
      <w:r>
        <w:t>1Y 分位数</w:t>
      </w:r>
    </w:p>
    <w:p>
      <w:pPr>
        <w:pStyle w:val="ListBullet"/>
        <w:spacing w:before="0" w:after="40" w:line="276" w:lineRule="auto"/>
      </w:pPr>
      <w:r>
        <w:t>状态标签</w:t>
      </w:r>
    </w:p>
    <w:p>
      <w:pPr>
        <w:pStyle w:val="ListBullet"/>
        <w:spacing w:before="0" w:after="40" w:line="276" w:lineRule="auto"/>
      </w:pPr>
      <w:r>
        <w:t>跳转详情页</w:t>
      </w:r>
    </w:p>
    <w:p/>
    <w:p>
      <w:pPr>
        <w:pStyle w:val="Heading3"/>
        <w:spacing w:before="80" w:after="120" w:line="276" w:lineRule="auto"/>
      </w:pPr>
      <w:r>
        <w:t>D. 联合解读模块</w:t>
      </w:r>
    </w:p>
    <w:p>
      <w:pPr>
        <w:spacing w:before="0" w:after="120" w:line="300" w:lineRule="auto"/>
      </w:pPr>
      <w:r>
        <w:t>用一段人话解释目前的组合状态，例如：</w:t>
      </w:r>
    </w:p>
    <w:p>
      <w:pPr>
        <w:pStyle w:val="ListBullet"/>
        <w:spacing w:before="0" w:after="40" w:line="276" w:lineRule="auto"/>
      </w:pPr>
      <w:r>
        <w:t>VIX 升，但 STLFSI4/NFCI 仍低于 0，说明更像权益市场短期波动</w:t>
      </w:r>
    </w:p>
    <w:p>
      <w:pPr>
        <w:pStyle w:val="ListBullet"/>
        <w:spacing w:before="0" w:after="40" w:line="276" w:lineRule="auto"/>
      </w:pPr>
      <w:r>
        <w:t>VIX 和小盘/科技波动一起抬升，风险偏好下降更明显</w:t>
      </w:r>
    </w:p>
    <w:p>
      <w:pPr>
        <w:pStyle w:val="ListBullet"/>
        <w:spacing w:before="0" w:after="40" w:line="276" w:lineRule="auto"/>
      </w:pPr>
      <w:r>
        <w:t>风险分数上升主要来自权益端而不是系统端</w:t>
      </w:r>
    </w:p>
    <w:p/>
    <w:p>
      <w:pPr>
        <w:pStyle w:val="Heading3"/>
        <w:spacing w:before="80" w:after="120" w:line="276" w:lineRule="auto"/>
      </w:pPr>
      <w:r>
        <w:t>E. 图表区</w:t>
      </w:r>
    </w:p>
    <w:p>
      <w:pPr>
        <w:spacing w:before="0" w:after="120" w:line="300" w:lineRule="auto"/>
      </w:pPr>
      <w:r>
        <w:t>MVP 推荐 4 块：</w:t>
      </w:r>
    </w:p>
    <w:p>
      <w:pPr>
        <w:pStyle w:val="ListBullet"/>
        <w:spacing w:before="0" w:after="40" w:line="276" w:lineRule="auto"/>
      </w:pPr>
      <w:r>
        <w:t>VIX + VXV（期限结构代理）</w:t>
      </w:r>
    </w:p>
    <w:p>
      <w:pPr>
        <w:pStyle w:val="ListBullet"/>
        <w:spacing w:before="0" w:after="40" w:line="276" w:lineRule="auto"/>
      </w:pPr>
      <w:r>
        <w:t>VIX / VXN / RVX / VXD 对比</w:t>
      </w:r>
    </w:p>
    <w:p>
      <w:pPr>
        <w:pStyle w:val="ListBullet"/>
        <w:spacing w:before="0" w:after="40" w:line="276" w:lineRule="auto"/>
      </w:pPr>
      <w:r>
        <w:t>STLFSI4 与 NFCI</w:t>
      </w:r>
    </w:p>
    <w:p>
      <w:pPr>
        <w:pStyle w:val="ListBullet"/>
        <w:spacing w:before="0" w:after="40" w:line="276" w:lineRule="auto"/>
      </w:pPr>
      <w:r>
        <w:t>综合风险分数时间序列</w:t>
      </w:r>
    </w:p>
    <w:p/>
    <w:p>
      <w:pPr>
        <w:pStyle w:val="Heading3"/>
        <w:spacing w:before="80" w:after="120" w:line="276" w:lineRule="auto"/>
      </w:pPr>
      <w:r>
        <w:t>F. 说明区</w:t>
      </w:r>
    </w:p>
    <w:p>
      <w:pPr>
        <w:pStyle w:val="ListBullet"/>
        <w:spacing w:before="0" w:after="40" w:line="276" w:lineRule="auto"/>
      </w:pPr>
      <w:r>
        <w:t>这不是投资建议</w:t>
      </w:r>
    </w:p>
    <w:p>
      <w:pPr>
        <w:pStyle w:val="ListBullet"/>
        <w:spacing w:before="0" w:after="40" w:line="276" w:lineRule="auto"/>
      </w:pPr>
      <w:r>
        <w:t>数据延迟和来源说明</w:t>
      </w:r>
    </w:p>
    <w:p>
      <w:pPr>
        <w:pStyle w:val="ListBullet"/>
        <w:spacing w:before="0" w:after="40" w:line="276" w:lineRule="auto"/>
      </w:pPr>
      <w:r>
        <w:t>去看“如何阅读这个页面”</w:t>
      </w:r>
    </w:p>
    <w:p/>
    <w:p>
      <w:pPr>
        <w:pStyle w:val="Heading2"/>
        <w:spacing w:before="80" w:after="120" w:line="276" w:lineRule="auto"/>
      </w:pPr>
      <w:r>
        <w:t>首页验收标准</w:t>
      </w:r>
    </w:p>
    <w:p>
      <w:pPr>
        <w:pStyle w:val="ListBullet"/>
        <w:spacing w:before="0" w:after="40" w:line="276" w:lineRule="auto"/>
      </w:pPr>
      <w:r>
        <w:t>无需滚动或少量滚动即可理解当前状态</w:t>
      </w:r>
    </w:p>
    <w:p>
      <w:pPr>
        <w:pStyle w:val="ListBullet"/>
        <w:spacing w:before="0" w:after="40" w:line="276" w:lineRule="auto"/>
      </w:pPr>
      <w:r>
        <w:t>每块信息都能跳到更深的解释页面</w:t>
      </w:r>
    </w:p>
    <w:p>
      <w:pPr>
        <w:pStyle w:val="ListBullet"/>
        <w:spacing w:before="0" w:after="40" w:line="276" w:lineRule="auto"/>
      </w:pPr>
      <w:r>
        <w:t>首页不能只剩数字，必须有说明文案</w:t>
      </w:r>
    </w:p>
    <w:p>
      <w:pPr>
        <w:pStyle w:val="ListBullet"/>
        <w:spacing w:before="0" w:after="40" w:line="276" w:lineRule="auto"/>
      </w:pPr>
      <w:r>
        <w:t>页面首屏必须有更新时间与数据来源入口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7.2 指标详情页 `/indicators/[slug]`</w:t>
      </w:r>
    </w:p>
    <w:p/>
    <w:p>
      <w:pPr>
        <w:pStyle w:val="Heading2"/>
        <w:spacing w:before="80" w:after="120" w:line="276" w:lineRule="auto"/>
      </w:pPr>
      <w:r>
        <w:t>页面目标</w:t>
      </w:r>
    </w:p>
    <w:p>
      <w:pPr>
        <w:spacing w:before="0" w:after="120" w:line="300" w:lineRule="auto"/>
      </w:pPr>
      <w:r>
        <w:t>回答“这个指标是什么、怎么看、有什么边界”。</w:t>
      </w:r>
    </w:p>
    <w:p/>
    <w:p>
      <w:pPr>
        <w:pStyle w:val="Heading2"/>
        <w:spacing w:before="80" w:after="120" w:line="276" w:lineRule="auto"/>
      </w:pPr>
      <w:r>
        <w:t>页面结构</w:t>
      </w:r>
    </w:p>
    <w:p>
      <w:pPr>
        <w:pStyle w:val="ListNumber"/>
        <w:spacing w:before="0" w:after="40" w:line="276" w:lineRule="auto"/>
      </w:pPr>
      <w:r>
        <w:t>指标简介</w:t>
      </w:r>
    </w:p>
    <w:p>
      <w:pPr>
        <w:pStyle w:val="ListNumber"/>
        <w:spacing w:before="0" w:after="40" w:line="276" w:lineRule="auto"/>
      </w:pPr>
      <w:r>
        <w:t>最新值与关键变化</w:t>
      </w:r>
    </w:p>
    <w:p>
      <w:pPr>
        <w:pStyle w:val="ListNumber"/>
        <w:spacing w:before="0" w:after="40" w:line="276" w:lineRule="auto"/>
      </w:pPr>
      <w:r>
        <w:t>主图（1 年默认，可切 3M / 1Y / 5Y / Max）</w:t>
      </w:r>
    </w:p>
    <w:p>
      <w:pPr>
        <w:pStyle w:val="ListNumber"/>
        <w:spacing w:before="0" w:after="40" w:line="276" w:lineRule="auto"/>
      </w:pPr>
      <w:r>
        <w:t>历史分位与状态说明</w:t>
      </w:r>
    </w:p>
    <w:p>
      <w:pPr>
        <w:pStyle w:val="ListNumber"/>
        <w:spacing w:before="0" w:after="40" w:line="276" w:lineRule="auto"/>
      </w:pPr>
      <w:r>
        <w:t>如何解读</w:t>
      </w:r>
    </w:p>
    <w:p>
      <w:pPr>
        <w:pStyle w:val="ListNumber"/>
        <w:spacing w:before="0" w:after="40" w:line="276" w:lineRule="auto"/>
      </w:pPr>
      <w:r>
        <w:t>常见误解</w:t>
      </w:r>
    </w:p>
    <w:p>
      <w:pPr>
        <w:pStyle w:val="ListNumber"/>
        <w:spacing w:before="0" w:after="40" w:line="276" w:lineRule="auto"/>
      </w:pPr>
      <w:r>
        <w:t>与哪些指标联读</w:t>
      </w:r>
    </w:p>
    <w:p>
      <w:pPr>
        <w:pStyle w:val="ListNumber"/>
        <w:spacing w:before="0" w:after="40" w:line="276" w:lineRule="auto"/>
      </w:pPr>
      <w:r>
        <w:t>数据源、更新时间、频率、授权说明</w:t>
      </w:r>
    </w:p>
    <w:p>
      <w:pPr>
        <w:pStyle w:val="ListNumber"/>
        <w:spacing w:before="0" w:after="40" w:line="276" w:lineRule="auto"/>
      </w:pPr>
      <w:r>
        <w:t>相关文章</w:t>
      </w:r>
    </w:p>
    <w:p/>
    <w:p>
      <w:pPr>
        <w:pStyle w:val="Heading2"/>
        <w:spacing w:before="80" w:after="120" w:line="276" w:lineRule="auto"/>
      </w:pPr>
      <w:r>
        <w:t>示例：VIX 页必须回答的问题</w:t>
      </w:r>
    </w:p>
    <w:p>
      <w:pPr>
        <w:pStyle w:val="ListBullet"/>
        <w:spacing w:before="0" w:after="40" w:line="276" w:lineRule="auto"/>
      </w:pPr>
      <w:r>
        <w:t>VIX 是什么</w:t>
      </w:r>
    </w:p>
    <w:p>
      <w:pPr>
        <w:pStyle w:val="ListBullet"/>
        <w:spacing w:before="0" w:after="40" w:line="276" w:lineRule="auto"/>
      </w:pPr>
      <w:r>
        <w:t>为什么不是“恐慌指数”四个字就能解释完</w:t>
      </w:r>
    </w:p>
    <w:p>
      <w:pPr>
        <w:pStyle w:val="ListBullet"/>
        <w:spacing w:before="0" w:after="40" w:line="276" w:lineRule="auto"/>
      </w:pPr>
      <w:r>
        <w:t>它和 VXV、VXN、RVX 的关系是什么</w:t>
      </w:r>
    </w:p>
    <w:p>
      <w:pPr>
        <w:pStyle w:val="ListBullet"/>
        <w:spacing w:before="0" w:after="40" w:line="276" w:lineRule="auto"/>
      </w:pPr>
      <w:r>
        <w:t>VIX 高是否一定意味着马上下跌</w:t>
      </w:r>
    </w:p>
    <w:p>
      <w:pPr>
        <w:pStyle w:val="ListBullet"/>
        <w:spacing w:before="0" w:after="40" w:line="276" w:lineRule="auto"/>
      </w:pPr>
      <w:r>
        <w:t>为什么还要结合 STLFSI4 / NFCI 一起看</w:t>
      </w:r>
    </w:p>
    <w:p/>
    <w:p>
      <w:pPr>
        <w:pStyle w:val="Heading2"/>
        <w:spacing w:before="80" w:after="120" w:line="276" w:lineRule="auto"/>
      </w:pPr>
      <w:r>
        <w:t>详情页验收标准</w:t>
      </w:r>
    </w:p>
    <w:p>
      <w:pPr>
        <w:pStyle w:val="ListBullet"/>
        <w:spacing w:before="0" w:after="40" w:line="276" w:lineRule="auto"/>
      </w:pPr>
      <w:r>
        <w:t>指标定义不超过两段就能让普通投资者理解</w:t>
      </w:r>
    </w:p>
    <w:p>
      <w:pPr>
        <w:pStyle w:val="ListBullet"/>
        <w:spacing w:before="0" w:after="40" w:line="276" w:lineRule="auto"/>
      </w:pPr>
      <w:r>
        <w:t>图表下方必须有解读文案，不允许只有图</w:t>
      </w:r>
    </w:p>
    <w:p>
      <w:pPr>
        <w:pStyle w:val="ListBullet"/>
        <w:spacing w:before="0" w:after="40" w:line="276" w:lineRule="auto"/>
      </w:pPr>
      <w:r>
        <w:t>必须展示数据源、更新时间、数据频率、商用备注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7.3 方法论页 `/how-to-read`</w:t>
      </w:r>
    </w:p>
    <w:p/>
    <w:p>
      <w:pPr>
        <w:spacing w:before="0" w:after="120" w:line="300" w:lineRule="auto"/>
      </w:pPr>
      <w:r>
        <w:t>这是本项目必须有的一页，也是和“纯数据搬运页”拉开差距的关键页。</w:t>
      </w:r>
    </w:p>
    <w:p/>
    <w:p>
      <w:pPr>
        <w:pStyle w:val="Heading2"/>
        <w:spacing w:before="80" w:after="120" w:line="276" w:lineRule="auto"/>
      </w:pPr>
      <w:r>
        <w:t>页面目标</w:t>
      </w:r>
    </w:p>
    <w:p>
      <w:pPr>
        <w:spacing w:before="0" w:after="120" w:line="300" w:lineRule="auto"/>
      </w:pPr>
      <w:r>
        <w:t>用金融爱好者口吻告诉用户：这几个图要怎么一起看。</w:t>
      </w:r>
    </w:p>
    <w:p/>
    <w:p>
      <w:pPr>
        <w:pStyle w:val="Heading2"/>
        <w:spacing w:before="80" w:after="120" w:line="276" w:lineRule="auto"/>
      </w:pPr>
      <w:r>
        <w:t>建议标题</w:t>
      </w:r>
    </w:p>
    <w:p>
      <w:pPr>
        <w:spacing w:before="0" w:after="120" w:line="300" w:lineRule="auto"/>
      </w:pPr>
      <w:r>
        <w:rPr>
          <w:b/>
        </w:rPr>
        <w:t>如何阅读这套市场风险仪表盘</w:t>
      </w:r>
    </w:p>
    <w:p/>
    <w:p>
      <w:pPr>
        <w:pStyle w:val="Heading2"/>
        <w:spacing w:before="80" w:after="120" w:line="276" w:lineRule="auto"/>
      </w:pPr>
      <w:r>
        <w:t>建议正文结构</w:t>
      </w:r>
    </w:p>
    <w:p>
      <w:pPr>
        <w:pStyle w:val="ListNumber"/>
        <w:spacing w:before="0" w:after="40" w:line="276" w:lineRule="auto"/>
      </w:pPr>
      <w:r>
        <w:t>为什么不要只看一个 VIX</w:t>
      </w:r>
    </w:p>
    <w:p>
      <w:pPr>
        <w:pStyle w:val="ListNumber"/>
        <w:spacing w:before="0" w:after="40" w:line="276" w:lineRule="auto"/>
      </w:pPr>
      <w:r>
        <w:t>权益波动看什么</w:t>
      </w:r>
    </w:p>
    <w:p>
      <w:pPr>
        <w:pStyle w:val="ListNumber"/>
        <w:spacing w:before="0" w:after="40" w:line="276" w:lineRule="auto"/>
      </w:pPr>
      <w:r>
        <w:t>系统性压力看什么</w:t>
      </w:r>
    </w:p>
    <w:p>
      <w:pPr>
        <w:pStyle w:val="ListNumber"/>
        <w:spacing w:before="0" w:after="40" w:line="276" w:lineRule="auto"/>
      </w:pPr>
      <w:r>
        <w:t>什么叫“共振”</w:t>
      </w:r>
    </w:p>
    <w:p>
      <w:pPr>
        <w:pStyle w:val="ListNumber"/>
        <w:spacing w:before="0" w:after="40" w:line="276" w:lineRule="auto"/>
      </w:pPr>
      <w:r>
        <w:t>什么叫“表面平静但尾部风险变贵”</w:t>
      </w:r>
    </w:p>
    <w:p>
      <w:pPr>
        <w:pStyle w:val="ListNumber"/>
        <w:spacing w:before="0" w:after="40" w:line="276" w:lineRule="auto"/>
      </w:pPr>
      <w:r>
        <w:t>哪些情况值得提高警惕</w:t>
      </w:r>
    </w:p>
    <w:p>
      <w:pPr>
        <w:pStyle w:val="ListNumber"/>
        <w:spacing w:before="0" w:after="40" w:line="276" w:lineRule="auto"/>
      </w:pPr>
      <w:r>
        <w:t>哪些情况只是短期噪音</w:t>
      </w:r>
    </w:p>
    <w:p/>
    <w:p>
      <w:pPr>
        <w:pStyle w:val="Heading2"/>
        <w:spacing w:before="80" w:after="120" w:line="276" w:lineRule="auto"/>
      </w:pPr>
      <w:r>
        <w:t>示例文案口吻</w:t>
      </w:r>
    </w:p>
    <w:p>
      <w:pPr>
        <w:spacing w:before="0" w:after="120" w:line="276" w:lineRule="auto"/>
        <w:ind w:left="340"/>
      </w:pPr>
      <w:r>
        <w:rPr>
          <w:i/>
        </w:rPr>
        <w:t>我自己看这套仪表盘时，不会把某一个数字当答案。</w:t>
      </w:r>
    </w:p>
    <w:p>
      <w:pPr>
        <w:spacing w:before="0" w:after="120" w:line="276" w:lineRule="auto"/>
        <w:ind w:left="340"/>
      </w:pPr>
      <w:r>
        <w:rPr>
          <w:i/>
        </w:rPr>
        <w:t>VIX 更像权益市场的体感温度，STLFSI4 和 NFCI 更像全身检查。</w:t>
      </w:r>
    </w:p>
    <w:p>
      <w:pPr>
        <w:spacing w:before="0" w:after="120" w:line="276" w:lineRule="auto"/>
        <w:ind w:left="340"/>
      </w:pPr>
      <w:r>
        <w:rPr>
          <w:i/>
        </w:rPr>
        <w:t>单项升温不一定是系统性风险，但如果好几条线一起抬头，就值得认真一点。</w:t>
      </w:r>
    </w:p>
    <w:p/>
    <w:p>
      <w:pPr>
        <w:spacing w:before="0" w:after="120" w:line="276" w:lineRule="auto"/>
        <w:ind w:left="340"/>
      </w:pPr>
      <w:r>
        <w:rPr>
          <w:i/>
        </w:rPr>
        <w:t>如果只是 VIX 升了，而金融压力指数还在正常区间，我通常会把它先理解成“权益市场在重新给短期波动定价”，而不是直接下结论说系统性风险来了。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7.4 数据来源页 `/data-sources`</w:t>
      </w:r>
    </w:p>
    <w:p/>
    <w:p>
      <w:pPr>
        <w:pStyle w:val="Heading2"/>
        <w:spacing w:before="80" w:after="120" w:line="276" w:lineRule="auto"/>
      </w:pPr>
      <w:r>
        <w:t>页面目标</w:t>
      </w:r>
    </w:p>
    <w:p>
      <w:pPr>
        <w:spacing w:before="0" w:after="120" w:line="300" w:lineRule="auto"/>
      </w:pPr>
      <w:r>
        <w:t>公开透明，帮助用户与搜索引擎理解本站不是“黑箱”。</w:t>
      </w:r>
    </w:p>
    <w:p/>
    <w:p>
      <w:pPr>
        <w:pStyle w:val="Heading2"/>
        <w:spacing w:before="80" w:after="120" w:line="276" w:lineRule="auto"/>
      </w:pPr>
      <w:r>
        <w:t>每条数据源必须展示</w:t>
      </w:r>
    </w:p>
    <w:p>
      <w:pPr>
        <w:pStyle w:val="ListBullet"/>
        <w:spacing w:before="0" w:after="40" w:line="276" w:lineRule="auto"/>
      </w:pPr>
      <w:r>
        <w:t>指标名</w:t>
      </w:r>
    </w:p>
    <w:p>
      <w:pPr>
        <w:pStyle w:val="ListBullet"/>
        <w:spacing w:before="0" w:after="40" w:line="276" w:lineRule="auto"/>
      </w:pPr>
      <w:r>
        <w:t>Source Name</w:t>
      </w:r>
    </w:p>
    <w:p>
      <w:pPr>
        <w:pStyle w:val="ListBullet"/>
        <w:spacing w:before="0" w:after="40" w:line="276" w:lineRule="auto"/>
      </w:pPr>
      <w:r>
        <w:t>原始机构</w:t>
      </w:r>
    </w:p>
    <w:p>
      <w:pPr>
        <w:pStyle w:val="ListBullet"/>
        <w:spacing w:before="0" w:after="40" w:line="276" w:lineRule="auto"/>
      </w:pPr>
      <w:r>
        <w:t>获取方式（API / CSV / 手工维护 / 后续授权）</w:t>
      </w:r>
    </w:p>
    <w:p>
      <w:pPr>
        <w:pStyle w:val="ListBullet"/>
        <w:spacing w:before="0" w:after="40" w:line="276" w:lineRule="auto"/>
      </w:pPr>
      <w:r>
        <w:t>更新频率</w:t>
      </w:r>
    </w:p>
    <w:p>
      <w:pPr>
        <w:pStyle w:val="ListBullet"/>
        <w:spacing w:before="0" w:after="40" w:line="276" w:lineRule="auto"/>
      </w:pPr>
      <w:r>
        <w:t>最近更新时间</w:t>
      </w:r>
    </w:p>
    <w:p>
      <w:pPr>
        <w:pStyle w:val="ListBullet"/>
        <w:spacing w:before="0" w:after="40" w:line="276" w:lineRule="auto"/>
      </w:pPr>
      <w:r>
        <w:t>公开展示是否有额外授权风险</w:t>
      </w:r>
    </w:p>
    <w:p>
      <w:pPr>
        <w:pStyle w:val="ListBullet"/>
        <w:spacing w:before="0" w:after="40" w:line="276" w:lineRule="auto"/>
      </w:pPr>
      <w:r>
        <w:t>备注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7.5 文章页 `/articles/[slug]`</w:t>
      </w:r>
    </w:p>
    <w:p/>
    <w:p>
      <w:pPr>
        <w:pStyle w:val="Heading2"/>
        <w:spacing w:before="80" w:after="120" w:line="276" w:lineRule="auto"/>
      </w:pPr>
      <w:r>
        <w:t>内容定位</w:t>
      </w:r>
    </w:p>
    <w:p>
      <w:pPr>
        <w:spacing w:before="0" w:after="120" w:line="300" w:lineRule="auto"/>
      </w:pPr>
      <w:r>
        <w:t>不是新闻快讯，而是 evergreen 内容 + 周期解读。</w:t>
      </w:r>
    </w:p>
    <w:p/>
    <w:p>
      <w:pPr>
        <w:pStyle w:val="Heading2"/>
        <w:spacing w:before="80" w:after="120" w:line="276" w:lineRule="auto"/>
      </w:pPr>
      <w:r>
        <w:t>首批文章建议</w:t>
      </w:r>
    </w:p>
    <w:p>
      <w:pPr>
        <w:pStyle w:val="ListBullet"/>
        <w:spacing w:before="0" w:after="40" w:line="276" w:lineRule="auto"/>
      </w:pPr>
      <w:r>
        <w:t>什么是 VIX：它到底测的是什么</w:t>
      </w:r>
    </w:p>
    <w:p>
      <w:pPr>
        <w:pStyle w:val="ListBullet"/>
        <w:spacing w:before="0" w:after="40" w:line="276" w:lineRule="auto"/>
      </w:pPr>
      <w:r>
        <w:t>为什么单看 VIX 容易误判</w:t>
      </w:r>
    </w:p>
    <w:p>
      <w:pPr>
        <w:pStyle w:val="ListBullet"/>
        <w:spacing w:before="0" w:after="40" w:line="276" w:lineRule="auto"/>
      </w:pPr>
      <w:r>
        <w:t>VIX 与 VXV：期限结构怎么读</w:t>
      </w:r>
    </w:p>
    <w:p>
      <w:pPr>
        <w:pStyle w:val="ListBullet"/>
        <w:spacing w:before="0" w:after="40" w:line="276" w:lineRule="auto"/>
      </w:pPr>
      <w:r>
        <w:t>VIX、VXN、RVX 分别在说什么</w:t>
      </w:r>
    </w:p>
    <w:p>
      <w:pPr>
        <w:pStyle w:val="ListBullet"/>
        <w:spacing w:before="0" w:after="40" w:line="276" w:lineRule="auto"/>
      </w:pPr>
      <w:r>
        <w:t>STLFSI4 与 NFCI 有什么不同</w:t>
      </w:r>
    </w:p>
    <w:p>
      <w:pPr>
        <w:pStyle w:val="ListBullet"/>
        <w:spacing w:before="0" w:after="40" w:line="276" w:lineRule="auto"/>
      </w:pPr>
      <w:r>
        <w:t>风险升温时我会看哪几张图</w:t>
      </w:r>
    </w:p>
    <w:p/>
    <w:p>
      <w:pPr>
        <w:pStyle w:val="Heading2"/>
        <w:spacing w:before="80" w:after="120" w:line="276" w:lineRule="auto"/>
      </w:pPr>
      <w:r>
        <w:t>文章模板</w:t>
      </w:r>
    </w:p>
    <w:p>
      <w:pPr>
        <w:pStyle w:val="ListBullet"/>
        <w:spacing w:before="0" w:after="40" w:line="276" w:lineRule="auto"/>
      </w:pPr>
      <w:r>
        <w:t>导语</w:t>
      </w:r>
    </w:p>
    <w:p>
      <w:pPr>
        <w:pStyle w:val="ListBullet"/>
        <w:spacing w:before="0" w:after="40" w:line="276" w:lineRule="auto"/>
      </w:pPr>
      <w:r>
        <w:t>本文结论</w:t>
      </w:r>
    </w:p>
    <w:p>
      <w:pPr>
        <w:pStyle w:val="ListBullet"/>
        <w:spacing w:before="0" w:after="40" w:line="276" w:lineRule="auto"/>
      </w:pPr>
      <w:r>
        <w:t>图表引用</w:t>
      </w:r>
    </w:p>
    <w:p>
      <w:pPr>
        <w:pStyle w:val="ListBullet"/>
        <w:spacing w:before="0" w:after="40" w:line="276" w:lineRule="auto"/>
      </w:pPr>
      <w:r>
        <w:t>方法解释</w:t>
      </w:r>
    </w:p>
    <w:p>
      <w:pPr>
        <w:pStyle w:val="ListBullet"/>
        <w:spacing w:before="0" w:after="40" w:line="276" w:lineRule="auto"/>
      </w:pPr>
      <w:r>
        <w:t>延伸阅读</w:t>
      </w:r>
    </w:p>
    <w:p>
      <w:pPr>
        <w:pStyle w:val="ListBullet"/>
        <w:spacing w:before="0" w:after="40" w:line="276" w:lineRule="auto"/>
      </w:pPr>
      <w:r>
        <w:t>数据来源</w:t>
      </w:r>
    </w:p>
    <w:p>
      <w:pPr>
        <w:pStyle w:val="ListBullet"/>
        <w:spacing w:before="0" w:after="40" w:line="276" w:lineRule="auto"/>
      </w:pPr>
      <w:r>
        <w:t>风险提示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8. 指标体系与数据来源策略</w:t>
      </w:r>
    </w:p>
    <w:p/>
    <w:p>
      <w:pPr>
        <w:pStyle w:val="Heading1"/>
        <w:spacing w:before="160" w:after="120" w:line="276" w:lineRule="auto"/>
      </w:pPr>
      <w:r>
        <w:t>8.1 首版推荐的数据策略</w:t>
      </w:r>
    </w:p>
    <w:p/>
    <w:p>
      <w:pPr>
        <w:spacing w:before="0" w:after="120" w:line="300" w:lineRule="auto"/>
      </w:pPr>
      <w:r>
        <w:t xml:space="preserve">首版不追求“指标越全越好”，而要追求 </w:t>
      </w:r>
      <w:r>
        <w:rPr>
          <w:b/>
        </w:rPr>
        <w:t>数据合法性、稳定性、可维护性、可解释性</w:t>
      </w:r>
      <w:r>
        <w:t>。</w:t>
      </w:r>
    </w:p>
    <w:p/>
    <w:p>
      <w:pPr>
        <w:pStyle w:val="Heading2"/>
        <w:spacing w:before="80" w:after="120" w:line="276" w:lineRule="auto"/>
      </w:pPr>
      <w:r>
        <w:t>原则</w:t>
      </w:r>
    </w:p>
    <w:p>
      <w:pPr>
        <w:pStyle w:val="ListNumber"/>
        <w:spacing w:before="0" w:after="40" w:line="276" w:lineRule="auto"/>
      </w:pPr>
      <w:r>
        <w:t>优先使用官方或官方镜像的稳定公开接口</w:t>
      </w:r>
    </w:p>
    <w:p>
      <w:pPr>
        <w:pStyle w:val="ListNumber"/>
        <w:spacing w:before="0" w:after="40" w:line="276" w:lineRule="auto"/>
      </w:pPr>
      <w:r>
        <w:t>能走 API 就不抓页面</w:t>
      </w:r>
    </w:p>
    <w:p>
      <w:pPr>
        <w:pStyle w:val="ListNumber"/>
        <w:spacing w:before="0" w:after="40" w:line="276" w:lineRule="auto"/>
      </w:pPr>
      <w:r>
        <w:t>明确要求预先批准或限制再分发的数据，不放进首版公开站</w:t>
      </w:r>
    </w:p>
    <w:p>
      <w:pPr>
        <w:pStyle w:val="ListNumber"/>
        <w:spacing w:before="0" w:after="40" w:line="276" w:lineRule="auto"/>
      </w:pPr>
      <w:r>
        <w:t>不因为“网上能看到”就默认可以公开商用再分发</w:t>
      </w:r>
    </w:p>
    <w:p/>
    <w:p>
      <w:pPr>
        <w:pStyle w:val="Heading1"/>
        <w:spacing w:before="160" w:after="120" w:line="276" w:lineRule="auto"/>
      </w:pPr>
      <w:r>
        <w:t>8.2 数据源矩阵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首版建议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数据源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公开展示建议</w:t>
            </w:r>
          </w:p>
        </w:tc>
        <w:tc>
          <w:tcPr>
            <w:tcW w:type="dxa" w:w="1345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345"/>
            <w:vAlign w:val="center"/>
          </w:tcPr>
          <w:p>
            <w:r>
              <w:t>VIX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CBOE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需注明来源</w:t>
            </w:r>
          </w:p>
        </w:tc>
      </w:tr>
      <w:tr>
        <w:tc>
          <w:tcPr>
            <w:tcW w:type="dxa" w:w="1345"/>
            <w:vAlign w:val="center"/>
          </w:tcPr>
          <w:p>
            <w:r>
              <w:t>VXV (VIX 3M)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CBOE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用作期限结构代理</w:t>
            </w:r>
          </w:p>
        </w:tc>
      </w:tr>
      <w:tr>
        <w:tc>
          <w:tcPr>
            <w:tcW w:type="dxa" w:w="1345"/>
            <w:vAlign w:val="center"/>
          </w:tcPr>
          <w:p>
            <w:r>
              <w:t>VXN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CBOE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科技股波动代理</w:t>
            </w:r>
          </w:p>
        </w:tc>
      </w:tr>
      <w:tr>
        <w:tc>
          <w:tcPr>
            <w:tcW w:type="dxa" w:w="1345"/>
            <w:vAlign w:val="center"/>
          </w:tcPr>
          <w:p>
            <w:r>
              <w:t>RVX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CBOE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小盘股波动代理</w:t>
            </w:r>
          </w:p>
        </w:tc>
      </w:tr>
      <w:tr>
        <w:tc>
          <w:tcPr>
            <w:tcW w:type="dxa" w:w="1345"/>
            <w:vAlign w:val="center"/>
          </w:tcPr>
          <w:p>
            <w:r>
              <w:t>VXD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CBOE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道指波动代理</w:t>
            </w:r>
          </w:p>
        </w:tc>
      </w:tr>
      <w:tr>
        <w:tc>
          <w:tcPr>
            <w:tcW w:type="dxa" w:w="1345"/>
            <w:vAlign w:val="center"/>
          </w:tcPr>
          <w:p>
            <w:r>
              <w:t>STLFSI4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周频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系统性压力核心指标</w:t>
            </w:r>
          </w:p>
        </w:tc>
      </w:tr>
      <w:tr>
        <w:tc>
          <w:tcPr>
            <w:tcW w:type="dxa" w:w="1345"/>
            <w:vAlign w:val="center"/>
          </w:tcPr>
          <w:p>
            <w:r>
              <w:t>NFCI</w:t>
            </w:r>
          </w:p>
        </w:tc>
        <w:tc>
          <w:tcPr>
            <w:tcW w:type="dxa" w:w="1345"/>
            <w:vAlign w:val="center"/>
          </w:tcPr>
          <w:p>
            <w:r>
              <w:t>MVP</w:t>
            </w:r>
          </w:p>
        </w:tc>
        <w:tc>
          <w:tcPr>
            <w:tcW w:type="dxa" w:w="1345"/>
            <w:vAlign w:val="center"/>
          </w:tcPr>
          <w:p>
            <w:r>
              <w:t>FRED / Chicago Fed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周频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金融条件核心指标</w:t>
            </w:r>
          </w:p>
        </w:tc>
      </w:tr>
      <w:tr>
        <w:tc>
          <w:tcPr>
            <w:tcW w:type="dxa" w:w="1345"/>
            <w:vAlign w:val="center"/>
          </w:tcPr>
          <w:p>
            <w:r>
              <w:t>ANFCI</w:t>
            </w:r>
          </w:p>
        </w:tc>
        <w:tc>
          <w:tcPr>
            <w:tcW w:type="dxa" w:w="1345"/>
            <w:vAlign w:val="center"/>
          </w:tcPr>
          <w:p>
            <w:r>
              <w:t>MVP（推荐）</w:t>
            </w:r>
          </w:p>
        </w:tc>
        <w:tc>
          <w:tcPr>
            <w:tcW w:type="dxa" w:w="1345"/>
            <w:vAlign w:val="center"/>
          </w:tcPr>
          <w:p>
            <w:r>
              <w:t>FRED / Chicago Fed</w:t>
            </w:r>
          </w:p>
        </w:tc>
        <w:tc>
          <w:tcPr>
            <w:tcW w:type="dxa" w:w="1345"/>
            <w:vAlign w:val="center"/>
          </w:tcPr>
          <w:p>
            <w:r>
              <w:t>FRED API</w:t>
            </w:r>
          </w:p>
        </w:tc>
        <w:tc>
          <w:tcPr>
            <w:tcW w:type="dxa" w:w="1345"/>
            <w:vAlign w:val="center"/>
          </w:tcPr>
          <w:p>
            <w:r>
              <w:t>周频</w:t>
            </w:r>
          </w:p>
        </w:tc>
        <w:tc>
          <w:tcPr>
            <w:tcW w:type="dxa" w:w="1345"/>
            <w:vAlign w:val="center"/>
          </w:tcPr>
          <w:p>
            <w:r>
              <w:t>可做</w:t>
            </w:r>
          </w:p>
        </w:tc>
        <w:tc>
          <w:tcPr>
            <w:tcW w:type="dxa" w:w="1345"/>
            <w:vAlign w:val="center"/>
          </w:tcPr>
          <w:p>
            <w:r>
              <w:t>金融条件相对经济条件的调整版本</w:t>
            </w:r>
          </w:p>
        </w:tc>
      </w:tr>
      <w:tr>
        <w:tc>
          <w:tcPr>
            <w:tcW w:type="dxa" w:w="1345"/>
            <w:vAlign w:val="center"/>
          </w:tcPr>
          <w:p>
            <w:r>
              <w:t>VIX9D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Cboe</w:t>
            </w:r>
          </w:p>
        </w:tc>
        <w:tc>
          <w:tcPr>
            <w:tcW w:type="dxa" w:w="1345"/>
            <w:vAlign w:val="center"/>
          </w:tcPr>
          <w:p>
            <w:r>
              <w:t>需页面/API审查</w:t>
            </w:r>
          </w:p>
        </w:tc>
        <w:tc>
          <w:tcPr>
            <w:tcW w:type="dxa" w:w="1345"/>
            <w:vAlign w:val="center"/>
          </w:tcPr>
          <w:p>
            <w:r>
              <w:t>高频/日频</w:t>
            </w:r>
          </w:p>
        </w:tc>
        <w:tc>
          <w:tcPr>
            <w:tcW w:type="dxa" w:w="1345"/>
            <w:vAlign w:val="center"/>
          </w:tcPr>
          <w:p>
            <w:r>
              <w:t>先不公开做</w:t>
            </w:r>
          </w:p>
        </w:tc>
        <w:tc>
          <w:tcPr>
            <w:tcW w:type="dxa" w:w="1345"/>
            <w:vAlign w:val="center"/>
          </w:tcPr>
          <w:p>
            <w:r>
              <w:t>授权和抓取方式先审查</w:t>
            </w:r>
          </w:p>
        </w:tc>
      </w:tr>
      <w:tr>
        <w:tc>
          <w:tcPr>
            <w:tcW w:type="dxa" w:w="1345"/>
            <w:vAlign w:val="center"/>
          </w:tcPr>
          <w:p>
            <w:r>
              <w:t>VVIX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Cboe</w:t>
            </w:r>
          </w:p>
        </w:tc>
        <w:tc>
          <w:tcPr>
            <w:tcW w:type="dxa" w:w="1345"/>
            <w:vAlign w:val="center"/>
          </w:tcPr>
          <w:p>
            <w:r>
              <w:t>需页面/API审查</w:t>
            </w:r>
          </w:p>
        </w:tc>
        <w:tc>
          <w:tcPr>
            <w:tcW w:type="dxa" w:w="1345"/>
            <w:vAlign w:val="center"/>
          </w:tcPr>
          <w:p>
            <w:r>
              <w:t>高频/日频</w:t>
            </w:r>
          </w:p>
        </w:tc>
        <w:tc>
          <w:tcPr>
            <w:tcW w:type="dxa" w:w="1345"/>
            <w:vAlign w:val="center"/>
          </w:tcPr>
          <w:p>
            <w:r>
              <w:t>先不公开做</w:t>
            </w:r>
          </w:p>
        </w:tc>
        <w:tc>
          <w:tcPr>
            <w:tcW w:type="dxa" w:w="1345"/>
            <w:vAlign w:val="center"/>
          </w:tcPr>
          <w:p>
            <w:r>
              <w:t>后续增强</w:t>
            </w:r>
          </w:p>
        </w:tc>
      </w:tr>
      <w:tr>
        <w:tc>
          <w:tcPr>
            <w:tcW w:type="dxa" w:w="1345"/>
            <w:vAlign w:val="center"/>
          </w:tcPr>
          <w:p>
            <w:r>
              <w:t>SKEW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Cboe</w:t>
            </w:r>
          </w:p>
        </w:tc>
        <w:tc>
          <w:tcPr>
            <w:tcW w:type="dxa" w:w="1345"/>
            <w:vAlign w:val="center"/>
          </w:tcPr>
          <w:p>
            <w:r>
              <w:t>需页面/API审查</w:t>
            </w:r>
          </w:p>
        </w:tc>
        <w:tc>
          <w:tcPr>
            <w:tcW w:type="dxa" w:w="1345"/>
            <w:vAlign w:val="center"/>
          </w:tcPr>
          <w:p>
            <w:r>
              <w:t>高频/日频</w:t>
            </w:r>
          </w:p>
        </w:tc>
        <w:tc>
          <w:tcPr>
            <w:tcW w:type="dxa" w:w="1345"/>
            <w:vAlign w:val="center"/>
          </w:tcPr>
          <w:p>
            <w:r>
              <w:t>先不公开做</w:t>
            </w:r>
          </w:p>
        </w:tc>
        <w:tc>
          <w:tcPr>
            <w:tcW w:type="dxa" w:w="1345"/>
            <w:vAlign w:val="center"/>
          </w:tcPr>
          <w:p>
            <w:r>
              <w:t>后续增强</w:t>
            </w:r>
          </w:p>
        </w:tc>
      </w:tr>
      <w:tr>
        <w:tc>
          <w:tcPr>
            <w:tcW w:type="dxa" w:w="1345"/>
            <w:vAlign w:val="center"/>
          </w:tcPr>
          <w:p>
            <w:r>
              <w:t>Put/Call Ratio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Cboe</w:t>
            </w:r>
          </w:p>
        </w:tc>
        <w:tc>
          <w:tcPr>
            <w:tcW w:type="dxa" w:w="1345"/>
            <w:vAlign w:val="center"/>
          </w:tcPr>
          <w:p>
            <w:r>
              <w:t>页面抓取或授权数据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审查后做</w:t>
            </w:r>
          </w:p>
        </w:tc>
        <w:tc>
          <w:tcPr>
            <w:tcW w:type="dxa" w:w="1345"/>
            <w:vAlign w:val="center"/>
          </w:tcPr>
          <w:p>
            <w:r>
              <w:t>抓取稳定性和再分发需评估</w:t>
            </w:r>
          </w:p>
        </w:tc>
      </w:tr>
      <w:tr>
        <w:tc>
          <w:tcPr>
            <w:tcW w:type="dxa" w:w="1345"/>
            <w:vAlign w:val="center"/>
          </w:tcPr>
          <w:p>
            <w:r>
              <w:t>MOVE</w:t>
            </w:r>
          </w:p>
        </w:tc>
        <w:tc>
          <w:tcPr>
            <w:tcW w:type="dxa" w:w="1345"/>
            <w:vAlign w:val="center"/>
          </w:tcPr>
          <w:p>
            <w:r>
              <w:t>V2</w:t>
            </w:r>
          </w:p>
        </w:tc>
        <w:tc>
          <w:tcPr>
            <w:tcW w:type="dxa" w:w="1345"/>
            <w:vAlign w:val="center"/>
          </w:tcPr>
          <w:p>
            <w:r>
              <w:t>ICE</w:t>
            </w:r>
          </w:p>
        </w:tc>
        <w:tc>
          <w:tcPr>
            <w:tcW w:type="dxa" w:w="1345"/>
            <w:vAlign w:val="center"/>
          </w:tcPr>
          <w:p>
            <w:r>
              <w:t>Licensed API/Data Files</w:t>
            </w:r>
          </w:p>
        </w:tc>
        <w:tc>
          <w:tcPr>
            <w:tcW w:type="dxa" w:w="1345"/>
            <w:vAlign w:val="center"/>
          </w:tcPr>
          <w:p>
            <w:r>
              <w:t>日频/盘中</w:t>
            </w:r>
          </w:p>
        </w:tc>
        <w:tc>
          <w:tcPr>
            <w:tcW w:type="dxa" w:w="1345"/>
            <w:vAlign w:val="center"/>
          </w:tcPr>
          <w:p>
            <w:r>
              <w:t>拿授权再做</w:t>
            </w:r>
          </w:p>
        </w:tc>
        <w:tc>
          <w:tcPr>
            <w:tcW w:type="dxa" w:w="1345"/>
            <w:vAlign w:val="center"/>
          </w:tcPr>
          <w:p>
            <w:r>
              <w:t>不建议首版硬接</w:t>
            </w:r>
          </w:p>
        </w:tc>
      </w:tr>
      <w:tr>
        <w:tc>
          <w:tcPr>
            <w:tcW w:type="dxa" w:w="1345"/>
            <w:vAlign w:val="center"/>
          </w:tcPr>
          <w:p>
            <w:r>
              <w:t>High Yield OAS</w:t>
            </w:r>
          </w:p>
        </w:tc>
        <w:tc>
          <w:tcPr>
            <w:tcW w:type="dxa" w:w="1345"/>
            <w:vAlign w:val="center"/>
          </w:tcPr>
          <w:p>
            <w:r>
              <w:t>V2</w:t>
            </w:r>
          </w:p>
        </w:tc>
        <w:tc>
          <w:tcPr>
            <w:tcW w:type="dxa" w:w="1345"/>
            <w:vAlign w:val="center"/>
          </w:tcPr>
          <w:p>
            <w:r>
              <w:t>ICE / FRED</w:t>
            </w:r>
          </w:p>
        </w:tc>
        <w:tc>
          <w:tcPr>
            <w:tcW w:type="dxa" w:w="1345"/>
            <w:vAlign w:val="center"/>
          </w:tcPr>
          <w:p>
            <w:r>
              <w:t>FRED 可见但有再分发限制</w:t>
            </w:r>
          </w:p>
        </w:tc>
        <w:tc>
          <w:tcPr>
            <w:tcW w:type="dxa" w:w="1345"/>
            <w:vAlign w:val="center"/>
          </w:tcPr>
          <w:p>
            <w:r>
              <w:t>日频</w:t>
            </w:r>
          </w:p>
        </w:tc>
        <w:tc>
          <w:tcPr>
            <w:tcW w:type="dxa" w:w="1345"/>
            <w:vAlign w:val="center"/>
          </w:tcPr>
          <w:p>
            <w:r>
              <w:t>授权后再公开</w:t>
            </w:r>
          </w:p>
        </w:tc>
        <w:tc>
          <w:tcPr>
            <w:tcW w:type="dxa" w:w="1345"/>
            <w:vAlign w:val="center"/>
          </w:tcPr>
          <w:p>
            <w:r>
              <w:t>明确有版权/预先批准风险</w:t>
            </w:r>
          </w:p>
        </w:tc>
      </w:tr>
      <w:tr>
        <w:tc>
          <w:tcPr>
            <w:tcW w:type="dxa" w:w="1345"/>
            <w:vAlign w:val="center"/>
          </w:tcPr>
          <w:p>
            <w:r>
              <w:t>AAII Sentiment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AAII</w:t>
            </w:r>
          </w:p>
        </w:tc>
        <w:tc>
          <w:tcPr>
            <w:tcW w:type="dxa" w:w="1345"/>
            <w:vAlign w:val="center"/>
          </w:tcPr>
          <w:p>
            <w:r>
              <w:t>手工/自动抓取需审查</w:t>
            </w:r>
          </w:p>
        </w:tc>
        <w:tc>
          <w:tcPr>
            <w:tcW w:type="dxa" w:w="1345"/>
            <w:vAlign w:val="center"/>
          </w:tcPr>
          <w:p>
            <w:r>
              <w:t>周频</w:t>
            </w:r>
          </w:p>
        </w:tc>
        <w:tc>
          <w:tcPr>
            <w:tcW w:type="dxa" w:w="1345"/>
            <w:vAlign w:val="center"/>
          </w:tcPr>
          <w:p>
            <w:r>
              <w:t>后做</w:t>
            </w:r>
          </w:p>
        </w:tc>
        <w:tc>
          <w:tcPr>
            <w:tcW w:type="dxa" w:w="1345"/>
            <w:vAlign w:val="center"/>
          </w:tcPr>
          <w:p>
            <w:r>
              <w:t>更适合内容增强</w:t>
            </w:r>
          </w:p>
        </w:tc>
      </w:tr>
      <w:tr>
        <w:tc>
          <w:tcPr>
            <w:tcW w:type="dxa" w:w="1345"/>
            <w:vAlign w:val="center"/>
          </w:tcPr>
          <w:p>
            <w:r>
              <w:t>NAAIM Exposure</w:t>
            </w:r>
          </w:p>
        </w:tc>
        <w:tc>
          <w:tcPr>
            <w:tcW w:type="dxa" w:w="1345"/>
            <w:vAlign w:val="center"/>
          </w:tcPr>
          <w:p>
            <w:r>
              <w:t>V1.1</w:t>
            </w:r>
          </w:p>
        </w:tc>
        <w:tc>
          <w:tcPr>
            <w:tcW w:type="dxa" w:w="1345"/>
            <w:vAlign w:val="center"/>
          </w:tcPr>
          <w:p>
            <w:r>
              <w:t>NAAIM</w:t>
            </w:r>
          </w:p>
        </w:tc>
        <w:tc>
          <w:tcPr>
            <w:tcW w:type="dxa" w:w="1345"/>
            <w:vAlign w:val="center"/>
          </w:tcPr>
          <w:p>
            <w:r>
              <w:t>手工/自动抓取需审查</w:t>
            </w:r>
          </w:p>
        </w:tc>
        <w:tc>
          <w:tcPr>
            <w:tcW w:type="dxa" w:w="1345"/>
            <w:vAlign w:val="center"/>
          </w:tcPr>
          <w:p>
            <w:r>
              <w:t>周频</w:t>
            </w:r>
          </w:p>
        </w:tc>
        <w:tc>
          <w:tcPr>
            <w:tcW w:type="dxa" w:w="1345"/>
            <w:vAlign w:val="center"/>
          </w:tcPr>
          <w:p>
            <w:r>
              <w:t>后做</w:t>
            </w:r>
          </w:p>
        </w:tc>
        <w:tc>
          <w:tcPr>
            <w:tcW w:type="dxa" w:w="1345"/>
            <w:vAlign w:val="center"/>
          </w:tcPr>
          <w:p>
            <w:r>
              <w:t>更适合内容增强</w:t>
            </w:r>
          </w:p>
        </w:tc>
      </w:tr>
    </w:tbl>
    <w:p/>
    <w:p/>
    <w:p>
      <w:pPr>
        <w:pStyle w:val="Heading1"/>
        <w:spacing w:before="160" w:after="120" w:line="276" w:lineRule="auto"/>
      </w:pPr>
      <w:r>
        <w:t>8.3 首版明确不做的原因</w:t>
      </w:r>
    </w:p>
    <w:p/>
    <w:p>
      <w:pPr>
        <w:pStyle w:val="Heading2"/>
        <w:spacing w:before="80" w:after="120" w:line="276" w:lineRule="auto"/>
      </w:pPr>
      <w:r>
        <w:t>MOVE</w:t>
      </w:r>
    </w:p>
    <w:p>
      <w:pPr>
        <w:spacing w:before="0" w:after="120" w:line="300" w:lineRule="auto"/>
      </w:pPr>
      <w:r>
        <w:t>MOVE 是非常好的利率波动指标，但公开、稳定、低风险地自动化接入并不简单。它更适合 licensed 版本，而不是 MVP。</w:t>
      </w:r>
    </w:p>
    <w:p/>
    <w:p>
      <w:pPr>
        <w:pStyle w:val="Heading2"/>
        <w:spacing w:before="80" w:after="120" w:line="276" w:lineRule="auto"/>
      </w:pPr>
      <w:r>
        <w:t>High Yield OAS</w:t>
      </w:r>
    </w:p>
    <w:p>
      <w:pPr>
        <w:spacing w:before="0" w:after="120" w:line="300" w:lineRule="auto"/>
      </w:pPr>
      <w:r>
        <w:t>ICE BofA 的相关序列在 FRED 上可以查看，但系列说明里对再分发和公开使用有严格限制。</w:t>
      </w:r>
    </w:p>
    <w:p>
      <w:pPr>
        <w:spacing w:before="0" w:after="120" w:line="300" w:lineRule="auto"/>
      </w:pPr>
      <w:r>
        <w:rPr>
          <w:b/>
        </w:rPr>
        <w:t>公开产品首版不应默认把这类数据拿来展示。</w:t>
      </w:r>
    </w:p>
    <w:p/>
    <w:p>
      <w:pPr>
        <w:pStyle w:val="Heading2"/>
        <w:spacing w:before="80" w:after="120" w:line="276" w:lineRule="auto"/>
      </w:pPr>
      <w:r>
        <w:t>Put/Call Ratio / VVIX / SKEW</w:t>
      </w:r>
    </w:p>
    <w:p>
      <w:pPr>
        <w:spacing w:before="0" w:after="120" w:line="300" w:lineRule="auto"/>
      </w:pPr>
      <w:r>
        <w:t>这些都很有价值，但首版如果要做得稳，应该先把 FRED 和 Chicago Fed 这类 API 化、节奏稳定的数据链路做扎实，再做页面抓取类适配器。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9. 自研综合风险分数与解读引擎</w:t>
      </w:r>
    </w:p>
    <w:p/>
    <w:p>
      <w:pPr>
        <w:pStyle w:val="Heading1"/>
        <w:spacing w:before="160" w:after="120" w:line="276" w:lineRule="auto"/>
      </w:pPr>
      <w:r>
        <w:t>9.1 风险分数目标</w:t>
      </w:r>
    </w:p>
    <w:p/>
    <w:p>
      <w:pPr>
        <w:spacing w:before="0" w:after="120" w:line="300" w:lineRule="auto"/>
      </w:pPr>
      <w:r>
        <w:t>不是做“神秘黑箱指数”，而是给首页一个更易读的总览层。</w:t>
      </w:r>
    </w:p>
    <w:p/>
    <w:p>
      <w:pPr>
        <w:pStyle w:val="Heading2"/>
        <w:spacing w:before="80" w:after="120" w:line="276" w:lineRule="auto"/>
      </w:pPr>
      <w:r>
        <w:t>设计原则</w:t>
      </w:r>
    </w:p>
    <w:p>
      <w:pPr>
        <w:pStyle w:val="ListBullet"/>
        <w:spacing w:before="0" w:after="40" w:line="276" w:lineRule="auto"/>
      </w:pPr>
      <w:r>
        <w:t>分数仅用于导航，不替代原始指标</w:t>
      </w:r>
    </w:p>
    <w:p>
      <w:pPr>
        <w:pStyle w:val="ListBullet"/>
        <w:spacing w:before="0" w:after="40" w:line="276" w:lineRule="auto"/>
      </w:pPr>
      <w:r>
        <w:t>每个分数组成都能解释</w:t>
      </w:r>
    </w:p>
    <w:p>
      <w:pPr>
        <w:pStyle w:val="ListBullet"/>
        <w:spacing w:before="0" w:after="40" w:line="276" w:lineRule="auto"/>
      </w:pPr>
      <w:r>
        <w:t>页面上必须允许用户点进查看“分数怎么来的”</w:t>
      </w:r>
    </w:p>
    <w:p/>
    <w:p>
      <w:pPr>
        <w:pStyle w:val="Heading1"/>
        <w:spacing w:before="160" w:after="120" w:line="276" w:lineRule="auto"/>
      </w:pPr>
      <w:r>
        <w:t>9.2 分数构成（MVP 版）</w:t>
      </w:r>
    </w:p>
    <w:p/>
    <w:p>
      <w:pPr>
        <w:spacing w:before="0" w:after="120" w:line="300" w:lineRule="auto"/>
      </w:pPr>
      <w:r>
        <w:t>推荐用 0–100 分表达，基于 252 个交易日或 52 个周数据窗口计算标准化分位数。</w:t>
      </w:r>
    </w:p>
    <w:p/>
    <w:p>
      <w:pPr>
        <w:pStyle w:val="Heading2"/>
        <w:spacing w:before="80" w:after="120" w:line="276" w:lineRule="auto"/>
      </w:pPr>
      <w:r>
        <w:t>建议公式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risk_score 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0.30 * pct_rank(VIX)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+ 0.15 * pct_rank(VIX / VXV)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+ 0.15 * pct_rank(max(VXN, RVX) - VIX)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+ 0.20 * pct_rank(STLFSI4)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+ 0.20 * pct_rank(NFCI)</w:t>
      </w:r>
    </w:p>
    <w:p/>
    <w:p>
      <w:pPr>
        <w:pStyle w:val="Heading2"/>
        <w:spacing w:before="80" w:after="120" w:line="276" w:lineRule="auto"/>
      </w:pPr>
      <w:r>
        <w:t>档位定义</w:t>
      </w:r>
    </w:p>
    <w:p>
      <w:pPr>
        <w:pStyle w:val="ListBullet"/>
        <w:spacing w:before="0" w:after="40" w:line="276" w:lineRule="auto"/>
      </w:pPr>
      <w:r>
        <w:t>0–30：相对平静</w:t>
      </w:r>
    </w:p>
    <w:p>
      <w:pPr>
        <w:pStyle w:val="ListBullet"/>
        <w:spacing w:before="0" w:after="40" w:line="276" w:lineRule="auto"/>
      </w:pPr>
      <w:r>
        <w:t>30–50：中性观察</w:t>
      </w:r>
    </w:p>
    <w:p>
      <w:pPr>
        <w:pStyle w:val="ListBullet"/>
        <w:spacing w:before="0" w:after="40" w:line="276" w:lineRule="auto"/>
      </w:pPr>
      <w:r>
        <w:t>50–70：风险升温</w:t>
      </w:r>
    </w:p>
    <w:p>
      <w:pPr>
        <w:pStyle w:val="ListBullet"/>
        <w:spacing w:before="0" w:after="40" w:line="276" w:lineRule="auto"/>
      </w:pPr>
      <w:r>
        <w:t>70–85：明显承压</w:t>
      </w:r>
    </w:p>
    <w:p>
      <w:pPr>
        <w:pStyle w:val="ListBullet"/>
        <w:spacing w:before="0" w:after="40" w:line="276" w:lineRule="auto"/>
      </w:pPr>
      <w:r>
        <w:t>85–100：风险共振</w:t>
      </w:r>
    </w:p>
    <w:p/>
    <w:p>
      <w:pPr>
        <w:pStyle w:val="Heading1"/>
        <w:spacing w:before="160" w:after="120" w:line="276" w:lineRule="auto"/>
      </w:pPr>
      <w:r>
        <w:t>9.3 规则解读引擎（MVP）</w:t>
      </w:r>
    </w:p>
    <w:p/>
    <w:p>
      <w:pPr>
        <w:spacing w:before="0" w:after="120" w:line="300" w:lineRule="auto"/>
      </w:pPr>
      <w:r>
        <w:t>站内需要一个 deterministic 的解读模块，而不是一开始就完全依赖 LLM。</w:t>
      </w:r>
    </w:p>
    <w:p/>
    <w:p>
      <w:pPr>
        <w:pStyle w:val="Heading2"/>
        <w:spacing w:before="80" w:after="120" w:line="276" w:lineRule="auto"/>
      </w:pPr>
      <w:r>
        <w:t>规则样例</w:t>
      </w:r>
    </w:p>
    <w:p>
      <w:pPr>
        <w:pStyle w:val="ListBullet"/>
        <w:spacing w:before="0" w:after="40" w:line="276" w:lineRule="auto"/>
      </w:pPr>
      <w:r>
        <w:t>若 `VIX_pct &gt; 80` 且 `STLFSI4 &lt; 0` 且 `NFCI &lt; 0`</w:t>
      </w:r>
    </w:p>
    <w:p>
      <w:pPr>
        <w:spacing w:before="0" w:after="120" w:line="300" w:lineRule="auto"/>
      </w:pPr>
      <w:r>
        <w:t>=&gt; 输出“权益市场短期波动升温，但系统性压力未同步走高”</w:t>
      </w:r>
    </w:p>
    <w:p/>
    <w:p>
      <w:pPr>
        <w:pStyle w:val="ListBullet"/>
        <w:spacing w:before="0" w:after="40" w:line="276" w:lineRule="auto"/>
      </w:pPr>
      <w:r>
        <w:t>若 `VIX_pct &gt; 75` 且 `VXN_pct &gt; 75` 且 `RVX_pct &gt; 75`</w:t>
      </w:r>
    </w:p>
    <w:p>
      <w:pPr>
        <w:spacing w:before="0" w:after="120" w:line="300" w:lineRule="auto"/>
      </w:pPr>
      <w:r>
        <w:t>=&gt; 输出“风险偏好在权益端扩散，科技与小盘同步承压”</w:t>
      </w:r>
    </w:p>
    <w:p/>
    <w:p>
      <w:pPr>
        <w:pStyle w:val="ListBullet"/>
        <w:spacing w:before="0" w:after="40" w:line="276" w:lineRule="auto"/>
      </w:pPr>
      <w:r>
        <w:t>若 `STLFSI4 &gt; 0` 且 `NFCI &gt; 0`</w:t>
      </w:r>
    </w:p>
    <w:p>
      <w:pPr>
        <w:spacing w:before="0" w:after="120" w:line="300" w:lineRule="auto"/>
      </w:pPr>
      <w:r>
        <w:t>=&gt; 输出“系统性金融压力高于历史平均，需提升警惕”</w:t>
      </w:r>
    </w:p>
    <w:p/>
    <w:p>
      <w:pPr>
        <w:pStyle w:val="ListBullet"/>
        <w:spacing w:before="0" w:after="40" w:line="276" w:lineRule="auto"/>
      </w:pPr>
      <w:r>
        <w:t>若 `VIX / VXV &gt; 1`</w:t>
      </w:r>
    </w:p>
    <w:p>
      <w:pPr>
        <w:spacing w:before="0" w:after="120" w:line="300" w:lineRule="auto"/>
      </w:pPr>
      <w:r>
        <w:t>=&gt; 输出“短端波动率高于 3 个月波动率，近期事件风险溢价上升”</w:t>
      </w:r>
    </w:p>
    <w:p/>
    <w:p>
      <w:pPr>
        <w:pStyle w:val="Heading1"/>
        <w:spacing w:before="160" w:after="120" w:line="276" w:lineRule="auto"/>
      </w:pPr>
      <w:r>
        <w:t>9.4 文案口吻要求</w:t>
      </w:r>
    </w:p>
    <w:p/>
    <w:p>
      <w:pPr>
        <w:pStyle w:val="ListBullet"/>
        <w:spacing w:before="0" w:after="40" w:line="276" w:lineRule="auto"/>
      </w:pPr>
      <w:r>
        <w:t>像一个长期看市场的人</w:t>
      </w:r>
    </w:p>
    <w:p>
      <w:pPr>
        <w:pStyle w:val="ListBullet"/>
        <w:spacing w:before="0" w:after="40" w:line="276" w:lineRule="auto"/>
      </w:pPr>
      <w:r>
        <w:t>不神神叨叨</w:t>
      </w:r>
    </w:p>
    <w:p>
      <w:pPr>
        <w:pStyle w:val="ListBullet"/>
        <w:spacing w:before="0" w:after="40" w:line="276" w:lineRule="auto"/>
      </w:pPr>
      <w:r>
        <w:t>不下交易指令</w:t>
      </w:r>
    </w:p>
    <w:p>
      <w:pPr>
        <w:pStyle w:val="ListBullet"/>
        <w:spacing w:before="0" w:after="40" w:line="276" w:lineRule="auto"/>
      </w:pPr>
      <w:r>
        <w:t>少用“暴涨暴跌、崩盘、抄底、梭哈”之类词</w:t>
      </w:r>
    </w:p>
    <w:p>
      <w:pPr>
        <w:pStyle w:val="ListBullet"/>
        <w:spacing w:before="0" w:after="40" w:line="276" w:lineRule="auto"/>
      </w:pPr>
      <w:r>
        <w:t>用“我会怎么读这组数据”式表达</w:t>
      </w:r>
    </w:p>
    <w:p/>
    <w:p>
      <w:pPr>
        <w:pStyle w:val="Heading2"/>
        <w:spacing w:before="80" w:after="120" w:line="276" w:lineRule="auto"/>
      </w:pPr>
      <w:r>
        <w:t>示例</w:t>
      </w:r>
    </w:p>
    <w:p>
      <w:pPr>
        <w:spacing w:before="0" w:after="120" w:line="276" w:lineRule="auto"/>
        <w:ind w:left="340"/>
      </w:pPr>
      <w:r>
        <w:rPr>
          <w:i/>
        </w:rPr>
        <w:t>我现在对这组指标的感觉是：风险主要在权益端升温，但还不像系统性压力全面扩散。</w:t>
      </w:r>
    </w:p>
    <w:p>
      <w:pPr>
        <w:spacing w:before="0" w:after="120" w:line="276" w:lineRule="auto"/>
        <w:ind w:left="340"/>
      </w:pPr>
      <w:r>
        <w:rPr>
          <w:i/>
        </w:rPr>
        <w:t>VIX 在抬头，说明短期波动定价回来了；但 STLFSI4 和 NFCI 还没有同步转强，所以我更愿意把这理解成“市场在重新给短期风险定价”，而不是金融系统层面的全面紧张。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10. 内容、SEO 与站点可信度设计</w:t>
      </w:r>
    </w:p>
    <w:p/>
    <w:p>
      <w:pPr>
        <w:pStyle w:val="Heading1"/>
        <w:spacing w:before="160" w:after="120" w:line="276" w:lineRule="auto"/>
      </w:pPr>
      <w:r>
        <w:t>10.1 内容策略</w:t>
      </w:r>
    </w:p>
    <w:p/>
    <w:p>
      <w:pPr>
        <w:spacing w:before="0" w:after="120" w:line="300" w:lineRule="auto"/>
      </w:pPr>
      <w:r>
        <w:t>工具站要能过长期审视，不能做成薄页。</w:t>
      </w:r>
    </w:p>
    <w:p>
      <w:pPr>
        <w:spacing w:before="0" w:after="120" w:line="300" w:lineRule="auto"/>
      </w:pPr>
      <w:r>
        <w:t>所以每个核心入口都必须带说明内容。</w:t>
      </w:r>
    </w:p>
    <w:p/>
    <w:p>
      <w:pPr>
        <w:pStyle w:val="Heading2"/>
        <w:spacing w:before="80" w:after="120" w:line="276" w:lineRule="auto"/>
      </w:pPr>
      <w:r>
        <w:t>必须存在的内容型页面</w:t>
      </w:r>
    </w:p>
    <w:p>
      <w:pPr>
        <w:pStyle w:val="ListBullet"/>
        <w:spacing w:before="0" w:after="40" w:line="276" w:lineRule="auto"/>
      </w:pPr>
      <w:r>
        <w:t>How to Read 页面</w:t>
      </w:r>
    </w:p>
    <w:p>
      <w:pPr>
        <w:pStyle w:val="ListBullet"/>
        <w:spacing w:before="0" w:after="40" w:line="276" w:lineRule="auto"/>
      </w:pPr>
      <w:r>
        <w:t>Data Sources 页面</w:t>
      </w:r>
    </w:p>
    <w:p>
      <w:pPr>
        <w:pStyle w:val="ListBullet"/>
        <w:spacing w:before="0" w:after="40" w:line="276" w:lineRule="auto"/>
      </w:pPr>
      <w:r>
        <w:t>About 页面</w:t>
      </w:r>
    </w:p>
    <w:p>
      <w:pPr>
        <w:pStyle w:val="ListBullet"/>
        <w:spacing w:before="0" w:after="40" w:line="276" w:lineRule="auto"/>
      </w:pPr>
      <w:r>
        <w:t>Privacy 页面</w:t>
      </w:r>
    </w:p>
    <w:p>
      <w:pPr>
        <w:pStyle w:val="ListBullet"/>
        <w:spacing w:before="0" w:after="40" w:line="276" w:lineRule="auto"/>
      </w:pPr>
      <w:r>
        <w:t>Terms 页面</w:t>
      </w:r>
    </w:p>
    <w:p>
      <w:pPr>
        <w:pStyle w:val="ListBullet"/>
        <w:spacing w:before="0" w:after="40" w:line="276" w:lineRule="auto"/>
      </w:pPr>
      <w:r>
        <w:t>至少 6 篇核心文章</w:t>
      </w:r>
    </w:p>
    <w:p/>
    <w:p>
      <w:pPr>
        <w:pStyle w:val="Heading2"/>
        <w:spacing w:before="80" w:after="120" w:line="276" w:lineRule="auto"/>
      </w:pPr>
      <w:r>
        <w:t>每个指标页必须有</w:t>
      </w:r>
    </w:p>
    <w:p>
      <w:pPr>
        <w:pStyle w:val="ListBullet"/>
        <w:spacing w:before="0" w:after="40" w:line="276" w:lineRule="auto"/>
      </w:pPr>
      <w:r>
        <w:t>定义</w:t>
      </w:r>
    </w:p>
    <w:p>
      <w:pPr>
        <w:pStyle w:val="ListBullet"/>
        <w:spacing w:before="0" w:after="40" w:line="276" w:lineRule="auto"/>
      </w:pPr>
      <w:r>
        <w:t>如何解读</w:t>
      </w:r>
    </w:p>
    <w:p>
      <w:pPr>
        <w:pStyle w:val="ListBullet"/>
        <w:spacing w:before="0" w:after="40" w:line="276" w:lineRule="auto"/>
      </w:pPr>
      <w:r>
        <w:t>与其他指标联读</w:t>
      </w:r>
    </w:p>
    <w:p>
      <w:pPr>
        <w:pStyle w:val="ListBullet"/>
        <w:spacing w:before="0" w:after="40" w:line="276" w:lineRule="auto"/>
      </w:pPr>
      <w:r>
        <w:t>常见误区</w:t>
      </w:r>
    </w:p>
    <w:p>
      <w:pPr>
        <w:pStyle w:val="ListBullet"/>
        <w:spacing w:before="0" w:after="40" w:line="276" w:lineRule="auto"/>
      </w:pPr>
      <w:r>
        <w:t>数据源与更新时间</w:t>
      </w:r>
    </w:p>
    <w:p>
      <w:pPr>
        <w:pStyle w:val="ListBullet"/>
        <w:spacing w:before="0" w:after="40" w:line="276" w:lineRule="auto"/>
      </w:pPr>
      <w:r>
        <w:t>风险提示</w:t>
      </w:r>
    </w:p>
    <w:p/>
    <w:p>
      <w:pPr>
        <w:pStyle w:val="Heading1"/>
        <w:spacing w:before="160" w:after="120" w:line="276" w:lineRule="auto"/>
      </w:pPr>
      <w:r>
        <w:t>10.2 SEO 结构</w:t>
      </w:r>
    </w:p>
    <w:p/>
    <w:p>
      <w:pPr>
        <w:pStyle w:val="Heading2"/>
        <w:spacing w:before="80" w:after="120" w:line="276" w:lineRule="auto"/>
      </w:pPr>
      <w:r>
        <w:t>Metadata</w:t>
      </w:r>
    </w:p>
    <w:p>
      <w:pPr>
        <w:spacing w:before="0" w:after="120" w:line="300" w:lineRule="auto"/>
      </w:pPr>
      <w:r>
        <w:t>每个页面都要有：</w:t>
      </w:r>
    </w:p>
    <w:p>
      <w:pPr>
        <w:pStyle w:val="ListBullet"/>
        <w:spacing w:before="0" w:after="40" w:line="276" w:lineRule="auto"/>
      </w:pPr>
      <w:r>
        <w:t>动态 `title`</w:t>
      </w:r>
    </w:p>
    <w:p>
      <w:pPr>
        <w:pStyle w:val="ListBullet"/>
        <w:spacing w:before="0" w:after="40" w:line="276" w:lineRule="auto"/>
      </w:pPr>
      <w:r>
        <w:t>动态 `description`</w:t>
      </w:r>
    </w:p>
    <w:p>
      <w:pPr>
        <w:pStyle w:val="ListBullet"/>
        <w:spacing w:before="0" w:after="40" w:line="276" w:lineRule="auto"/>
      </w:pPr>
      <w:r>
        <w:t>canonical</w:t>
      </w:r>
    </w:p>
    <w:p>
      <w:pPr>
        <w:pStyle w:val="ListBullet"/>
        <w:spacing w:before="0" w:after="40" w:line="276" w:lineRule="auto"/>
      </w:pPr>
      <w:r>
        <w:t>OG image</w:t>
      </w:r>
    </w:p>
    <w:p>
      <w:pPr>
        <w:pStyle w:val="ListBullet"/>
        <w:spacing w:before="0" w:after="40" w:line="276" w:lineRule="auto"/>
      </w:pPr>
      <w:r>
        <w:t>Twitter image</w:t>
      </w:r>
    </w:p>
    <w:p>
      <w:pPr>
        <w:pStyle w:val="ListBullet"/>
        <w:spacing w:before="0" w:after="40" w:line="276" w:lineRule="auto"/>
      </w:pPr>
      <w:r>
        <w:t>structured data</w:t>
      </w:r>
    </w:p>
    <w:p/>
    <w:p>
      <w:pPr>
        <w:pStyle w:val="Heading2"/>
        <w:spacing w:before="80" w:after="120" w:line="276" w:lineRule="auto"/>
      </w:pPr>
      <w:r>
        <w:t>结构化数据建议</w:t>
      </w:r>
    </w:p>
    <w:p>
      <w:pPr>
        <w:pStyle w:val="ListBullet"/>
        <w:spacing w:before="0" w:after="40" w:line="276" w:lineRule="auto"/>
      </w:pPr>
      <w:r>
        <w:t>`WebSite`</w:t>
      </w:r>
    </w:p>
    <w:p>
      <w:pPr>
        <w:pStyle w:val="ListBullet"/>
        <w:spacing w:before="0" w:after="40" w:line="276" w:lineRule="auto"/>
      </w:pPr>
      <w:r>
        <w:t>`Organization`</w:t>
      </w:r>
    </w:p>
    <w:p>
      <w:pPr>
        <w:pStyle w:val="ListBullet"/>
        <w:spacing w:before="0" w:after="40" w:line="276" w:lineRule="auto"/>
      </w:pPr>
      <w:r>
        <w:t>`BreadcrumbList`</w:t>
      </w:r>
    </w:p>
    <w:p>
      <w:pPr>
        <w:pStyle w:val="ListBullet"/>
        <w:spacing w:before="0" w:after="40" w:line="276" w:lineRule="auto"/>
      </w:pPr>
      <w:r>
        <w:t>`Dataset`（数据源页/指标页）</w:t>
      </w:r>
    </w:p>
    <w:p>
      <w:pPr>
        <w:pStyle w:val="ListBullet"/>
        <w:spacing w:before="0" w:after="40" w:line="276" w:lineRule="auto"/>
      </w:pPr>
      <w:r>
        <w:t>`Article`（文章页）</w:t>
      </w:r>
    </w:p>
    <w:p/>
    <w:p>
      <w:pPr>
        <w:pStyle w:val="Heading2"/>
        <w:spacing w:before="80" w:after="120" w:line="276" w:lineRule="auto"/>
      </w:pPr>
      <w:r>
        <w:t>站点基础文件</w:t>
      </w:r>
    </w:p>
    <w:p>
      <w:pPr>
        <w:pStyle w:val="ListBullet"/>
        <w:spacing w:before="0" w:after="40" w:line="276" w:lineRule="auto"/>
      </w:pPr>
      <w:r>
        <w:t>sitemap.xml</w:t>
      </w:r>
    </w:p>
    <w:p>
      <w:pPr>
        <w:pStyle w:val="ListBullet"/>
        <w:spacing w:before="0" w:after="40" w:line="276" w:lineRule="auto"/>
      </w:pPr>
      <w:r>
        <w:t>robots.txt</w:t>
      </w:r>
    </w:p>
    <w:p>
      <w:pPr>
        <w:pStyle w:val="ListBullet"/>
        <w:spacing w:before="0" w:after="40" w:line="276" w:lineRule="auto"/>
      </w:pPr>
      <w:r>
        <w:t>opengraph-image</w:t>
      </w:r>
    </w:p>
    <w:p>
      <w:pPr>
        <w:pStyle w:val="ListBullet"/>
        <w:spacing w:before="0" w:after="40" w:line="276" w:lineRule="auto"/>
      </w:pPr>
      <w:r>
        <w:t>twitter-image</w:t>
      </w:r>
    </w:p>
    <w:p>
      <w:pPr>
        <w:pStyle w:val="ListBullet"/>
        <w:spacing w:before="0" w:after="40" w:line="276" w:lineRule="auto"/>
      </w:pPr>
      <w:r>
        <w:t>favicon / apple-touch-icon</w:t>
      </w:r>
    </w:p>
    <w:p/>
    <w:p>
      <w:pPr>
        <w:pStyle w:val="Heading1"/>
        <w:spacing w:before="160" w:after="120" w:line="276" w:lineRule="auto"/>
      </w:pPr>
      <w:r>
        <w:t>10.3 页面命名策略</w:t>
      </w:r>
    </w:p>
    <w:p/>
    <w:p>
      <w:pPr>
        <w:spacing w:before="0" w:after="120" w:line="300" w:lineRule="auto"/>
      </w:pPr>
      <w:r>
        <w:t>建议以搜索友好和用户理解为先：</w:t>
      </w:r>
    </w:p>
    <w:p>
      <w:pPr>
        <w:pStyle w:val="ListBullet"/>
        <w:spacing w:before="0" w:after="40" w:line="276" w:lineRule="auto"/>
      </w:pPr>
      <w:r>
        <w:t>`/indicators/vix`</w:t>
      </w:r>
    </w:p>
    <w:p>
      <w:pPr>
        <w:pStyle w:val="ListBullet"/>
        <w:spacing w:before="0" w:after="40" w:line="276" w:lineRule="auto"/>
      </w:pPr>
      <w:r>
        <w:t>`/indicators/vix-vs-vix3m`</w:t>
      </w:r>
    </w:p>
    <w:p>
      <w:pPr>
        <w:pStyle w:val="ListBullet"/>
        <w:spacing w:before="0" w:after="40" w:line="276" w:lineRule="auto"/>
      </w:pPr>
      <w:r>
        <w:t>`/articles/what-is-vix`</w:t>
      </w:r>
    </w:p>
    <w:p>
      <w:pPr>
        <w:pStyle w:val="ListBullet"/>
        <w:spacing w:before="0" w:after="40" w:line="276" w:lineRule="auto"/>
      </w:pPr>
      <w:r>
        <w:t>`/articles/how-to-read-market-risk-dashboard`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11. 商业化、广告与合规预案</w:t>
      </w:r>
    </w:p>
    <w:p/>
    <w:p>
      <w:pPr>
        <w:pStyle w:val="Heading1"/>
        <w:spacing w:before="160" w:after="120" w:line="276" w:lineRule="auto"/>
      </w:pPr>
      <w:r>
        <w:t>11.1 商业化原则</w:t>
      </w:r>
    </w:p>
    <w:p/>
    <w:p>
      <w:pPr>
        <w:spacing w:before="0" w:after="120" w:line="300" w:lineRule="auto"/>
      </w:pPr>
      <w:r>
        <w:t>这个站点的商业化要排在“可信度”之后，而不是之前。</w:t>
      </w:r>
    </w:p>
    <w:p>
      <w:pPr>
        <w:spacing w:before="0" w:after="120" w:line="300" w:lineRule="auto"/>
      </w:pPr>
      <w:r>
        <w:t>如果首版就做成一堆跳转广告、弹窗和插屏，品牌会直接受损。</w:t>
      </w:r>
    </w:p>
    <w:p/>
    <w:p>
      <w:pPr>
        <w:pStyle w:val="Heading2"/>
        <w:spacing w:before="80" w:after="120" w:line="276" w:lineRule="auto"/>
      </w:pPr>
      <w:r>
        <w:t>建议节奏</w:t>
      </w:r>
    </w:p>
    <w:p>
      <w:pPr>
        <w:pStyle w:val="ListNumber"/>
        <w:spacing w:before="0" w:after="40" w:line="276" w:lineRule="auto"/>
      </w:pPr>
      <w:r>
        <w:t>首版先不放广告，先把内容结构和数据可信度做好</w:t>
      </w:r>
    </w:p>
    <w:p>
      <w:pPr>
        <w:pStyle w:val="ListNumber"/>
        <w:spacing w:before="0" w:after="40" w:line="276" w:lineRule="auto"/>
      </w:pPr>
      <w:r>
        <w:t>内容页成熟后，再尝试低干扰广告位</w:t>
      </w:r>
    </w:p>
    <w:p>
      <w:pPr>
        <w:pStyle w:val="ListNumber"/>
        <w:spacing w:before="0" w:after="40" w:line="276" w:lineRule="auto"/>
      </w:pPr>
      <w:r>
        <w:t>工具页尽量少打扰，内容页比工具页更适合承接广告</w:t>
      </w:r>
    </w:p>
    <w:p/>
    <w:p>
      <w:pPr>
        <w:pStyle w:val="Heading1"/>
        <w:spacing w:before="160" w:after="120" w:line="276" w:lineRule="auto"/>
      </w:pPr>
      <w:r>
        <w:t>11.2 广告形式建议</w:t>
      </w:r>
    </w:p>
    <w:p/>
    <w:p>
      <w:pPr>
        <w:spacing w:before="0" w:after="120" w:line="300" w:lineRule="auto"/>
      </w:pPr>
      <w:r>
        <w:t>推荐优先级：</w:t>
      </w:r>
    </w:p>
    <w:p>
      <w:pPr>
        <w:pStyle w:val="ListBullet"/>
        <w:spacing w:before="0" w:after="40" w:line="276" w:lineRule="auto"/>
      </w:pPr>
      <w:r>
        <w:t>Banner</w:t>
      </w:r>
    </w:p>
    <w:p>
      <w:pPr>
        <w:pStyle w:val="ListBullet"/>
        <w:spacing w:before="0" w:after="40" w:line="276" w:lineRule="auto"/>
      </w:pPr>
      <w:r>
        <w:t>Native</w:t>
      </w:r>
    </w:p>
    <w:p>
      <w:pPr>
        <w:pStyle w:val="ListBullet"/>
        <w:spacing w:before="0" w:after="40" w:line="276" w:lineRule="auto"/>
      </w:pPr>
      <w:r>
        <w:t>Contextual</w:t>
      </w:r>
    </w:p>
    <w:p/>
    <w:p>
      <w:pPr>
        <w:spacing w:before="0" w:after="120" w:line="300" w:lineRule="auto"/>
      </w:pPr>
      <w:r>
        <w:t>谨慎或尽量避免：</w:t>
      </w:r>
    </w:p>
    <w:p>
      <w:pPr>
        <w:pStyle w:val="ListBullet"/>
        <w:spacing w:before="0" w:after="40" w:line="276" w:lineRule="auto"/>
      </w:pPr>
      <w:r>
        <w:t>Popunder</w:t>
      </w:r>
    </w:p>
    <w:p>
      <w:pPr>
        <w:pStyle w:val="ListBullet"/>
        <w:spacing w:before="0" w:after="40" w:line="276" w:lineRule="auto"/>
      </w:pPr>
      <w:r>
        <w:t>Push</w:t>
      </w:r>
    </w:p>
    <w:p>
      <w:pPr>
        <w:pStyle w:val="ListBullet"/>
        <w:spacing w:before="0" w:after="40" w:line="276" w:lineRule="auto"/>
      </w:pPr>
      <w:r>
        <w:t>全屏插屏</w:t>
      </w:r>
    </w:p>
    <w:p>
      <w:pPr>
        <w:pStyle w:val="ListBullet"/>
        <w:spacing w:before="0" w:after="40" w:line="276" w:lineRule="auto"/>
      </w:pPr>
      <w:r>
        <w:t>强干扰浮层</w:t>
      </w:r>
    </w:p>
    <w:p/>
    <w:p>
      <w:pPr>
        <w:pStyle w:val="Heading1"/>
        <w:spacing w:before="160" w:after="120" w:line="276" w:lineRule="auto"/>
      </w:pPr>
      <w:r>
        <w:t>11.3 上线前必须具备的政策页</w:t>
      </w:r>
    </w:p>
    <w:p/>
    <w:p>
      <w:pPr>
        <w:pStyle w:val="ListBullet"/>
        <w:spacing w:before="0" w:after="40" w:line="276" w:lineRule="auto"/>
      </w:pPr>
      <w:r>
        <w:t>About</w:t>
      </w:r>
    </w:p>
    <w:p>
      <w:pPr>
        <w:pStyle w:val="ListBullet"/>
        <w:spacing w:before="0" w:after="40" w:line="276" w:lineRule="auto"/>
      </w:pPr>
      <w:r>
        <w:t>Privacy</w:t>
      </w:r>
    </w:p>
    <w:p>
      <w:pPr>
        <w:pStyle w:val="ListBullet"/>
        <w:spacing w:before="0" w:after="40" w:line="276" w:lineRule="auto"/>
      </w:pPr>
      <w:r>
        <w:t>Terms</w:t>
      </w:r>
    </w:p>
    <w:p>
      <w:pPr>
        <w:pStyle w:val="ListBullet"/>
        <w:spacing w:before="0" w:after="40" w:line="276" w:lineRule="auto"/>
      </w:pPr>
      <w:r>
        <w:t>Contact（可选但推荐）</w:t>
      </w:r>
    </w:p>
    <w:p>
      <w:pPr>
        <w:pStyle w:val="ListBullet"/>
        <w:spacing w:before="0" w:after="40" w:line="276" w:lineRule="auto"/>
      </w:pPr>
      <w:r>
        <w:t>Cookie / Consent（面向欧盟或英国用户时需要）</w:t>
      </w:r>
    </w:p>
    <w:p/>
    <w:p>
      <w:pPr>
        <w:pStyle w:val="Heading1"/>
        <w:spacing w:before="160" w:after="120" w:line="276" w:lineRule="auto"/>
      </w:pPr>
      <w:r>
        <w:t>11.4 数据合规原则</w:t>
      </w:r>
    </w:p>
    <w:p/>
    <w:p>
      <w:pPr>
        <w:pStyle w:val="Heading2"/>
        <w:spacing w:before="80" w:after="120" w:line="276" w:lineRule="auto"/>
      </w:pPr>
      <w:r>
        <w:t>必须写进项目规范</w:t>
      </w:r>
    </w:p>
    <w:p>
      <w:pPr>
        <w:pStyle w:val="ListBullet"/>
        <w:spacing w:before="0" w:after="40" w:line="276" w:lineRule="auto"/>
      </w:pPr>
      <w:r>
        <w:t>不抓取明确禁止再分发的数据做公开页</w:t>
      </w:r>
    </w:p>
    <w:p>
      <w:pPr>
        <w:pStyle w:val="ListBullet"/>
        <w:spacing w:before="0" w:after="40" w:line="276" w:lineRule="auto"/>
      </w:pPr>
      <w:r>
        <w:t>所有数据卡片必须展示 source 和 last updated</w:t>
      </w:r>
    </w:p>
    <w:p>
      <w:pPr>
        <w:pStyle w:val="ListBullet"/>
        <w:spacing w:before="0" w:after="40" w:line="276" w:lineRule="auto"/>
      </w:pPr>
      <w:r>
        <w:t>Data Sources 页面必须公开写清来源</w:t>
      </w:r>
    </w:p>
    <w:p>
      <w:pPr>
        <w:pStyle w:val="ListBullet"/>
        <w:spacing w:before="0" w:after="40" w:line="276" w:lineRule="auto"/>
      </w:pPr>
      <w:r>
        <w:t>对授权不明的数据，先内测、后公开</w:t>
      </w:r>
    </w:p>
    <w:p>
      <w:pPr>
        <w:pStyle w:val="ListBullet"/>
        <w:spacing w:before="0" w:after="40" w:line="276" w:lineRule="auto"/>
      </w:pPr>
      <w:r>
        <w:t>对带“pre-approval required”的序列，默认不进入公开 MVP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12. 技术方案总览（Next.js）</w:t>
      </w:r>
    </w:p>
    <w:p/>
    <w:p>
      <w:pPr>
        <w:pStyle w:val="Heading1"/>
        <w:spacing w:before="160" w:after="120" w:line="276" w:lineRule="auto"/>
      </w:pPr>
      <w:r>
        <w:t>12.1 技术选型</w:t>
      </w:r>
    </w:p>
    <w:p/>
    <w:p>
      <w:pPr>
        <w:pStyle w:val="Heading2"/>
        <w:spacing w:before="80" w:after="120" w:line="276" w:lineRule="auto"/>
      </w:pPr>
      <w:r>
        <w:t>核心栈</w:t>
      </w:r>
    </w:p>
    <w:p>
      <w:pPr>
        <w:pStyle w:val="ListBullet"/>
        <w:spacing w:before="0" w:after="40" w:line="276" w:lineRule="auto"/>
      </w:pPr>
      <w:r>
        <w:t>框架：Next.js 16.x</w:t>
      </w:r>
    </w:p>
    <w:p>
      <w:pPr>
        <w:pStyle w:val="ListBullet"/>
        <w:spacing w:before="0" w:after="40" w:line="276" w:lineRule="auto"/>
      </w:pPr>
      <w:r>
        <w:t>路由：App Router</w:t>
      </w:r>
    </w:p>
    <w:p>
      <w:pPr>
        <w:pStyle w:val="ListBullet"/>
        <w:spacing w:before="0" w:after="40" w:line="276" w:lineRule="auto"/>
      </w:pPr>
      <w:r>
        <w:t>语言：TypeScript</w:t>
      </w:r>
    </w:p>
    <w:p>
      <w:pPr>
        <w:pStyle w:val="ListBullet"/>
        <w:spacing w:before="0" w:after="40" w:line="276" w:lineRule="auto"/>
      </w:pPr>
      <w:r>
        <w:t>UI：Tailwind CSS + shadcn/ui</w:t>
      </w:r>
    </w:p>
    <w:p>
      <w:pPr>
        <w:pStyle w:val="ListBullet"/>
        <w:spacing w:before="0" w:after="40" w:line="276" w:lineRule="auto"/>
      </w:pPr>
      <w:r>
        <w:t>图表：Recharts（MVP）</w:t>
      </w:r>
    </w:p>
    <w:p>
      <w:pPr>
        <w:pStyle w:val="ListBullet"/>
        <w:spacing w:before="0" w:after="40" w:line="276" w:lineRule="auto"/>
      </w:pPr>
      <w:r>
        <w:t>数据库：Managed PostgreSQL</w:t>
      </w:r>
    </w:p>
    <w:p>
      <w:pPr>
        <w:pStyle w:val="ListBullet"/>
        <w:spacing w:before="0" w:after="40" w:line="276" w:lineRule="auto"/>
      </w:pPr>
      <w:r>
        <w:t>ORM：Drizzle ORM</w:t>
      </w:r>
    </w:p>
    <w:p>
      <w:pPr>
        <w:pStyle w:val="ListBullet"/>
        <w:spacing w:before="0" w:after="40" w:line="276" w:lineRule="auto"/>
      </w:pPr>
      <w:r>
        <w:t>校验：Zod</w:t>
      </w:r>
    </w:p>
    <w:p>
      <w:pPr>
        <w:pStyle w:val="ListBullet"/>
        <w:spacing w:before="0" w:after="40" w:line="276" w:lineRule="auto"/>
      </w:pPr>
      <w:r>
        <w:t>内容：MDX</w:t>
      </w:r>
    </w:p>
    <w:p>
      <w:pPr>
        <w:pStyle w:val="ListBullet"/>
        <w:spacing w:before="0" w:after="40" w:line="276" w:lineRule="auto"/>
      </w:pPr>
      <w:r>
        <w:t>测试：Vitest + Playwright</w:t>
      </w:r>
    </w:p>
    <w:p>
      <w:pPr>
        <w:pStyle w:val="ListBullet"/>
        <w:spacing w:before="0" w:after="40" w:line="276" w:lineRule="auto"/>
      </w:pPr>
      <w:r>
        <w:t>部署：Vercel</w:t>
      </w:r>
    </w:p>
    <w:p>
      <w:pPr>
        <w:pStyle w:val="ListBullet"/>
        <w:spacing w:before="0" w:after="40" w:line="276" w:lineRule="auto"/>
      </w:pPr>
      <w:r>
        <w:t>监控：Sentry（推荐）</w:t>
      </w:r>
    </w:p>
    <w:p>
      <w:pPr>
        <w:pStyle w:val="ListBullet"/>
        <w:spacing w:before="0" w:after="40" w:line="276" w:lineRule="auto"/>
      </w:pPr>
      <w:r>
        <w:t>分析：Plausible 或 PostHog（可选）</w:t>
      </w:r>
    </w:p>
    <w:p/>
    <w:p>
      <w:pPr>
        <w:pStyle w:val="Heading1"/>
        <w:spacing w:before="160" w:after="120" w:line="276" w:lineRule="auto"/>
      </w:pPr>
      <w:r>
        <w:t>12.2 技术原则</w:t>
      </w:r>
    </w:p>
    <w:p/>
    <w:p>
      <w:pPr>
        <w:pStyle w:val="ListNumber"/>
        <w:spacing w:before="0" w:after="40" w:line="276" w:lineRule="auto"/>
      </w:pPr>
      <w:r>
        <w:rPr>
          <w:b/>
        </w:rPr>
        <w:t>Server-first</w:t>
      </w:r>
    </w:p>
    <w:p>
      <w:pPr>
        <w:pStyle w:val="ListBullet"/>
        <w:spacing w:before="0" w:after="40" w:line="276" w:lineRule="auto"/>
      </w:pPr>
      <w:r>
        <w:t>页面数据默认在服务器获取</w:t>
      </w:r>
    </w:p>
    <w:p>
      <w:pPr>
        <w:pStyle w:val="ListBullet"/>
        <w:spacing w:before="0" w:after="40" w:line="276" w:lineRule="auto"/>
      </w:pPr>
      <w:r>
        <w:t>首屏不要依赖客户端二次请求</w:t>
      </w:r>
    </w:p>
    <w:p/>
    <w:p>
      <w:pPr>
        <w:pStyle w:val="ListNumber"/>
        <w:spacing w:before="0" w:after="40" w:line="276" w:lineRule="auto"/>
      </w:pPr>
      <w:r>
        <w:rPr>
          <w:b/>
        </w:rPr>
        <w:t>Route Handlers 管公共 API</w:t>
      </w:r>
    </w:p>
    <w:p>
      <w:pPr>
        <w:pStyle w:val="ListBullet"/>
        <w:spacing w:before="0" w:after="40" w:line="276" w:lineRule="auto"/>
      </w:pPr>
      <w:r>
        <w:t>公共 JSON API 走 `app/api/.../route.ts`</w:t>
      </w:r>
    </w:p>
    <w:p>
      <w:pPr>
        <w:pStyle w:val="ListBullet"/>
        <w:spacing w:before="0" w:after="40" w:line="276" w:lineRule="auto"/>
      </w:pPr>
      <w:r>
        <w:t>内部 sync/revalidate 也走 Route Handlers</w:t>
      </w:r>
    </w:p>
    <w:p/>
    <w:p>
      <w:pPr>
        <w:pStyle w:val="ListNumber"/>
        <w:spacing w:before="0" w:after="40" w:line="276" w:lineRule="auto"/>
      </w:pPr>
      <w:r>
        <w:rPr>
          <w:b/>
        </w:rPr>
        <w:t>Client Components 只用于交互图表</w:t>
      </w:r>
    </w:p>
    <w:p>
      <w:pPr>
        <w:pStyle w:val="ListBullet"/>
        <w:spacing w:before="0" w:after="40" w:line="276" w:lineRule="auto"/>
      </w:pPr>
      <w:r>
        <w:t>页面壳和数据装配尽量留在 Server Components</w:t>
      </w:r>
    </w:p>
    <w:p>
      <w:pPr>
        <w:pStyle w:val="ListBullet"/>
        <w:spacing w:before="0" w:after="40" w:line="276" w:lineRule="auto"/>
      </w:pPr>
      <w:r>
        <w:t>图表、切换器、比较控件再下沉到 Client Components</w:t>
      </w:r>
    </w:p>
    <w:p/>
    <w:p>
      <w:pPr>
        <w:pStyle w:val="ListNumber"/>
        <w:spacing w:before="0" w:after="40" w:line="276" w:lineRule="auto"/>
      </w:pPr>
      <w:r>
        <w:rPr>
          <w:b/>
        </w:rPr>
        <w:t>数据适配器统一封装</w:t>
      </w:r>
    </w:p>
    <w:p>
      <w:pPr>
        <w:pStyle w:val="ListBullet"/>
        <w:spacing w:before="0" w:after="40" w:line="276" w:lineRule="auto"/>
      </w:pPr>
      <w:r>
        <w:t>不允许页面直接 fetch 第三方源</w:t>
      </w:r>
    </w:p>
    <w:p>
      <w:pPr>
        <w:pStyle w:val="ListBullet"/>
        <w:spacing w:before="0" w:after="40" w:line="276" w:lineRule="auto"/>
      </w:pPr>
      <w:r>
        <w:t>所有外部请求必须进 adapter 层，先校验再落库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13. 系统架构设计</w:t>
      </w:r>
    </w:p>
    <w:p/>
    <w:p>
      <w:pPr>
        <w:pStyle w:val="Heading1"/>
        <w:spacing w:before="160" w:after="120" w:line="276" w:lineRule="auto"/>
      </w:pPr>
      <w:r>
        <w:t>13.1 架构概览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[FRED / Chicago Fed / 未来授权源]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Data Adapters（抓取与解析）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Sync Jobs（Route Handler + Cron）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PostgreSQL（原始观察值 + 快照）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Data Access Layer（聚合、分位、变化）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Next.js Server Components / Route Handlers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  ↓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Web UI（Dashboard / Indicators / Articles）</w:t>
      </w:r>
    </w:p>
    <w:p/>
    <w:p>
      <w:pPr>
        <w:pStyle w:val="Heading1"/>
        <w:spacing w:before="160" w:after="120" w:line="276" w:lineRule="auto"/>
      </w:pPr>
      <w:r>
        <w:t>13.2 模块拆分</w:t>
      </w:r>
    </w:p>
    <w:p/>
    <w:p>
      <w:pPr>
        <w:pStyle w:val="Heading2"/>
        <w:spacing w:before="80" w:after="120" w:line="276" w:lineRule="auto"/>
      </w:pPr>
      <w:r>
        <w:t>A. Web App</w:t>
      </w:r>
    </w:p>
    <w:p>
      <w:pPr>
        <w:pStyle w:val="ListBullet"/>
        <w:spacing w:before="0" w:after="40" w:line="276" w:lineRule="auto"/>
      </w:pPr>
      <w:r>
        <w:t>页面渲染</w:t>
      </w:r>
    </w:p>
    <w:p>
      <w:pPr>
        <w:pStyle w:val="ListBullet"/>
        <w:spacing w:before="0" w:after="40" w:line="276" w:lineRule="auto"/>
      </w:pPr>
      <w:r>
        <w:t>SEO</w:t>
      </w:r>
    </w:p>
    <w:p>
      <w:pPr>
        <w:pStyle w:val="ListBullet"/>
        <w:spacing w:before="0" w:after="40" w:line="276" w:lineRule="auto"/>
      </w:pPr>
      <w:r>
        <w:t>UI 组件</w:t>
      </w:r>
    </w:p>
    <w:p>
      <w:pPr>
        <w:pStyle w:val="ListBullet"/>
        <w:spacing w:before="0" w:after="40" w:line="276" w:lineRule="auto"/>
      </w:pPr>
      <w:r>
        <w:t>内容页</w:t>
      </w:r>
    </w:p>
    <w:p>
      <w:pPr>
        <w:pStyle w:val="ListBullet"/>
        <w:spacing w:before="0" w:after="40" w:line="276" w:lineRule="auto"/>
      </w:pPr>
      <w:r>
        <w:t>JSON API</w:t>
      </w:r>
    </w:p>
    <w:p/>
    <w:p>
      <w:pPr>
        <w:pStyle w:val="Heading2"/>
        <w:spacing w:before="80" w:after="120" w:line="276" w:lineRule="auto"/>
      </w:pPr>
      <w:r>
        <w:t>B. Ingestion Layer</w:t>
      </w:r>
    </w:p>
    <w:p>
      <w:pPr>
        <w:pStyle w:val="ListBullet"/>
        <w:spacing w:before="0" w:after="40" w:line="276" w:lineRule="auto"/>
      </w:pPr>
      <w:r>
        <w:t>FRED adapter</w:t>
      </w:r>
    </w:p>
    <w:p>
      <w:pPr>
        <w:pStyle w:val="ListBullet"/>
        <w:spacing w:before="0" w:after="40" w:line="276" w:lineRule="auto"/>
      </w:pPr>
      <w:r>
        <w:t>Chicago Fed adapter</w:t>
      </w:r>
    </w:p>
    <w:p>
      <w:pPr>
        <w:pStyle w:val="ListBullet"/>
        <w:spacing w:before="0" w:after="40" w:line="276" w:lineRule="auto"/>
      </w:pPr>
      <w:r>
        <w:t>Cboe adapter（先占位）</w:t>
      </w:r>
    </w:p>
    <w:p>
      <w:pPr>
        <w:pStyle w:val="ListBullet"/>
        <w:spacing w:before="0" w:after="40" w:line="276" w:lineRule="auto"/>
      </w:pPr>
      <w:r>
        <w:t>licensed sources adapter（后续）</w:t>
      </w:r>
    </w:p>
    <w:p/>
    <w:p>
      <w:pPr>
        <w:pStyle w:val="Heading2"/>
        <w:spacing w:before="80" w:after="120" w:line="276" w:lineRule="auto"/>
      </w:pPr>
      <w:r>
        <w:t>C. Compute Layer</w:t>
      </w:r>
    </w:p>
    <w:p>
      <w:pPr>
        <w:pStyle w:val="ListBullet"/>
        <w:spacing w:before="0" w:after="40" w:line="276" w:lineRule="auto"/>
      </w:pPr>
      <w:r>
        <w:t>计算变化率</w:t>
      </w:r>
    </w:p>
    <w:p>
      <w:pPr>
        <w:pStyle w:val="ListBullet"/>
        <w:spacing w:before="0" w:after="40" w:line="276" w:lineRule="auto"/>
      </w:pPr>
      <w:r>
        <w:t>计算分位数和 z-score</w:t>
      </w:r>
    </w:p>
    <w:p>
      <w:pPr>
        <w:pStyle w:val="ListBullet"/>
        <w:spacing w:before="0" w:after="40" w:line="276" w:lineRule="auto"/>
      </w:pPr>
      <w:r>
        <w:t>计算综合风险分数</w:t>
      </w:r>
    </w:p>
    <w:p>
      <w:pPr>
        <w:pStyle w:val="ListBullet"/>
        <w:spacing w:before="0" w:after="40" w:line="276" w:lineRule="auto"/>
      </w:pPr>
      <w:r>
        <w:t>生成解读文案</w:t>
      </w:r>
    </w:p>
    <w:p/>
    <w:p>
      <w:pPr>
        <w:pStyle w:val="Heading2"/>
        <w:spacing w:before="80" w:after="120" w:line="276" w:lineRule="auto"/>
      </w:pPr>
      <w:r>
        <w:t>D. Content Layer</w:t>
      </w:r>
    </w:p>
    <w:p>
      <w:pPr>
        <w:pStyle w:val="ListBullet"/>
        <w:spacing w:before="0" w:after="40" w:line="276" w:lineRule="auto"/>
      </w:pPr>
      <w:r>
        <w:t>MDX 文章</w:t>
      </w:r>
    </w:p>
    <w:p>
      <w:pPr>
        <w:pStyle w:val="ListBullet"/>
        <w:spacing w:before="0" w:after="40" w:line="276" w:lineRule="auto"/>
      </w:pPr>
      <w:r>
        <w:t>方法论页</w:t>
      </w:r>
    </w:p>
    <w:p>
      <w:pPr>
        <w:pStyle w:val="ListBullet"/>
        <w:spacing w:before="0" w:after="40" w:line="276" w:lineRule="auto"/>
      </w:pPr>
      <w:r>
        <w:t>数据源说明页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14. 数据库设计</w:t>
      </w:r>
    </w:p>
    <w:p/>
    <w:p>
      <w:pPr>
        <w:pStyle w:val="Heading1"/>
        <w:spacing w:before="160" w:after="120" w:line="276" w:lineRule="auto"/>
      </w:pPr>
      <w:r>
        <w:t>14.1 表设计</w:t>
      </w:r>
    </w:p>
    <w:p/>
    <w:p>
      <w:pPr>
        <w:pStyle w:val="Heading2"/>
        <w:spacing w:before="80" w:after="120" w:line="276" w:lineRule="auto"/>
      </w:pPr>
      <w:r>
        <w:t>`indicators`</w:t>
      </w:r>
    </w:p>
    <w:p>
      <w:pPr>
        <w:spacing w:before="0" w:after="120" w:line="300" w:lineRule="auto"/>
      </w:pPr>
      <w:r>
        <w:t>指标主表。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slug</w:t>
            </w:r>
          </w:p>
        </w:tc>
        <w:tc>
          <w:tcPr>
            <w:tcW w:type="dxa" w:w="3137"/>
            <w:vAlign w:val="center"/>
          </w:tcPr>
          <w:p>
            <w:r>
              <w:t>text unique</w:t>
            </w:r>
          </w:p>
        </w:tc>
        <w:tc>
          <w:tcPr>
            <w:tcW w:type="dxa" w:w="3137"/>
            <w:vAlign w:val="center"/>
          </w:tcPr>
          <w:p>
            <w:r>
              <w:t>例如 `vix`</w:t>
            </w:r>
          </w:p>
        </w:tc>
      </w:tr>
      <w:tr>
        <w:tc>
          <w:tcPr>
            <w:tcW w:type="dxa" w:w="3137"/>
            <w:vAlign w:val="center"/>
          </w:tcPr>
          <w:p>
            <w:r>
              <w:t>name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展示名</w:t>
            </w:r>
          </w:p>
        </w:tc>
      </w:tr>
      <w:tr>
        <w:tc>
          <w:tcPr>
            <w:tcW w:type="dxa" w:w="3137"/>
            <w:vAlign w:val="center"/>
          </w:tcPr>
          <w:p>
            <w:r>
              <w:t>category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`equity_vol`, `systemic_stress` 等</w:t>
            </w:r>
          </w:p>
        </w:tc>
      </w:tr>
      <w:tr>
        <w:tc>
          <w:tcPr>
            <w:tcW w:type="dxa" w:w="3137"/>
            <w:vAlign w:val="center"/>
          </w:tcPr>
          <w:p>
            <w:r>
              <w:t>description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简短说明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unit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`index`, `percent`</w:t>
            </w:r>
          </w:p>
        </w:tc>
      </w:tr>
      <w:tr>
        <w:tc>
          <w:tcPr>
            <w:tcW w:type="dxa" w:w="3137"/>
            <w:vAlign w:val="center"/>
          </w:tcPr>
          <w:p>
            <w:r>
              <w:t>frequency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`daily`, `weekly`</w:t>
            </w:r>
          </w:p>
        </w:tc>
      </w:tr>
      <w:tr>
        <w:tc>
          <w:tcPr>
            <w:tcW w:type="dxa" w:w="3137"/>
            <w:vAlign w:val="center"/>
          </w:tcPr>
          <w:p>
            <w:r>
              <w:t>status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`active`, `planned`, `licensed_only`</w:t>
            </w:r>
          </w:p>
        </w:tc>
      </w:tr>
      <w:tr>
        <w:tc>
          <w:tcPr>
            <w:tcW w:type="dxa" w:w="3137"/>
            <w:vAlign w:val="center"/>
          </w:tcPr>
          <w:p>
            <w:r>
              <w:t>source_policy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`public_ok`, `review_required`, `licensed_only`</w:t>
            </w:r>
          </w:p>
        </w:tc>
      </w:tr>
      <w:tr>
        <w:tc>
          <w:tcPr>
            <w:tcW w:type="dxa" w:w="3137"/>
            <w:vAlign w:val="center"/>
          </w:tcPr>
          <w:p>
            <w:r>
              <w:t>created_at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创建时间</w:t>
            </w:r>
          </w:p>
        </w:tc>
      </w:tr>
      <w:tr>
        <w:tc>
          <w:tcPr>
            <w:tcW w:type="dxa" w:w="3137"/>
            <w:vAlign w:val="center"/>
          </w:tcPr>
          <w:p>
            <w:r>
              <w:t>updated_at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更新时间</w:t>
            </w:r>
          </w:p>
        </w:tc>
      </w:tr>
    </w:tbl>
    <w:p/>
    <w:p/>
    <w:p>
      <w:pPr>
        <w:pStyle w:val="Heading2"/>
        <w:spacing w:before="80" w:after="120" w:line="276" w:lineRule="auto"/>
      </w:pPr>
      <w:r>
        <w:t>`indicator_sources`</w:t>
      </w:r>
    </w:p>
    <w:p>
      <w:pPr>
        <w:spacing w:before="0" w:after="120" w:line="300" w:lineRule="auto"/>
      </w:pPr>
      <w:r>
        <w:t>指标与外部源映射表。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indicator_id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外键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provider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`fred`, `chicagofed`, `cboe`, `ice`</w:t>
            </w:r>
          </w:p>
        </w:tc>
      </w:tr>
      <w:tr>
        <w:tc>
          <w:tcPr>
            <w:tcW w:type="dxa" w:w="3137"/>
            <w:vAlign w:val="center"/>
          </w:tcPr>
          <w:p>
            <w:r>
              <w:t>external_id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如 `VIXCLS`</w:t>
            </w:r>
          </w:p>
        </w:tc>
      </w:tr>
      <w:tr>
        <w:tc>
          <w:tcPr>
            <w:tcW w:type="dxa" w:w="3137"/>
            <w:vAlign w:val="center"/>
          </w:tcPr>
          <w:p>
            <w:r>
              <w:t>fetch_mode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`api_json`, `csv`, `manual`, `licensed_api`</w:t>
            </w:r>
          </w:p>
        </w:tc>
      </w:tr>
      <w:tr>
        <w:tc>
          <w:tcPr>
            <w:tcW w:type="dxa" w:w="3137"/>
            <w:vAlign w:val="center"/>
          </w:tcPr>
          <w:p>
            <w:r>
              <w:t>source_url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原始链接</w:t>
            </w:r>
          </w:p>
        </w:tc>
      </w:tr>
      <w:tr>
        <w:tc>
          <w:tcPr>
            <w:tcW w:type="dxa" w:w="3137"/>
            <w:vAlign w:val="center"/>
          </w:tcPr>
          <w:p>
            <w:r>
              <w:t>is_primary</w:t>
            </w:r>
          </w:p>
        </w:tc>
        <w:tc>
          <w:tcPr>
            <w:tcW w:type="dxa" w:w="3137"/>
            <w:vAlign w:val="center"/>
          </w:tcPr>
          <w:p>
            <w:r>
              <w:t>boolean</w:t>
            </w:r>
          </w:p>
        </w:tc>
        <w:tc>
          <w:tcPr>
            <w:tcW w:type="dxa" w:w="3137"/>
            <w:vAlign w:val="center"/>
          </w:tcPr>
          <w:p>
            <w:r>
              <w:t>是否主源</w:t>
            </w:r>
          </w:p>
        </w:tc>
      </w:tr>
      <w:tr>
        <w:tc>
          <w:tcPr>
            <w:tcW w:type="dxa" w:w="3137"/>
            <w:vAlign w:val="center"/>
          </w:tcPr>
          <w:p>
            <w:r>
              <w:t>license_note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授权说明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active</w:t>
            </w:r>
          </w:p>
        </w:tc>
        <w:tc>
          <w:tcPr>
            <w:tcW w:type="dxa" w:w="3137"/>
            <w:vAlign w:val="center"/>
          </w:tcPr>
          <w:p>
            <w:r>
              <w:t>boolean</w:t>
            </w:r>
          </w:p>
        </w:tc>
        <w:tc>
          <w:tcPr>
            <w:tcW w:type="dxa" w:w="3137"/>
            <w:vAlign w:val="center"/>
          </w:tcPr>
          <w:p>
            <w:r>
              <w:t>是否启用</w:t>
            </w:r>
          </w:p>
        </w:tc>
      </w:tr>
    </w:tbl>
    <w:p/>
    <w:p/>
    <w:p>
      <w:pPr>
        <w:pStyle w:val="Heading2"/>
        <w:spacing w:before="80" w:after="120" w:line="276" w:lineRule="auto"/>
      </w:pPr>
      <w:r>
        <w:t>`observations`</w:t>
      </w:r>
    </w:p>
    <w:p>
      <w:pPr>
        <w:spacing w:before="0" w:after="120" w:line="300" w:lineRule="auto"/>
      </w:pPr>
      <w:r>
        <w:t>原始时间序列表。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indicator_id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外键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observation_date</w:t>
            </w:r>
          </w:p>
        </w:tc>
        <w:tc>
          <w:tcPr>
            <w:tcW w:type="dxa" w:w="3137"/>
            <w:vAlign w:val="center"/>
          </w:tcPr>
          <w:p>
            <w:r>
              <w:t>date</w:t>
            </w:r>
          </w:p>
        </w:tc>
        <w:tc>
          <w:tcPr>
            <w:tcW w:type="dxa" w:w="3137"/>
            <w:vAlign w:val="center"/>
          </w:tcPr>
          <w:p>
            <w:r>
              <w:t>观测日期</w:t>
            </w:r>
          </w:p>
        </w:tc>
      </w:tr>
      <w:tr>
        <w:tc>
          <w:tcPr>
            <w:tcW w:type="dxa" w:w="3137"/>
            <w:vAlign w:val="center"/>
          </w:tcPr>
          <w:p>
            <w:r>
              <w:t>value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数值</w:t>
            </w:r>
          </w:p>
        </w:tc>
      </w:tr>
      <w:tr>
        <w:tc>
          <w:tcPr>
            <w:tcW w:type="dxa" w:w="3137"/>
            <w:vAlign w:val="center"/>
          </w:tcPr>
          <w:p>
            <w:r>
              <w:t>raw_payload</w:t>
            </w:r>
          </w:p>
        </w:tc>
        <w:tc>
          <w:tcPr>
            <w:tcW w:type="dxa" w:w="3137"/>
            <w:vAlign w:val="center"/>
          </w:tcPr>
          <w:p>
            <w:r>
              <w:t>jsonb</w:t>
            </w:r>
          </w:p>
        </w:tc>
        <w:tc>
          <w:tcPr>
            <w:tcW w:type="dxa" w:w="3137"/>
            <w:vAlign w:val="center"/>
          </w:tcPr>
          <w:p>
            <w:r>
              <w:t>原始记录</w:t>
            </w:r>
          </w:p>
        </w:tc>
      </w:tr>
      <w:tr>
        <w:tc>
          <w:tcPr>
            <w:tcW w:type="dxa" w:w="3137"/>
            <w:vAlign w:val="center"/>
          </w:tcPr>
          <w:p>
            <w:r>
              <w:t>source_provider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来源</w:t>
            </w:r>
          </w:p>
        </w:tc>
      </w:tr>
      <w:tr>
        <w:tc>
          <w:tcPr>
            <w:tcW w:type="dxa" w:w="3137"/>
            <w:vAlign w:val="center"/>
          </w:tcPr>
          <w:p>
            <w:r>
              <w:t>source_external_id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外部 series id</w:t>
            </w:r>
          </w:p>
        </w:tc>
      </w:tr>
      <w:tr>
        <w:tc>
          <w:tcPr>
            <w:tcW w:type="dxa" w:w="3137"/>
            <w:vAlign w:val="center"/>
          </w:tcPr>
          <w:p>
            <w:r>
              <w:t>fetched_at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抓取时间</w:t>
            </w:r>
          </w:p>
        </w:tc>
      </w:tr>
      <w:tr>
        <w:tc>
          <w:tcPr>
            <w:tcW w:type="dxa" w:w="3137"/>
            <w:vAlign w:val="center"/>
          </w:tcPr>
          <w:p>
            <w:r>
              <w:t>unique(indicator_id, observation_date)</w:t>
            </w:r>
          </w:p>
        </w:tc>
        <w:tc>
          <w:tcPr>
            <w:tcW w:type="dxa" w:w="3137"/>
            <w:vAlign w:val="center"/>
          </w:tcPr>
          <w:p>
            <w:r>
              <w:t>-</w:t>
            </w:r>
          </w:p>
        </w:tc>
        <w:tc>
          <w:tcPr>
            <w:tcW w:type="dxa" w:w="3137"/>
            <w:vAlign w:val="center"/>
          </w:tcPr>
          <w:p>
            <w:r>
              <w:t>去重约束</w:t>
            </w:r>
          </w:p>
        </w:tc>
      </w:tr>
    </w:tbl>
    <w:p/>
    <w:p/>
    <w:p>
      <w:pPr>
        <w:pStyle w:val="Heading2"/>
        <w:spacing w:before="80" w:after="120" w:line="276" w:lineRule="auto"/>
      </w:pPr>
      <w:r>
        <w:t>`indicator_snapshots`</w:t>
      </w:r>
    </w:p>
    <w:p>
      <w:pPr>
        <w:spacing w:before="0" w:after="120" w:line="300" w:lineRule="auto"/>
      </w:pPr>
      <w:r>
        <w:t>页面直接读取的快照表，避免每次现场计算。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indicator_id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主键/外键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latest_value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最新值</w:t>
            </w:r>
          </w:p>
        </w:tc>
      </w:tr>
      <w:tr>
        <w:tc>
          <w:tcPr>
            <w:tcW w:type="dxa" w:w="3137"/>
            <w:vAlign w:val="center"/>
          </w:tcPr>
          <w:p>
            <w:r>
              <w:t>latest_date</w:t>
            </w:r>
          </w:p>
        </w:tc>
        <w:tc>
          <w:tcPr>
            <w:tcW w:type="dxa" w:w="3137"/>
            <w:vAlign w:val="center"/>
          </w:tcPr>
          <w:p>
            <w:r>
              <w:t>date</w:t>
            </w:r>
          </w:p>
        </w:tc>
        <w:tc>
          <w:tcPr>
            <w:tcW w:type="dxa" w:w="3137"/>
            <w:vAlign w:val="center"/>
          </w:tcPr>
          <w:p>
            <w:r>
              <w:t>最新日期</w:t>
            </w:r>
          </w:p>
        </w:tc>
      </w:tr>
      <w:tr>
        <w:tc>
          <w:tcPr>
            <w:tcW w:type="dxa" w:w="3137"/>
            <w:vAlign w:val="center"/>
          </w:tcPr>
          <w:p>
            <w:r>
              <w:t>change_1d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1日变化</w:t>
            </w:r>
          </w:p>
        </w:tc>
      </w:tr>
      <w:tr>
        <w:tc>
          <w:tcPr>
            <w:tcW w:type="dxa" w:w="3137"/>
            <w:vAlign w:val="center"/>
          </w:tcPr>
          <w:p>
            <w:r>
              <w:t>change_5d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5日变化</w:t>
            </w:r>
          </w:p>
        </w:tc>
      </w:tr>
      <w:tr>
        <w:tc>
          <w:tcPr>
            <w:tcW w:type="dxa" w:w="3137"/>
            <w:vAlign w:val="center"/>
          </w:tcPr>
          <w:p>
            <w:r>
              <w:t>change_20d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20日变化</w:t>
            </w:r>
          </w:p>
        </w:tc>
      </w:tr>
      <w:tr>
        <w:tc>
          <w:tcPr>
            <w:tcW w:type="dxa" w:w="3137"/>
            <w:vAlign w:val="center"/>
          </w:tcPr>
          <w:p>
            <w:r>
              <w:t>pct_rank_1y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1年分位数</w:t>
            </w:r>
          </w:p>
        </w:tc>
      </w:tr>
      <w:tr>
        <w:tc>
          <w:tcPr>
            <w:tcW w:type="dxa" w:w="3137"/>
            <w:vAlign w:val="center"/>
          </w:tcPr>
          <w:p>
            <w:r>
              <w:t>zscore_1y</w:t>
            </w:r>
          </w:p>
        </w:tc>
        <w:tc>
          <w:tcPr>
            <w:tcW w:type="dxa" w:w="3137"/>
            <w:vAlign w:val="center"/>
          </w:tcPr>
          <w:p>
            <w:r>
              <w:t>numeric</w:t>
            </w:r>
          </w:p>
        </w:tc>
        <w:tc>
          <w:tcPr>
            <w:tcW w:type="dxa" w:w="3137"/>
            <w:vAlign w:val="center"/>
          </w:tcPr>
          <w:p>
            <w:r>
              <w:t>1年z-score</w:t>
            </w:r>
          </w:p>
        </w:tc>
      </w:tr>
      <w:tr>
        <w:tc>
          <w:tcPr>
            <w:tcW w:type="dxa" w:w="3137"/>
            <w:vAlign w:val="center"/>
          </w:tcPr>
          <w:p>
            <w:r>
              <w:t>state_label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平静/升温等</w:t>
            </w:r>
          </w:p>
        </w:tc>
      </w:tr>
      <w:tr>
        <w:tc>
          <w:tcPr>
            <w:tcW w:type="dxa" w:w="3137"/>
            <w:vAlign w:val="center"/>
          </w:tcPr>
          <w:p>
            <w:r>
              <w:t>updated_at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快照生成时间</w:t>
            </w:r>
          </w:p>
        </w:tc>
      </w:tr>
    </w:tbl>
    <w:p/>
    <w:p/>
    <w:p>
      <w:pPr>
        <w:pStyle w:val="Heading2"/>
        <w:spacing w:before="80" w:after="120" w:line="276" w:lineRule="auto"/>
      </w:pPr>
      <w:r>
        <w:t>`sync_runs`</w:t>
      </w:r>
    </w:p>
    <w:p>
      <w:pPr>
        <w:spacing w:before="0" w:after="120" w:line="300" w:lineRule="auto"/>
      </w:pPr>
      <w:r>
        <w:t>同步任务日志。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provider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来源提供方</w:t>
            </w:r>
          </w:p>
        </w:tc>
      </w:tr>
      <w:tr>
        <w:tc>
          <w:tcPr>
            <w:tcW w:type="dxa" w:w="3137"/>
            <w:vAlign w:val="center"/>
          </w:tcPr>
          <w:p>
            <w:r>
              <w:t>job_name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任务名</w:t>
            </w:r>
          </w:p>
        </w:tc>
      </w:tr>
      <w:tr>
        <w:tc>
          <w:tcPr>
            <w:tcW w:type="dxa" w:w="3137"/>
            <w:vAlign w:val="center"/>
          </w:tcPr>
          <w:p>
            <w:r>
              <w:t>status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`success`, `failed`, `partial`</w:t>
            </w:r>
          </w:p>
        </w:tc>
      </w:tr>
      <w:tr>
        <w:tc>
          <w:tcPr>
            <w:tcW w:type="dxa" w:w="3137"/>
            <w:vAlign w:val="center"/>
          </w:tcPr>
          <w:p>
            <w:r>
              <w:t>started_at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开始时间</w:t>
            </w:r>
          </w:p>
        </w:tc>
      </w:tr>
      <w:tr>
        <w:tc>
          <w:tcPr>
            <w:tcW w:type="dxa" w:w="3137"/>
            <w:vAlign w:val="center"/>
          </w:tcPr>
          <w:p>
            <w:r>
              <w:t>finished_at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结束时间</w:t>
            </w:r>
          </w:p>
        </w:tc>
      </w:tr>
      <w:tr>
        <w:tc>
          <w:tcPr>
            <w:tcW w:type="dxa" w:w="3137"/>
            <w:vAlign w:val="center"/>
          </w:tcPr>
          <w:p>
            <w:r>
              <w:t>records_upserted</w:t>
            </w:r>
          </w:p>
        </w:tc>
        <w:tc>
          <w:tcPr>
            <w:tcW w:type="dxa" w:w="3137"/>
            <w:vAlign w:val="center"/>
          </w:tcPr>
          <w:p>
            <w:r>
              <w:t>int</w:t>
            </w:r>
          </w:p>
        </w:tc>
        <w:tc>
          <w:tcPr>
            <w:tcW w:type="dxa" w:w="3137"/>
            <w:vAlign w:val="center"/>
          </w:tcPr>
          <w:p>
            <w:r>
              <w:t>写入数</w:t>
            </w:r>
          </w:p>
        </w:tc>
      </w:tr>
      <w:tr>
        <w:tc>
          <w:tcPr>
            <w:tcW w:type="dxa" w:w="3137"/>
            <w:vAlign w:val="center"/>
          </w:tcPr>
          <w:p>
            <w:r>
              <w:t>error_message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错误摘要</w:t>
            </w:r>
          </w:p>
        </w:tc>
      </w:tr>
      <w:tr>
        <w:tc>
          <w:tcPr>
            <w:tcW w:type="dxa" w:w="3137"/>
            <w:vAlign w:val="center"/>
          </w:tcPr>
          <w:p>
            <w:r>
              <w:t>meta</w:t>
            </w:r>
          </w:p>
        </w:tc>
        <w:tc>
          <w:tcPr>
            <w:tcW w:type="dxa" w:w="3137"/>
            <w:vAlign w:val="center"/>
          </w:tcPr>
          <w:p>
            <w:r>
              <w:t>jsonb</w:t>
            </w:r>
          </w:p>
        </w:tc>
        <w:tc>
          <w:tcPr>
            <w:tcW w:type="dxa" w:w="3137"/>
            <w:vAlign w:val="center"/>
          </w:tcPr>
          <w:p>
            <w:r>
              <w:t>附加信息</w:t>
            </w:r>
          </w:p>
        </w:tc>
      </w:tr>
    </w:tbl>
    <w:p/>
    <w:p/>
    <w:p>
      <w:pPr>
        <w:pStyle w:val="Heading2"/>
        <w:spacing w:before="80" w:after="120" w:line="276" w:lineRule="auto"/>
      </w:pPr>
      <w:r>
        <w:t>`daily_commentaries`</w:t>
      </w:r>
    </w:p>
    <w:p>
      <w:pPr>
        <w:spacing w:before="0" w:after="120" w:line="300" w:lineRule="auto"/>
      </w:pPr>
      <w:r>
        <w:t>每日/每周生成的总结文本。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13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  <w:vAlign w:val="center"/>
          </w:tcPr>
          <w:p>
            <w:r>
              <w:t>id</w:t>
            </w:r>
          </w:p>
        </w:tc>
        <w:tc>
          <w:tcPr>
            <w:tcW w:type="dxa" w:w="3137"/>
            <w:vAlign w:val="center"/>
          </w:tcPr>
          <w:p>
            <w:r>
              <w:t>uuid</w:t>
            </w:r>
          </w:p>
        </w:tc>
        <w:tc>
          <w:tcPr>
            <w:tcW w:type="dxa" w:w="3137"/>
            <w:vAlign w:val="center"/>
          </w:tcPr>
          <w:p>
            <w:r>
              <w:t>主键</w:t>
            </w:r>
          </w:p>
        </w:tc>
      </w:tr>
      <w:tr>
        <w:tc>
          <w:tcPr>
            <w:tcW w:type="dxa" w:w="3137"/>
            <w:vAlign w:val="center"/>
          </w:tcPr>
          <w:p>
            <w:r>
              <w:t>as_of_date</w:t>
            </w:r>
          </w:p>
        </w:tc>
        <w:tc>
          <w:tcPr>
            <w:tcW w:type="dxa" w:w="3137"/>
            <w:vAlign w:val="center"/>
          </w:tcPr>
          <w:p>
            <w:r>
              <w:t>date</w:t>
            </w:r>
          </w:p>
        </w:tc>
        <w:tc>
          <w:tcPr>
            <w:tcW w:type="dxa" w:w="3137"/>
            <w:vAlign w:val="center"/>
          </w:tcPr>
          <w:p>
            <w:r>
              <w:t>生效日期</w:t>
            </w:r>
          </w:p>
        </w:tc>
      </w:tr>
      <w:tr>
        <w:tc>
          <w:tcPr>
            <w:tcW w:type="dxa" w:w="3137"/>
            <w:vAlign w:val="center"/>
          </w:tcPr>
          <w:p>
            <w:r>
              <w:t>scope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`daily`, `weekly`</w:t>
            </w:r>
          </w:p>
        </w:tc>
      </w:tr>
      <w:tr>
        <w:tc>
          <w:tcPr>
            <w:tcW w:type="dxa" w:w="3137"/>
            <w:vAlign w:val="center"/>
          </w:tcPr>
          <w:p>
            <w:r>
              <w:t>headline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标题</w:t>
            </w:r>
          </w:p>
        </w:tc>
      </w:tr>
      <w:tr>
        <w:tc>
          <w:tcPr>
            <w:tcW w:type="dxa" w:w="3137"/>
            <w:vAlign w:val="center"/>
          </w:tcPr>
          <w:p>
            <w:r>
              <w:t>summary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摘要</w:t>
            </w:r>
          </w:p>
        </w:tc>
      </w:tr>
      <w:tr>
        <w:tc>
          <w:tcPr>
            <w:tcW w:type="dxa" w:w="3137"/>
            <w:vAlign w:val="center"/>
          </w:tcPr>
          <w:p>
            <w:r>
              <w:t>body_md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正文</w:t>
            </w:r>
          </w:p>
        </w:tc>
      </w:tr>
      <w:tr>
        <w:tc>
          <w:tcPr>
            <w:tcW w:type="dxa" w:w="3137"/>
            <w:vAlign w:val="center"/>
          </w:tcPr>
          <w:p>
            <w:r>
              <w:t>model</w:t>
            </w:r>
          </w:p>
        </w:tc>
        <w:tc>
          <w:tcPr>
            <w:tcW w:type="dxa" w:w="3137"/>
            <w:vAlign w:val="center"/>
          </w:tcPr>
          <w:p>
            <w:r>
              <w:t>text</w:t>
            </w:r>
          </w:p>
        </w:tc>
        <w:tc>
          <w:tcPr>
            <w:tcW w:type="dxa" w:w="3137"/>
            <w:vAlign w:val="center"/>
          </w:tcPr>
          <w:p>
            <w:r>
              <w:t>`rules_v1` 或未来 `llm_v1`</w:t>
            </w:r>
          </w:p>
        </w:tc>
      </w:tr>
      <w:tr>
        <w:tc>
          <w:tcPr>
            <w:tcW w:type="dxa" w:w="3137"/>
            <w:vAlign w:val="center"/>
          </w:tcPr>
          <w:p>
            <w:r>
              <w:t>inputs_json</w:t>
            </w:r>
          </w:p>
        </w:tc>
        <w:tc>
          <w:tcPr>
            <w:tcW w:type="dxa" w:w="3137"/>
            <w:vAlign w:val="center"/>
          </w:tcPr>
          <w:p>
            <w:r>
              <w:t>jsonb</w:t>
            </w:r>
          </w:p>
        </w:tc>
        <w:tc>
          <w:tcPr>
            <w:tcW w:type="dxa" w:w="3137"/>
            <w:vAlign w:val="center"/>
          </w:tcPr>
          <w:p>
            <w:r>
              <w:t>输入快照</w:t>
            </w:r>
          </w:p>
        </w:tc>
      </w:tr>
      <w:tr>
        <w:tc>
          <w:tcPr>
            <w:tcW w:type="dxa" w:w="3137"/>
            <w:vAlign w:val="center"/>
          </w:tcPr>
          <w:p>
            <w:r>
              <w:t>created_at</w:t>
            </w:r>
          </w:p>
        </w:tc>
        <w:tc>
          <w:tcPr>
            <w:tcW w:type="dxa" w:w="3137"/>
            <w:vAlign w:val="center"/>
          </w:tcPr>
          <w:p>
            <w:r>
              <w:t>timestamptz</w:t>
            </w:r>
          </w:p>
        </w:tc>
        <w:tc>
          <w:tcPr>
            <w:tcW w:type="dxa" w:w="3137"/>
            <w:vAlign w:val="center"/>
          </w:tcPr>
          <w:p>
            <w:r>
              <w:t>创建时间</w:t>
            </w:r>
          </w:p>
        </w:tc>
      </w:tr>
    </w:tbl>
    <w:p/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14.2 指标配置模型（建议代码化）</w:t>
      </w:r>
    </w:p>
    <w:p/>
    <w:p>
      <w:pPr>
        <w:spacing w:before="0" w:after="120" w:line="300" w:lineRule="auto"/>
      </w:pPr>
      <w:r>
        <w:t>建议在代码中保留一份强类型配置，作为页面与同步逻辑的共享来源。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export type IndicatorConfig = {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slug: string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name: string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category: 'equity_vol' | 'systemic_stress' | 'composite'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frequency: 'daily' | 'weekly'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unit: 'index' | 'percent'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sourcePolicy: 'public_ok' | 'review_required' | 'licensed_only'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primarySource: {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provider: 'fred' | 'chicagofed' | 'cboe' | 'ice'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externalId: string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sourceUrl: string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fetchMode: 'api_json' | 'csv' | 'manual' | 'licensed_api'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}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}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15. 数据采集与同步设计</w:t>
      </w:r>
    </w:p>
    <w:p/>
    <w:p>
      <w:pPr>
        <w:pStyle w:val="Heading1"/>
        <w:spacing w:before="160" w:after="120" w:line="276" w:lineRule="auto"/>
      </w:pPr>
      <w:r>
        <w:t>15.1 首版数据接入方式</w:t>
      </w:r>
    </w:p>
    <w:p/>
    <w:p>
      <w:pPr>
        <w:pStyle w:val="Heading2"/>
        <w:spacing w:before="80" w:after="120" w:line="276" w:lineRule="auto"/>
      </w:pPr>
      <w:r>
        <w:t>FRED adapter</w:t>
      </w:r>
    </w:p>
    <w:p>
      <w:pPr>
        <w:spacing w:before="0" w:after="120" w:line="300" w:lineRule="auto"/>
      </w:pPr>
      <w:r>
        <w:t>适用于：</w:t>
      </w:r>
    </w:p>
    <w:p>
      <w:pPr>
        <w:pStyle w:val="ListBullet"/>
        <w:spacing w:before="0" w:after="40" w:line="276" w:lineRule="auto"/>
      </w:pPr>
      <w:r>
        <w:t>VIXCLS</w:t>
      </w:r>
    </w:p>
    <w:p>
      <w:pPr>
        <w:pStyle w:val="ListBullet"/>
        <w:spacing w:before="0" w:after="40" w:line="276" w:lineRule="auto"/>
      </w:pPr>
      <w:r>
        <w:t>VXVCLS</w:t>
      </w:r>
    </w:p>
    <w:p>
      <w:pPr>
        <w:pStyle w:val="ListBullet"/>
        <w:spacing w:before="0" w:after="40" w:line="276" w:lineRule="auto"/>
      </w:pPr>
      <w:r>
        <w:t>VXNCLS</w:t>
      </w:r>
    </w:p>
    <w:p>
      <w:pPr>
        <w:pStyle w:val="ListBullet"/>
        <w:spacing w:before="0" w:after="40" w:line="276" w:lineRule="auto"/>
      </w:pPr>
      <w:r>
        <w:t>RVXCLS</w:t>
      </w:r>
    </w:p>
    <w:p>
      <w:pPr>
        <w:pStyle w:val="ListBullet"/>
        <w:spacing w:before="0" w:after="40" w:line="276" w:lineRule="auto"/>
      </w:pPr>
      <w:r>
        <w:t>VXDCLS</w:t>
      </w:r>
    </w:p>
    <w:p>
      <w:pPr>
        <w:pStyle w:val="ListBullet"/>
        <w:spacing w:before="0" w:after="40" w:line="276" w:lineRule="auto"/>
      </w:pPr>
      <w:r>
        <w:t>STLFSI4</w:t>
      </w:r>
    </w:p>
    <w:p>
      <w:pPr>
        <w:pStyle w:val="ListBullet"/>
        <w:spacing w:before="0" w:after="40" w:line="276" w:lineRule="auto"/>
      </w:pPr>
      <w:r>
        <w:t>NFCI</w:t>
      </w:r>
    </w:p>
    <w:p>
      <w:pPr>
        <w:pStyle w:val="ListBullet"/>
        <w:spacing w:before="0" w:after="40" w:line="276" w:lineRule="auto"/>
      </w:pPr>
      <w:r>
        <w:t>ANFCI</w:t>
      </w:r>
    </w:p>
    <w:p/>
    <w:p>
      <w:pPr>
        <w:pStyle w:val="Heading2"/>
        <w:spacing w:before="80" w:after="120" w:line="276" w:lineRule="auto"/>
      </w:pPr>
      <w:r>
        <w:t>请求规范</w:t>
      </w:r>
    </w:p>
    <w:p>
      <w:pPr>
        <w:spacing w:before="0" w:after="120" w:line="300" w:lineRule="auto"/>
      </w:pPr>
      <w:r>
        <w:t>统一使用：</w:t>
      </w:r>
    </w:p>
    <w:p>
      <w:pPr>
        <w:pStyle w:val="ListBullet"/>
        <w:spacing w:before="0" w:after="40" w:line="276" w:lineRule="auto"/>
      </w:pPr>
      <w:r>
        <w:t>HTTPS GET</w:t>
      </w:r>
    </w:p>
    <w:p>
      <w:pPr>
        <w:pStyle w:val="ListBullet"/>
        <w:spacing w:before="0" w:after="40" w:line="276" w:lineRule="auto"/>
      </w:pPr>
      <w:r>
        <w:t>JSON 格式</w:t>
      </w:r>
    </w:p>
    <w:p>
      <w:pPr>
        <w:pStyle w:val="ListBullet"/>
        <w:spacing w:before="0" w:after="40" w:line="276" w:lineRule="auto"/>
      </w:pPr>
      <w:r>
        <w:t>series/observations endpoint</w:t>
      </w:r>
    </w:p>
    <w:p>
      <w:pPr>
        <w:pStyle w:val="ListBullet"/>
        <w:spacing w:before="0" w:after="40" w:line="276" w:lineRule="auto"/>
      </w:pPr>
      <w:r>
        <w:t>Zod 校验 response shape</w:t>
      </w:r>
    </w:p>
    <w:p>
      <w:pPr>
        <w:pStyle w:val="ListBullet"/>
        <w:spacing w:before="0" w:after="40" w:line="276" w:lineRule="auto"/>
      </w:pPr>
      <w:r>
        <w:t>upsert 到 `observations`</w:t>
      </w:r>
    </w:p>
    <w:p/>
    <w:p>
      <w:pPr>
        <w:pStyle w:val="Heading2"/>
        <w:spacing w:before="80" w:after="120" w:line="276" w:lineRule="auto"/>
      </w:pPr>
      <w:r>
        <w:t>示例 URL 模式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https://api.stlouisfed.org/fred/series/observations?series_id=VIXCLS&amp;api_key=YOUR_KEY&amp;file_type=json</w:t>
      </w:r>
    </w:p>
    <w:p/>
    <w:p>
      <w:pPr>
        <w:pStyle w:val="Heading1"/>
        <w:spacing w:before="160" w:after="120" w:line="276" w:lineRule="auto"/>
      </w:pPr>
      <w:r>
        <w:t>15.2 同步任务设计</w:t>
      </w:r>
    </w:p>
    <w:p/>
    <w:p>
      <w:pPr>
        <w:pStyle w:val="Heading2"/>
        <w:spacing w:before="80" w:after="120" w:line="276" w:lineRule="auto"/>
      </w:pPr>
      <w:r>
        <w:t>内部路由</w:t>
      </w:r>
    </w:p>
    <w:p>
      <w:pPr>
        <w:pStyle w:val="ListBullet"/>
        <w:spacing w:before="0" w:after="40" w:line="276" w:lineRule="auto"/>
      </w:pPr>
      <w:r>
        <w:t>`POST /api/internal/sync/fred`</w:t>
      </w:r>
    </w:p>
    <w:p>
      <w:pPr>
        <w:pStyle w:val="ListBullet"/>
        <w:spacing w:before="0" w:after="40" w:line="276" w:lineRule="auto"/>
      </w:pPr>
      <w:r>
        <w:t>`POST /api/internal/sync/chicagofed`</w:t>
      </w:r>
    </w:p>
    <w:p>
      <w:pPr>
        <w:pStyle w:val="ListBullet"/>
        <w:spacing w:before="0" w:after="40" w:line="276" w:lineRule="auto"/>
      </w:pPr>
      <w:r>
        <w:t>`POST /api/internal/compute-snapshots`</w:t>
      </w:r>
    </w:p>
    <w:p>
      <w:pPr>
        <w:pStyle w:val="ListBullet"/>
        <w:spacing w:before="0" w:after="40" w:line="276" w:lineRule="auto"/>
      </w:pPr>
      <w:r>
        <w:t>`POST /api/internal/revalidate`</w:t>
      </w:r>
    </w:p>
    <w:p/>
    <w:p>
      <w:pPr>
        <w:pStyle w:val="Heading2"/>
        <w:spacing w:before="80" w:after="120" w:line="276" w:lineRule="auto"/>
      </w:pPr>
      <w:r>
        <w:t>执行顺序</w:t>
      </w:r>
    </w:p>
    <w:p>
      <w:pPr>
        <w:pStyle w:val="ListNumber"/>
        <w:spacing w:before="0" w:after="40" w:line="276" w:lineRule="auto"/>
      </w:pPr>
      <w:r>
        <w:t>拉取新数据</w:t>
      </w:r>
    </w:p>
    <w:p>
      <w:pPr>
        <w:pStyle w:val="ListNumber"/>
        <w:spacing w:before="0" w:after="40" w:line="276" w:lineRule="auto"/>
      </w:pPr>
      <w:r>
        <w:t>upsert observations</w:t>
      </w:r>
    </w:p>
    <w:p>
      <w:pPr>
        <w:pStyle w:val="ListNumber"/>
        <w:spacing w:before="0" w:after="40" w:line="276" w:lineRule="auto"/>
      </w:pPr>
      <w:r>
        <w:t>计算 snapshots</w:t>
      </w:r>
    </w:p>
    <w:p>
      <w:pPr>
        <w:pStyle w:val="ListNumber"/>
        <w:spacing w:before="0" w:after="40" w:line="276" w:lineRule="auto"/>
      </w:pPr>
      <w:r>
        <w:t>生成 commentary</w:t>
      </w:r>
    </w:p>
    <w:p>
      <w:pPr>
        <w:pStyle w:val="ListNumber"/>
        <w:spacing w:before="0" w:after="40" w:line="276" w:lineRule="auto"/>
      </w:pPr>
      <w:r>
        <w:t>触发 cache revalidation</w:t>
      </w:r>
    </w:p>
    <w:p/>
    <w:p>
      <w:pPr>
        <w:pStyle w:val="Heading1"/>
        <w:spacing w:before="160" w:after="120" w:line="276" w:lineRule="auto"/>
      </w:pPr>
      <w:r>
        <w:t>15.3 定时任务策略</w:t>
      </w:r>
    </w:p>
    <w:p/>
    <w:p>
      <w:pPr>
        <w:pStyle w:val="Heading2"/>
        <w:spacing w:before="80" w:after="120" w:line="276" w:lineRule="auto"/>
      </w:pPr>
      <w:r>
        <w:t>生产建议</w:t>
      </w:r>
    </w:p>
    <w:p>
      <w:pPr>
        <w:pStyle w:val="ListBullet"/>
        <w:spacing w:before="0" w:after="40" w:line="276" w:lineRule="auto"/>
      </w:pPr>
      <w:r>
        <w:t>使用 Vercel Pro 的 Cron</w:t>
      </w:r>
    </w:p>
    <w:p>
      <w:pPr>
        <w:pStyle w:val="ListBullet"/>
        <w:spacing w:before="0" w:after="40" w:line="276" w:lineRule="auto"/>
      </w:pPr>
      <w:r>
        <w:t>每个美股交易日盘后同步一次日频数据</w:t>
      </w:r>
    </w:p>
    <w:p>
      <w:pPr>
        <w:pStyle w:val="ListBullet"/>
        <w:spacing w:before="0" w:after="40" w:line="276" w:lineRule="auto"/>
      </w:pPr>
      <w:r>
        <w:t>每周三在 NFCI 更新后再跑一次周频同步</w:t>
      </w:r>
    </w:p>
    <w:p>
      <w:pPr>
        <w:pStyle w:val="ListBullet"/>
        <w:spacing w:before="0" w:after="40" w:line="276" w:lineRule="auto"/>
      </w:pPr>
      <w:r>
        <w:t>设置一条手动可触发的重跑入口</w:t>
      </w:r>
    </w:p>
    <w:p/>
    <w:p>
      <w:pPr>
        <w:pStyle w:val="Heading2"/>
        <w:spacing w:before="80" w:after="120" w:line="276" w:lineRule="auto"/>
      </w:pPr>
      <w:r>
        <w:t>兼容方案</w:t>
      </w:r>
    </w:p>
    <w:p>
      <w:pPr>
        <w:spacing w:before="0" w:after="120" w:line="300" w:lineRule="auto"/>
      </w:pPr>
      <w:r>
        <w:t>如果不想绑定 Vercel Pro：</w:t>
      </w:r>
    </w:p>
    <w:p>
      <w:pPr>
        <w:pStyle w:val="ListBullet"/>
        <w:spacing w:before="0" w:after="40" w:line="276" w:lineRule="auto"/>
      </w:pPr>
      <w:r>
        <w:t>GitHub Actions / 外部 scheduler 调用内部 sync endpoint</w:t>
      </w:r>
    </w:p>
    <w:p>
      <w:pPr>
        <w:pStyle w:val="ListBullet"/>
        <w:spacing w:before="0" w:after="40" w:line="276" w:lineRule="auto"/>
      </w:pPr>
      <w:r>
        <w:t>endpoint 使用 `CRON_SECRET` 验证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16. 缓存与重验证策略</w:t>
      </w:r>
    </w:p>
    <w:p/>
    <w:p>
      <w:pPr>
        <w:pStyle w:val="Heading1"/>
        <w:spacing w:before="160" w:after="120" w:line="276" w:lineRule="auto"/>
      </w:pPr>
      <w:r>
        <w:t>16.1 页面层策略</w:t>
      </w:r>
    </w:p>
    <w:p/>
    <w:p>
      <w:pPr>
        <w:pStyle w:val="ListBullet"/>
        <w:spacing w:before="0" w:after="40" w:line="276" w:lineRule="auto"/>
      </w:pPr>
      <w:r>
        <w:t>首页与指标页：服务器渲染</w:t>
      </w:r>
    </w:p>
    <w:p>
      <w:pPr>
        <w:pStyle w:val="ListBullet"/>
        <w:spacing w:before="0" w:after="40" w:line="276" w:lineRule="auto"/>
      </w:pPr>
      <w:r>
        <w:t>数据由数据库读取，不直接读第三方接口</w:t>
      </w:r>
    </w:p>
    <w:p>
      <w:pPr>
        <w:pStyle w:val="ListBullet"/>
        <w:spacing w:before="0" w:after="40" w:line="276" w:lineRule="auto"/>
      </w:pPr>
      <w:r>
        <w:t>快照层作为主要读取源</w:t>
      </w:r>
    </w:p>
    <w:p>
      <w:pPr>
        <w:pStyle w:val="ListBullet"/>
        <w:spacing w:before="0" w:after="40" w:line="276" w:lineRule="auto"/>
      </w:pPr>
      <w:r>
        <w:t>图表历史序列按时间窗口查询</w:t>
      </w:r>
    </w:p>
    <w:p/>
    <w:p>
      <w:pPr>
        <w:pStyle w:val="Heading1"/>
        <w:spacing w:before="160" w:after="120" w:line="276" w:lineRule="auto"/>
      </w:pPr>
      <w:r>
        <w:t>16.2 Next.js 缓存策略</w:t>
      </w:r>
    </w:p>
    <w:p/>
    <w:p>
      <w:pPr>
        <w:pStyle w:val="Heading2"/>
        <w:spacing w:before="80" w:after="120" w:line="276" w:lineRule="auto"/>
      </w:pPr>
      <w:r>
        <w:t>使用原则</w:t>
      </w:r>
    </w:p>
    <w:p>
      <w:pPr>
        <w:pStyle w:val="ListBullet"/>
        <w:spacing w:before="0" w:after="40" w:line="276" w:lineRule="auto"/>
      </w:pPr>
      <w:r>
        <w:t>页面尽量读本地数据库</w:t>
      </w:r>
    </w:p>
    <w:p>
      <w:pPr>
        <w:pStyle w:val="ListBullet"/>
        <w:spacing w:before="0" w:after="40" w:line="276" w:lineRule="auto"/>
      </w:pPr>
      <w:r>
        <w:t>数据同步成功后，使用 tag 级别重验证</w:t>
      </w:r>
    </w:p>
    <w:p>
      <w:pPr>
        <w:pStyle w:val="ListBullet"/>
        <w:spacing w:before="0" w:after="40" w:line="276" w:lineRule="auto"/>
      </w:pPr>
      <w:r>
        <w:t>避免客户端重复请求同一份首屏数据</w:t>
      </w:r>
    </w:p>
    <w:p/>
    <w:p>
      <w:pPr>
        <w:pStyle w:val="Heading2"/>
        <w:spacing w:before="80" w:after="120" w:line="276" w:lineRule="auto"/>
      </w:pPr>
      <w:r>
        <w:t>建议 tag</w:t>
      </w:r>
    </w:p>
    <w:p>
      <w:pPr>
        <w:pStyle w:val="ListBullet"/>
        <w:spacing w:before="0" w:after="40" w:line="276" w:lineRule="auto"/>
      </w:pPr>
      <w:r>
        <w:t>`summary`</w:t>
      </w:r>
    </w:p>
    <w:p>
      <w:pPr>
        <w:pStyle w:val="ListBullet"/>
        <w:spacing w:before="0" w:after="40" w:line="276" w:lineRule="auto"/>
      </w:pPr>
      <w:r>
        <w:t>`indicator:vix`</w:t>
      </w:r>
    </w:p>
    <w:p>
      <w:pPr>
        <w:pStyle w:val="ListBullet"/>
        <w:spacing w:before="0" w:after="40" w:line="276" w:lineRule="auto"/>
      </w:pPr>
      <w:r>
        <w:t>`indicator:vxn`</w:t>
      </w:r>
    </w:p>
    <w:p>
      <w:pPr>
        <w:pStyle w:val="ListBullet"/>
        <w:spacing w:before="0" w:after="40" w:line="276" w:lineRule="auto"/>
      </w:pPr>
      <w:r>
        <w:t>`indicator:rvx`</w:t>
      </w:r>
    </w:p>
    <w:p>
      <w:pPr>
        <w:pStyle w:val="ListBullet"/>
        <w:spacing w:before="0" w:after="40" w:line="276" w:lineRule="auto"/>
      </w:pPr>
      <w:r>
        <w:t>`indicator:vxd`</w:t>
      </w:r>
    </w:p>
    <w:p>
      <w:pPr>
        <w:pStyle w:val="ListBullet"/>
        <w:spacing w:before="0" w:after="40" w:line="276" w:lineRule="auto"/>
      </w:pPr>
      <w:r>
        <w:t>`indicator:stlfsi4`</w:t>
      </w:r>
    </w:p>
    <w:p>
      <w:pPr>
        <w:pStyle w:val="ListBullet"/>
        <w:spacing w:before="0" w:after="40" w:line="276" w:lineRule="auto"/>
      </w:pPr>
      <w:r>
        <w:t>`indicator:nfci`</w:t>
      </w:r>
    </w:p>
    <w:p>
      <w:pPr>
        <w:pStyle w:val="ListBullet"/>
        <w:spacing w:before="0" w:after="40" w:line="276" w:lineRule="auto"/>
      </w:pPr>
      <w:r>
        <w:t>`articles`</w:t>
      </w:r>
    </w:p>
    <w:p>
      <w:pPr>
        <w:pStyle w:val="ListBullet"/>
        <w:spacing w:before="0" w:after="40" w:line="276" w:lineRule="auto"/>
      </w:pPr>
      <w:r>
        <w:t>`data-sources`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17. API 设计（公开 API + 内部 API）</w:t>
      </w:r>
    </w:p>
    <w:p/>
    <w:p>
      <w:pPr>
        <w:pStyle w:val="Heading1"/>
        <w:spacing w:before="160" w:after="120" w:line="276" w:lineRule="auto"/>
      </w:pPr>
      <w:r>
        <w:t>17.1 公开 API</w:t>
      </w:r>
    </w:p>
    <w:p/>
    <w:p>
      <w:pPr>
        <w:pStyle w:val="Heading2"/>
        <w:spacing w:before="80" w:after="120" w:line="276" w:lineRule="auto"/>
      </w:pPr>
      <w:r>
        <w:t>`GET /api/v1/summary`</w:t>
      </w:r>
    </w:p>
    <w:p>
      <w:pPr>
        <w:spacing w:before="0" w:after="120" w:line="300" w:lineRule="auto"/>
      </w:pPr>
      <w:r>
        <w:t>返回首页概览所需信息。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{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"asOf": "2026-05-27",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"riskScore": 61,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"stateLabel": "风险升温",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"headline": "权益端波动升温，系统性压力仍未共振",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"topDrivers": ["vix", "vxn", "rvx"],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"cards": [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{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"slug": "vix",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"name": "VIX",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"latestValue": 16.29,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"change1d": -0.72,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"pctRank1y": 0.61,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"stateLabel": "观察"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}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]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}</w:t>
      </w:r>
    </w:p>
    <w:p/>
    <w:p>
      <w:pPr>
        <w:pStyle w:val="Heading2"/>
        <w:spacing w:before="80" w:after="120" w:line="276" w:lineRule="auto"/>
      </w:pPr>
      <w:r>
        <w:t>`GET /api/v1/indicators`</w:t>
      </w:r>
    </w:p>
    <w:p>
      <w:pPr>
        <w:spacing w:before="0" w:after="120" w:line="300" w:lineRule="auto"/>
      </w:pPr>
      <w:r>
        <w:t>返回指标列表。</w:t>
      </w:r>
    </w:p>
    <w:p/>
    <w:p>
      <w:pPr>
        <w:pStyle w:val="Heading2"/>
        <w:spacing w:before="80" w:after="120" w:line="276" w:lineRule="auto"/>
      </w:pPr>
      <w:r>
        <w:t>`GET /api/v1/indicators/:slug`</w:t>
      </w:r>
    </w:p>
    <w:p>
      <w:pPr>
        <w:spacing w:before="0" w:after="120" w:line="300" w:lineRule="auto"/>
      </w:pPr>
      <w:r>
        <w:t>返回单指标元信息与快照。</w:t>
      </w:r>
    </w:p>
    <w:p/>
    <w:p>
      <w:pPr>
        <w:pStyle w:val="Heading2"/>
        <w:spacing w:before="80" w:after="120" w:line="276" w:lineRule="auto"/>
      </w:pPr>
      <w:r>
        <w:t>`GET /api/v1/indicators/:slug/observations?range=1y`</w:t>
      </w:r>
    </w:p>
    <w:p>
      <w:pPr>
        <w:spacing w:before="0" w:after="120" w:line="300" w:lineRule="auto"/>
      </w:pPr>
      <w:r>
        <w:t>返回历史时间序列。</w:t>
      </w:r>
    </w:p>
    <w:p/>
    <w:p>
      <w:pPr>
        <w:pStyle w:val="Heading2"/>
        <w:spacing w:before="80" w:after="120" w:line="276" w:lineRule="auto"/>
      </w:pPr>
      <w:r>
        <w:t>`GET /api/v1/commentary?scope=daily`</w:t>
      </w:r>
    </w:p>
    <w:p>
      <w:pPr>
        <w:spacing w:before="0" w:after="120" w:line="300" w:lineRule="auto"/>
      </w:pPr>
      <w:r>
        <w:t>返回最新自动解读。</w:t>
      </w:r>
    </w:p>
    <w:p/>
    <w:p>
      <w:pPr>
        <w:pStyle w:val="Heading1"/>
        <w:spacing w:before="160" w:after="120" w:line="276" w:lineRule="auto"/>
      </w:pPr>
      <w:r>
        <w:t>17.2 内部 API</w:t>
      </w:r>
    </w:p>
    <w:p/>
    <w:p>
      <w:pPr>
        <w:pStyle w:val="Heading2"/>
        <w:spacing w:before="80" w:after="120" w:line="276" w:lineRule="auto"/>
      </w:pPr>
      <w:r>
        <w:t>`POST /api/internal/sync/fred`</w:t>
      </w:r>
    </w:p>
    <w:p>
      <w:pPr>
        <w:pStyle w:val="ListBullet"/>
        <w:spacing w:before="0" w:after="40" w:line="276" w:lineRule="auto"/>
      </w:pPr>
      <w:r>
        <w:t>Header: `Authorization: Bearer ${CRON_SECRET}`</w:t>
      </w:r>
    </w:p>
    <w:p>
      <w:pPr>
        <w:pStyle w:val="ListBullet"/>
        <w:spacing w:before="0" w:after="40" w:line="276" w:lineRule="auto"/>
      </w:pPr>
      <w:r>
        <w:t>功能：拉取全部 FRED 系列</w:t>
      </w:r>
    </w:p>
    <w:p/>
    <w:p>
      <w:pPr>
        <w:pStyle w:val="Heading2"/>
        <w:spacing w:before="80" w:after="120" w:line="276" w:lineRule="auto"/>
      </w:pPr>
      <w:r>
        <w:t>`POST /api/internal/compute-snapshots`</w:t>
      </w:r>
    </w:p>
    <w:p>
      <w:pPr>
        <w:pStyle w:val="ListBullet"/>
        <w:spacing w:before="0" w:after="40" w:line="276" w:lineRule="auto"/>
      </w:pPr>
      <w:r>
        <w:t>功能：重算快照和风险分数</w:t>
      </w:r>
    </w:p>
    <w:p/>
    <w:p>
      <w:pPr>
        <w:pStyle w:val="Heading2"/>
        <w:spacing w:before="80" w:after="120" w:line="276" w:lineRule="auto"/>
      </w:pPr>
      <w:r>
        <w:t>`POST /api/internal/revalidate`</w:t>
      </w:r>
    </w:p>
    <w:p>
      <w:pPr>
        <w:pStyle w:val="ListBullet"/>
        <w:spacing w:before="0" w:after="40" w:line="276" w:lineRule="auto"/>
      </w:pPr>
      <w:r>
        <w:t>功能：按 tag 重建缓存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18. 前端组件设计</w:t>
      </w:r>
    </w:p>
    <w:p/>
    <w:p>
      <w:pPr>
        <w:pStyle w:val="Heading1"/>
        <w:spacing w:before="160" w:after="120" w:line="276" w:lineRule="auto"/>
      </w:pPr>
      <w:r>
        <w:t>18.1 通用组件</w:t>
      </w:r>
    </w:p>
    <w:p/>
    <w:p>
      <w:pPr>
        <w:pStyle w:val="ListBullet"/>
        <w:spacing w:before="0" w:after="40" w:line="276" w:lineRule="auto"/>
      </w:pPr>
      <w:r>
        <w:t>`PageHeader`</w:t>
      </w:r>
    </w:p>
    <w:p>
      <w:pPr>
        <w:pStyle w:val="ListBullet"/>
        <w:spacing w:before="0" w:after="40" w:line="276" w:lineRule="auto"/>
      </w:pPr>
      <w:r>
        <w:t>`MetricCard`</w:t>
      </w:r>
    </w:p>
    <w:p>
      <w:pPr>
        <w:pStyle w:val="ListBullet"/>
        <w:spacing w:before="0" w:after="40" w:line="276" w:lineRule="auto"/>
      </w:pPr>
      <w:r>
        <w:t>`Sparkline`</w:t>
      </w:r>
    </w:p>
    <w:p>
      <w:pPr>
        <w:pStyle w:val="ListBullet"/>
        <w:spacing w:before="0" w:after="40" w:line="276" w:lineRule="auto"/>
      </w:pPr>
      <w:r>
        <w:t>`TimeRangeTabs`</w:t>
      </w:r>
    </w:p>
    <w:p>
      <w:pPr>
        <w:pStyle w:val="ListBullet"/>
        <w:spacing w:before="0" w:after="40" w:line="276" w:lineRule="auto"/>
      </w:pPr>
      <w:r>
        <w:t>`ChartPanel`</w:t>
      </w:r>
    </w:p>
    <w:p>
      <w:pPr>
        <w:pStyle w:val="ListBullet"/>
        <w:spacing w:before="0" w:after="40" w:line="276" w:lineRule="auto"/>
      </w:pPr>
      <w:r>
        <w:t>`SourceBadge`</w:t>
      </w:r>
    </w:p>
    <w:p>
      <w:pPr>
        <w:pStyle w:val="ListBullet"/>
        <w:spacing w:before="0" w:after="40" w:line="276" w:lineRule="auto"/>
      </w:pPr>
      <w:r>
        <w:t>`FreshnessBadge`</w:t>
      </w:r>
    </w:p>
    <w:p>
      <w:pPr>
        <w:pStyle w:val="ListBullet"/>
        <w:spacing w:before="0" w:after="40" w:line="276" w:lineRule="auto"/>
      </w:pPr>
      <w:r>
        <w:t>`StateBadge`</w:t>
      </w:r>
    </w:p>
    <w:p>
      <w:pPr>
        <w:pStyle w:val="ListBullet"/>
        <w:spacing w:before="0" w:after="40" w:line="276" w:lineRule="auto"/>
      </w:pPr>
      <w:r>
        <w:t>`CommentaryBlock`</w:t>
      </w:r>
    </w:p>
    <w:p>
      <w:pPr>
        <w:pStyle w:val="ListBullet"/>
        <w:spacing w:before="0" w:after="40" w:line="276" w:lineRule="auto"/>
      </w:pPr>
      <w:r>
        <w:t>`EmptyState`</w:t>
      </w:r>
    </w:p>
    <w:p>
      <w:pPr>
        <w:pStyle w:val="ListBullet"/>
        <w:spacing w:before="0" w:after="40" w:line="276" w:lineRule="auto"/>
      </w:pPr>
      <w:r>
        <w:t>`DisclaimerBlock`</w:t>
      </w:r>
    </w:p>
    <w:p/>
    <w:p>
      <w:pPr>
        <w:pStyle w:val="Heading1"/>
        <w:spacing w:before="160" w:after="120" w:line="276" w:lineRule="auto"/>
      </w:pPr>
      <w:r>
        <w:t>18.2 首页专属组件</w:t>
      </w:r>
    </w:p>
    <w:p/>
    <w:p>
      <w:pPr>
        <w:pStyle w:val="ListBullet"/>
        <w:spacing w:before="0" w:after="40" w:line="276" w:lineRule="auto"/>
      </w:pPr>
      <w:r>
        <w:t>`RiskScoreGauge`</w:t>
      </w:r>
    </w:p>
    <w:p>
      <w:pPr>
        <w:pStyle w:val="ListBullet"/>
        <w:spacing w:before="0" w:after="40" w:line="276" w:lineRule="auto"/>
      </w:pPr>
      <w:r>
        <w:t>`DriverPills`</w:t>
      </w:r>
    </w:p>
    <w:p>
      <w:pPr>
        <w:pStyle w:val="ListBullet"/>
        <w:spacing w:before="0" w:after="40" w:line="276" w:lineRule="auto"/>
      </w:pPr>
      <w:r>
        <w:t>`DashboardGrid`</w:t>
      </w:r>
    </w:p>
    <w:p>
      <w:pPr>
        <w:pStyle w:val="ListBullet"/>
        <w:spacing w:before="0" w:after="40" w:line="276" w:lineRule="auto"/>
      </w:pPr>
      <w:r>
        <w:t>`HowToReadCta`</w:t>
      </w:r>
    </w:p>
    <w:p>
      <w:pPr>
        <w:pStyle w:val="ListBullet"/>
        <w:spacing w:before="0" w:after="40" w:line="276" w:lineRule="auto"/>
      </w:pPr>
      <w:r>
        <w:t>`MethodologyPreview`</w:t>
      </w:r>
    </w:p>
    <w:p/>
    <w:p>
      <w:pPr>
        <w:pStyle w:val="Heading1"/>
        <w:spacing w:before="160" w:after="120" w:line="276" w:lineRule="auto"/>
      </w:pPr>
      <w:r>
        <w:t>18.3 指标页专属组件</w:t>
      </w:r>
    </w:p>
    <w:p/>
    <w:p>
      <w:pPr>
        <w:pStyle w:val="ListBullet"/>
        <w:spacing w:before="0" w:after="40" w:line="276" w:lineRule="auto"/>
      </w:pPr>
      <w:r>
        <w:t>`IndicatorHero`</w:t>
      </w:r>
    </w:p>
    <w:p>
      <w:pPr>
        <w:pStyle w:val="ListBullet"/>
        <w:spacing w:before="0" w:after="40" w:line="276" w:lineRule="auto"/>
      </w:pPr>
      <w:r>
        <w:t>`IndicatorDefinition`</w:t>
      </w:r>
    </w:p>
    <w:p>
      <w:pPr>
        <w:pStyle w:val="ListBullet"/>
        <w:spacing w:before="0" w:after="40" w:line="276" w:lineRule="auto"/>
      </w:pPr>
      <w:r>
        <w:t>`IndicatorChart`</w:t>
      </w:r>
    </w:p>
    <w:p>
      <w:pPr>
        <w:pStyle w:val="ListBullet"/>
        <w:spacing w:before="0" w:after="40" w:line="276" w:lineRule="auto"/>
      </w:pPr>
      <w:r>
        <w:t>`IndicatorStats`</w:t>
      </w:r>
    </w:p>
    <w:p>
      <w:pPr>
        <w:pStyle w:val="ListBullet"/>
        <w:spacing w:before="0" w:after="40" w:line="276" w:lineRule="auto"/>
      </w:pPr>
      <w:r>
        <w:t>`InterpretationGuide`</w:t>
      </w:r>
    </w:p>
    <w:p>
      <w:pPr>
        <w:pStyle w:val="ListBullet"/>
        <w:spacing w:before="0" w:after="40" w:line="276" w:lineRule="auto"/>
      </w:pPr>
      <w:r>
        <w:t>`MisreadWarnings`</w:t>
      </w:r>
    </w:p>
    <w:p>
      <w:pPr>
        <w:pStyle w:val="ListBullet"/>
        <w:spacing w:before="0" w:after="40" w:line="276" w:lineRule="auto"/>
      </w:pPr>
      <w:r>
        <w:t>`ReadWithTheseIndicators`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19. 代码目录结构建议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app/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(site)/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indicators/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[slug]/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articles/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[slug]/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how-to-read/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data-sources/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about/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privacy/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terms/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page.tsx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api/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v1/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summary/route.ts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indicators/route.ts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indicators/[slug]/route.ts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indicators/[slug]/observations/route.ts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commentary/route.ts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internal/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sync/fred/route.ts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sync/chicagofed/route.ts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compute-snapshots/route.ts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  revalidate/route.ts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sitemap.ts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robots.ts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opengraph-image.tsx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icon.tsx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error.tsx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not-found.tsx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layout.tsx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components/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cards/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charts/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layout/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indicators/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commentary/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shared/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content/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articles/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pages/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lib/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db/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client.ts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schema.ts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queries.ts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indicators/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configs.ts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compute.ts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labels.ts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adapters/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fred.ts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chicagofed.ts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cboe.ts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commentary/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rules.ts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templates.ts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seo/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metadata.ts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structured-data.ts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utils/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dates.ts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numbers.ts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arrays.ts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  env.ts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scripts/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seed-indicators.ts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backfill-fred.ts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recompute-snapshots.ts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tests/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unit/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integration/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 xml:space="preserve">  e2e/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20. 工程约束（给 Codex 的明确规则）</w:t>
      </w:r>
    </w:p>
    <w:p/>
    <w:p>
      <w:pPr>
        <w:pStyle w:val="ListNumber"/>
        <w:spacing w:before="0" w:after="40" w:line="276" w:lineRule="auto"/>
      </w:pPr>
      <w:r>
        <w:t>默认使用 Server Components。</w:t>
      </w:r>
    </w:p>
    <w:p>
      <w:pPr>
        <w:pStyle w:val="ListNumber"/>
        <w:spacing w:before="0" w:after="40" w:line="276" w:lineRule="auto"/>
      </w:pPr>
      <w:r>
        <w:t>只在图表、筛选器、tabs 这类需要交互的地方使用 Client Components。</w:t>
      </w:r>
    </w:p>
    <w:p>
      <w:pPr>
        <w:pStyle w:val="ListNumber"/>
        <w:spacing w:before="0" w:after="40" w:line="276" w:lineRule="auto"/>
      </w:pPr>
      <w:r>
        <w:t>页面不得直接请求第三方数据源，统一走 adapter。</w:t>
      </w:r>
    </w:p>
    <w:p>
      <w:pPr>
        <w:pStyle w:val="ListNumber"/>
        <w:spacing w:before="0" w:after="40" w:line="276" w:lineRule="auto"/>
      </w:pPr>
      <w:r>
        <w:t>数据先落库，页面只读库。</w:t>
      </w:r>
    </w:p>
    <w:p>
      <w:pPr>
        <w:pStyle w:val="ListNumber"/>
        <w:spacing w:before="0" w:after="40" w:line="276" w:lineRule="auto"/>
      </w:pPr>
      <w:r>
        <w:t>不在首版公开页面使用 `licensed_only` 或 `review_required` 且未经确认的数据。</w:t>
      </w:r>
    </w:p>
    <w:p>
      <w:pPr>
        <w:pStyle w:val="ListNumber"/>
        <w:spacing w:before="0" w:after="40" w:line="276" w:lineRule="auto"/>
      </w:pPr>
      <w:r>
        <w:t>所有对外展示的指标都必须附带：</w:t>
      </w:r>
    </w:p>
    <w:p>
      <w:pPr>
        <w:pStyle w:val="ListBullet"/>
        <w:spacing w:before="0" w:after="40" w:line="276" w:lineRule="auto"/>
      </w:pPr>
      <w:r>
        <w:t>数据来源</w:t>
      </w:r>
    </w:p>
    <w:p>
      <w:pPr>
        <w:pStyle w:val="ListBullet"/>
        <w:spacing w:before="0" w:after="40" w:line="276" w:lineRule="auto"/>
      </w:pPr>
      <w:r>
        <w:t>更新时间</w:t>
      </w:r>
    </w:p>
    <w:p>
      <w:pPr>
        <w:pStyle w:val="ListBullet"/>
        <w:spacing w:before="0" w:after="40" w:line="276" w:lineRule="auto"/>
      </w:pPr>
      <w:r>
        <w:t>更新频率</w:t>
      </w:r>
    </w:p>
    <w:p>
      <w:pPr>
        <w:pStyle w:val="ListBullet"/>
        <w:spacing w:before="0" w:after="40" w:line="276" w:lineRule="auto"/>
      </w:pPr>
      <w:r>
        <w:t>免责声明</w:t>
      </w:r>
    </w:p>
    <w:p>
      <w:pPr>
        <w:pStyle w:val="ListNumber"/>
        <w:spacing w:before="0" w:after="40" w:line="276" w:lineRule="auto"/>
      </w:pPr>
      <w:r>
        <w:t>所有 API response 必须用 Zod 做出站校验或静态类型约束。</w:t>
      </w:r>
    </w:p>
    <w:p>
      <w:pPr>
        <w:pStyle w:val="ListNumber"/>
        <w:spacing w:before="0" w:after="40" w:line="276" w:lineRule="auto"/>
      </w:pPr>
      <w:r>
        <w:t>所有内部 cron/sync 接口必须做 secret 校验。</w:t>
      </w:r>
    </w:p>
    <w:p>
      <w:pPr>
        <w:pStyle w:val="ListNumber"/>
        <w:spacing w:before="0" w:after="40" w:line="276" w:lineRule="auto"/>
      </w:pPr>
      <w:r>
        <w:t>所有页面必须有 metadata。</w:t>
      </w:r>
    </w:p>
    <w:p>
      <w:pPr>
        <w:pStyle w:val="ListNumber"/>
        <w:spacing w:before="0" w:after="40" w:line="276" w:lineRule="auto"/>
      </w:pPr>
      <w:r>
        <w:t>所有文章必须可静态生成。</w:t>
      </w:r>
    </w:p>
    <w:p>
      <w:pPr>
        <w:pStyle w:val="ListNumber"/>
        <w:spacing w:before="0" w:after="40" w:line="276" w:lineRule="auto"/>
      </w:pPr>
      <w:r>
        <w:t>首页首屏不得依赖客户端 `useEffect` 才拿到主数据。</w:t>
      </w:r>
    </w:p>
    <w:p>
      <w:pPr>
        <w:pStyle w:val="ListNumber"/>
        <w:spacing w:before="0" w:after="40" w:line="276" w:lineRule="auto"/>
      </w:pPr>
      <w:r>
        <w:t>图表库不能把整个页面变成 CSR。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21. 测试与可观测性</w:t>
      </w:r>
    </w:p>
    <w:p/>
    <w:p>
      <w:pPr>
        <w:pStyle w:val="Heading1"/>
        <w:spacing w:before="160" w:after="120" w:line="276" w:lineRule="auto"/>
      </w:pPr>
      <w:r>
        <w:t>21.1 必测内容</w:t>
      </w:r>
    </w:p>
    <w:p/>
    <w:p>
      <w:pPr>
        <w:pStyle w:val="Heading2"/>
        <w:spacing w:before="80" w:after="120" w:line="276" w:lineRule="auto"/>
      </w:pPr>
      <w:r>
        <w:t>单元测试</w:t>
      </w:r>
    </w:p>
    <w:p>
      <w:pPr>
        <w:pStyle w:val="ListBullet"/>
        <w:spacing w:before="0" w:after="40" w:line="276" w:lineRule="auto"/>
      </w:pPr>
      <w:r>
        <w:t>分位数计算</w:t>
      </w:r>
    </w:p>
    <w:p>
      <w:pPr>
        <w:pStyle w:val="ListBullet"/>
        <w:spacing w:before="0" w:after="40" w:line="276" w:lineRule="auto"/>
      </w:pPr>
      <w:r>
        <w:t>z-score 计算</w:t>
      </w:r>
    </w:p>
    <w:p>
      <w:pPr>
        <w:pStyle w:val="ListBullet"/>
        <w:spacing w:before="0" w:after="40" w:line="276" w:lineRule="auto"/>
      </w:pPr>
      <w:r>
        <w:t>风险分数计算</w:t>
      </w:r>
    </w:p>
    <w:p>
      <w:pPr>
        <w:pStyle w:val="ListBullet"/>
        <w:spacing w:before="0" w:after="40" w:line="276" w:lineRule="auto"/>
      </w:pPr>
      <w:r>
        <w:t>解读规则输出</w:t>
      </w:r>
    </w:p>
    <w:p>
      <w:pPr>
        <w:pStyle w:val="ListBullet"/>
        <w:spacing w:before="0" w:after="40" w:line="276" w:lineRule="auto"/>
      </w:pPr>
      <w:r>
        <w:t>adapter 解析器</w:t>
      </w:r>
    </w:p>
    <w:p/>
    <w:p>
      <w:pPr>
        <w:pStyle w:val="Heading2"/>
        <w:spacing w:before="80" w:after="120" w:line="276" w:lineRule="auto"/>
      </w:pPr>
      <w:r>
        <w:t>集成测试</w:t>
      </w:r>
    </w:p>
    <w:p>
      <w:pPr>
        <w:pStyle w:val="ListBullet"/>
        <w:spacing w:before="0" w:after="40" w:line="276" w:lineRule="auto"/>
      </w:pPr>
      <w:r>
        <w:t>FRED adapter -&gt; DB upsert</w:t>
      </w:r>
    </w:p>
    <w:p>
      <w:pPr>
        <w:pStyle w:val="ListBullet"/>
        <w:spacing w:before="0" w:after="40" w:line="276" w:lineRule="auto"/>
      </w:pPr>
      <w:r>
        <w:t>compute snapshots</w:t>
      </w:r>
    </w:p>
    <w:p>
      <w:pPr>
        <w:pStyle w:val="ListBullet"/>
        <w:spacing w:before="0" w:after="40" w:line="276" w:lineRule="auto"/>
      </w:pPr>
      <w:r>
        <w:t>summary API response shape</w:t>
      </w:r>
    </w:p>
    <w:p/>
    <w:p>
      <w:pPr>
        <w:pStyle w:val="Heading2"/>
        <w:spacing w:before="80" w:after="120" w:line="276" w:lineRule="auto"/>
      </w:pPr>
      <w:r>
        <w:t>E2E</w:t>
      </w:r>
    </w:p>
    <w:p>
      <w:pPr>
        <w:pStyle w:val="ListBullet"/>
        <w:spacing w:before="0" w:after="40" w:line="276" w:lineRule="auto"/>
      </w:pPr>
      <w:r>
        <w:t>首页首屏可见综合风险卡</w:t>
      </w:r>
    </w:p>
    <w:p>
      <w:pPr>
        <w:pStyle w:val="ListBullet"/>
        <w:spacing w:before="0" w:after="40" w:line="276" w:lineRule="auto"/>
      </w:pPr>
      <w:r>
        <w:t>指标页可正常切换时间范围</w:t>
      </w:r>
    </w:p>
    <w:p>
      <w:pPr>
        <w:pStyle w:val="ListBullet"/>
        <w:spacing w:before="0" w:after="40" w:line="276" w:lineRule="auto"/>
      </w:pPr>
      <w:r>
        <w:t>数据来源页可访问</w:t>
      </w:r>
    </w:p>
    <w:p>
      <w:pPr>
        <w:pStyle w:val="ListBullet"/>
        <w:spacing w:before="0" w:after="40" w:line="276" w:lineRule="auto"/>
      </w:pPr>
      <w:r>
        <w:t>文章页 metadata 正确</w:t>
      </w:r>
    </w:p>
    <w:p>
      <w:pPr>
        <w:pStyle w:val="ListBullet"/>
        <w:spacing w:before="0" w:after="40" w:line="276" w:lineRule="auto"/>
      </w:pPr>
      <w:r>
        <w:t>内部 sync 接口在无 secret 时拒绝访问</w:t>
      </w:r>
    </w:p>
    <w:p/>
    <w:p>
      <w:pPr>
        <w:pStyle w:val="Heading1"/>
        <w:spacing w:before="160" w:after="120" w:line="276" w:lineRule="auto"/>
      </w:pPr>
      <w:r>
        <w:t>21.2 监控建议</w:t>
      </w:r>
    </w:p>
    <w:p>
      <w:pPr>
        <w:pStyle w:val="ListBullet"/>
        <w:spacing w:before="0" w:after="40" w:line="276" w:lineRule="auto"/>
      </w:pPr>
      <w:r>
        <w:t>Sentry：捕获 route handler / page runtime error</w:t>
      </w:r>
    </w:p>
    <w:p>
      <w:pPr>
        <w:pStyle w:val="ListBullet"/>
        <w:spacing w:before="0" w:after="40" w:line="276" w:lineRule="auto"/>
      </w:pPr>
      <w:r>
        <w:t>DB query logging：仅开发和 staging 开启</w:t>
      </w:r>
    </w:p>
    <w:p>
      <w:pPr>
        <w:pStyle w:val="ListBullet"/>
        <w:spacing w:before="0" w:after="40" w:line="276" w:lineRule="auto"/>
      </w:pPr>
      <w:r>
        <w:t>Sync 日志：落 `sync_runs`</w:t>
      </w:r>
    </w:p>
    <w:p>
      <w:pPr>
        <w:pStyle w:val="ListBullet"/>
        <w:spacing w:before="0" w:after="40" w:line="276" w:lineRule="auto"/>
      </w:pPr>
      <w:r>
        <w:t>可选埋点：Plausible 或 PostHog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22. 上线前检查清单</w:t>
      </w:r>
    </w:p>
    <w:p/>
    <w:p>
      <w:pPr>
        <w:pStyle w:val="Heading2"/>
        <w:spacing w:before="80" w:after="120" w:line="276" w:lineRule="auto"/>
      </w:pPr>
      <w:r>
        <w:t>产品</w:t>
      </w:r>
    </w:p>
    <w:p>
      <w:pPr>
        <w:pStyle w:val="ListBullet"/>
        <w:spacing w:before="0" w:after="40" w:line="276" w:lineRule="auto"/>
      </w:pPr>
      <w:r>
        <w:t>首页信息结构清晰</w:t>
      </w:r>
    </w:p>
    <w:p>
      <w:pPr>
        <w:pStyle w:val="ListBullet"/>
        <w:spacing w:before="0" w:after="40" w:line="276" w:lineRule="auto"/>
      </w:pPr>
      <w:r>
        <w:t>每个指标都有解释</w:t>
      </w:r>
    </w:p>
    <w:p>
      <w:pPr>
        <w:pStyle w:val="ListBullet"/>
        <w:spacing w:before="0" w:after="40" w:line="276" w:lineRule="auto"/>
      </w:pPr>
      <w:r>
        <w:t>方法论页可读</w:t>
      </w:r>
    </w:p>
    <w:p>
      <w:pPr>
        <w:pStyle w:val="ListBullet"/>
        <w:spacing w:before="0" w:after="40" w:line="276" w:lineRule="auto"/>
      </w:pPr>
      <w:r>
        <w:t>Data Sources 页完整</w:t>
      </w:r>
    </w:p>
    <w:p/>
    <w:p>
      <w:pPr>
        <w:pStyle w:val="Heading2"/>
        <w:spacing w:before="80" w:after="120" w:line="276" w:lineRule="auto"/>
      </w:pPr>
      <w:r>
        <w:t>工程</w:t>
      </w:r>
    </w:p>
    <w:p>
      <w:pPr>
        <w:pStyle w:val="ListBullet"/>
        <w:spacing w:before="0" w:after="40" w:line="276" w:lineRule="auto"/>
      </w:pPr>
      <w:r>
        <w:t>所有环境变量齐全</w:t>
      </w:r>
    </w:p>
    <w:p>
      <w:pPr>
        <w:pStyle w:val="ListBullet"/>
        <w:spacing w:before="0" w:after="40" w:line="276" w:lineRule="auto"/>
      </w:pPr>
      <w:r>
        <w:t>Cron 能跑</w:t>
      </w:r>
    </w:p>
    <w:p>
      <w:pPr>
        <w:pStyle w:val="ListBullet"/>
        <w:spacing w:before="0" w:after="40" w:line="276" w:lineRule="auto"/>
      </w:pPr>
      <w:r>
        <w:t>手动 sync 能跑</w:t>
      </w:r>
    </w:p>
    <w:p>
      <w:pPr>
        <w:pStyle w:val="ListBullet"/>
        <w:spacing w:before="0" w:after="40" w:line="276" w:lineRule="auto"/>
      </w:pPr>
      <w:r>
        <w:t>缓存重建可用</w:t>
      </w:r>
    </w:p>
    <w:p>
      <w:pPr>
        <w:pStyle w:val="ListBullet"/>
        <w:spacing w:before="0" w:after="40" w:line="276" w:lineRule="auto"/>
      </w:pPr>
      <w:r>
        <w:t>错误页和空状态可用</w:t>
      </w:r>
    </w:p>
    <w:p/>
    <w:p>
      <w:pPr>
        <w:pStyle w:val="Heading2"/>
        <w:spacing w:before="80" w:after="120" w:line="276" w:lineRule="auto"/>
      </w:pPr>
      <w:r>
        <w:t>SEO</w:t>
      </w:r>
    </w:p>
    <w:p>
      <w:pPr>
        <w:pStyle w:val="ListBullet"/>
        <w:spacing w:before="0" w:after="40" w:line="276" w:lineRule="auto"/>
      </w:pPr>
      <w:r>
        <w:t>metadata 完整</w:t>
      </w:r>
    </w:p>
    <w:p>
      <w:pPr>
        <w:pStyle w:val="ListBullet"/>
        <w:spacing w:before="0" w:after="40" w:line="276" w:lineRule="auto"/>
      </w:pPr>
      <w:r>
        <w:t>OG 图可生成</w:t>
      </w:r>
    </w:p>
    <w:p>
      <w:pPr>
        <w:pStyle w:val="ListBullet"/>
        <w:spacing w:before="0" w:after="40" w:line="276" w:lineRule="auto"/>
      </w:pPr>
      <w:r>
        <w:t>sitemap 正常</w:t>
      </w:r>
    </w:p>
    <w:p>
      <w:pPr>
        <w:pStyle w:val="ListBullet"/>
        <w:spacing w:before="0" w:after="40" w:line="276" w:lineRule="auto"/>
      </w:pPr>
      <w:r>
        <w:t>robots 正常</w:t>
      </w:r>
    </w:p>
    <w:p>
      <w:pPr>
        <w:pStyle w:val="ListBullet"/>
        <w:spacing w:before="0" w:after="40" w:line="276" w:lineRule="auto"/>
      </w:pPr>
      <w:r>
        <w:t>canonical 正常</w:t>
      </w:r>
    </w:p>
    <w:p/>
    <w:p>
      <w:pPr>
        <w:pStyle w:val="Heading2"/>
        <w:spacing w:before="80" w:after="120" w:line="276" w:lineRule="auto"/>
      </w:pPr>
      <w:r>
        <w:t>合规</w:t>
      </w:r>
    </w:p>
    <w:p>
      <w:pPr>
        <w:pStyle w:val="ListBullet"/>
        <w:spacing w:before="0" w:after="40" w:line="276" w:lineRule="auto"/>
      </w:pPr>
      <w:r>
        <w:t>隐私政策存在</w:t>
      </w:r>
    </w:p>
    <w:p>
      <w:pPr>
        <w:pStyle w:val="ListBullet"/>
        <w:spacing w:before="0" w:after="40" w:line="276" w:lineRule="auto"/>
      </w:pPr>
      <w:r>
        <w:t>使用条款存在</w:t>
      </w:r>
    </w:p>
    <w:p>
      <w:pPr>
        <w:pStyle w:val="ListBullet"/>
        <w:spacing w:before="0" w:after="40" w:line="276" w:lineRule="auto"/>
      </w:pPr>
      <w:r>
        <w:t>数据授权风险已标注</w:t>
      </w:r>
    </w:p>
    <w:p>
      <w:pPr>
        <w:pStyle w:val="ListBullet"/>
        <w:spacing w:before="0" w:after="40" w:line="276" w:lineRule="auto"/>
      </w:pPr>
      <w:r>
        <w:t>首版未公开接入高风险再分发数据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23. 环境变量建议</w:t>
      </w:r>
    </w:p>
    <w:p/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NEXT_PUBLIC_SITE_URL=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DATABASE_URL=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FRED_API_KEY=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CRON_SECRET=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SENTRY_DSN=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NEXT_PUBLIC_PLAUSIBLE_DOMAIN=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POSTHOG_KEY=</w:t>
      </w:r>
    </w:p>
    <w:p/>
    <w:p>
      <w:pPr>
        <w:spacing w:before="0" w:after="120" w:line="300" w:lineRule="auto"/>
      </w:pPr>
      <w:r>
        <w:t>可选：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BASIC_AUTH_USER=</w:t>
      </w:r>
    </w:p>
    <w:p>
      <w:pPr>
        <w:spacing w:before="0" w:after="40" w:line="240" w:lineRule="auto"/>
      </w:pPr>
      <w:r>
        <w:rPr>
          <w:rFonts w:ascii="Liberation Mono" w:hAnsi="Liberation Mono" w:eastAsia="Liberation Mono"/>
          <w:sz w:val="18"/>
        </w:rPr>
        <w:t>BASIC_AUTH_PASSWORD=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24. 给 Codex 的实施顺序</w:t>
      </w:r>
    </w:p>
    <w:p/>
    <w:p>
      <w:pPr>
        <w:pStyle w:val="Heading1"/>
        <w:spacing w:before="160" w:after="120" w:line="276" w:lineRule="auto"/>
      </w:pPr>
      <w:r>
        <w:t>Milestone A：脚手架与基础页面</w:t>
      </w:r>
    </w:p>
    <w:p>
      <w:pPr>
        <w:pStyle w:val="ListBullet"/>
        <w:spacing w:before="0" w:after="40" w:line="276" w:lineRule="auto"/>
      </w:pPr>
      <w:r>
        <w:t>初始化 Next.js 16 App Router + TS + Tailwind + shadcn/ui</w:t>
      </w:r>
    </w:p>
    <w:p>
      <w:pPr>
        <w:pStyle w:val="ListBullet"/>
        <w:spacing w:before="0" w:after="40" w:line="276" w:lineRule="auto"/>
      </w:pPr>
      <w:r>
        <w:t>建立全局 layout、header、footer</w:t>
      </w:r>
    </w:p>
    <w:p>
      <w:pPr>
        <w:pStyle w:val="ListBullet"/>
        <w:spacing w:before="0" w:after="40" w:line="276" w:lineRule="auto"/>
      </w:pPr>
      <w:r>
        <w:t>建立首页、指标页、文章页、方法论页、数据来源页空壳</w:t>
      </w:r>
    </w:p>
    <w:p>
      <w:pPr>
        <w:pStyle w:val="ListBullet"/>
        <w:spacing w:before="0" w:after="40" w:line="276" w:lineRule="auto"/>
      </w:pPr>
      <w:r>
        <w:t>配置 metadata、sitemap、robots、OG</w:t>
      </w:r>
    </w:p>
    <w:p/>
    <w:p>
      <w:pPr>
        <w:pStyle w:val="Heading1"/>
        <w:spacing w:before="160" w:after="120" w:line="276" w:lineRule="auto"/>
      </w:pPr>
      <w:r>
        <w:t>Milestone B：数据库与配置</w:t>
      </w:r>
    </w:p>
    <w:p>
      <w:pPr>
        <w:pStyle w:val="ListBullet"/>
        <w:spacing w:before="0" w:after="40" w:line="276" w:lineRule="auto"/>
      </w:pPr>
      <w:r>
        <w:t>建立 Drizzle schema</w:t>
      </w:r>
    </w:p>
    <w:p>
      <w:pPr>
        <w:pStyle w:val="ListBullet"/>
        <w:spacing w:before="0" w:after="40" w:line="276" w:lineRule="auto"/>
      </w:pPr>
      <w:r>
        <w:t>写 `seed-indicators.ts`</w:t>
      </w:r>
    </w:p>
    <w:p>
      <w:pPr>
        <w:pStyle w:val="ListBullet"/>
        <w:spacing w:before="0" w:after="40" w:line="276" w:lineRule="auto"/>
      </w:pPr>
      <w:r>
        <w:t>写 indicator configs</w:t>
      </w:r>
    </w:p>
    <w:p>
      <w:pPr>
        <w:pStyle w:val="ListBullet"/>
        <w:spacing w:before="0" w:after="40" w:line="276" w:lineRule="auto"/>
      </w:pPr>
      <w:r>
        <w:t>完成查询层和 mock data fallback</w:t>
      </w:r>
    </w:p>
    <w:p/>
    <w:p>
      <w:pPr>
        <w:pStyle w:val="Heading1"/>
        <w:spacing w:before="160" w:after="120" w:line="276" w:lineRule="auto"/>
      </w:pPr>
      <w:r>
        <w:t>Milestone C：FRED 数据链路</w:t>
      </w:r>
    </w:p>
    <w:p>
      <w:pPr>
        <w:pStyle w:val="ListBullet"/>
        <w:spacing w:before="0" w:after="40" w:line="276" w:lineRule="auto"/>
      </w:pPr>
      <w:r>
        <w:t>写 FRED adapter</w:t>
      </w:r>
    </w:p>
    <w:p>
      <w:pPr>
        <w:pStyle w:val="ListBullet"/>
        <w:spacing w:before="0" w:after="40" w:line="276" w:lineRule="auto"/>
      </w:pPr>
      <w:r>
        <w:t>写 sync route</w:t>
      </w:r>
    </w:p>
    <w:p>
      <w:pPr>
        <w:pStyle w:val="ListBullet"/>
        <w:spacing w:before="0" w:after="40" w:line="276" w:lineRule="auto"/>
      </w:pPr>
      <w:r>
        <w:t>写 observations upsert</w:t>
      </w:r>
    </w:p>
    <w:p>
      <w:pPr>
        <w:pStyle w:val="ListBullet"/>
        <w:spacing w:before="0" w:after="40" w:line="276" w:lineRule="auto"/>
      </w:pPr>
      <w:r>
        <w:t>写 snapshots compute</w:t>
      </w:r>
    </w:p>
    <w:p>
      <w:pPr>
        <w:pStyle w:val="ListBullet"/>
        <w:spacing w:before="0" w:after="40" w:line="276" w:lineRule="auto"/>
      </w:pPr>
      <w:r>
        <w:t>写 summary API</w:t>
      </w:r>
    </w:p>
    <w:p/>
    <w:p>
      <w:pPr>
        <w:pStyle w:val="Heading1"/>
        <w:spacing w:before="160" w:after="120" w:line="276" w:lineRule="auto"/>
      </w:pPr>
      <w:r>
        <w:t>Milestone D：首页与详情页</w:t>
      </w:r>
    </w:p>
    <w:p>
      <w:pPr>
        <w:pStyle w:val="ListBullet"/>
        <w:spacing w:before="0" w:after="40" w:line="276" w:lineRule="auto"/>
      </w:pPr>
      <w:r>
        <w:t>首页卡片、图表、评论模块接真实数据</w:t>
      </w:r>
    </w:p>
    <w:p>
      <w:pPr>
        <w:pStyle w:val="ListBullet"/>
        <w:spacing w:before="0" w:after="40" w:line="276" w:lineRule="auto"/>
      </w:pPr>
      <w:r>
        <w:t>指标页接真实数据</w:t>
      </w:r>
    </w:p>
    <w:p>
      <w:pPr>
        <w:pStyle w:val="ListBullet"/>
        <w:spacing w:before="0" w:after="40" w:line="276" w:lineRule="auto"/>
      </w:pPr>
      <w:r>
        <w:t>方法论页与数据来源页补全</w:t>
      </w:r>
    </w:p>
    <w:p>
      <w:pPr>
        <w:pStyle w:val="ListBullet"/>
        <w:spacing w:before="0" w:after="40" w:line="276" w:lineRule="auto"/>
      </w:pPr>
      <w:r>
        <w:t>文章系统接入 MDX</w:t>
      </w:r>
    </w:p>
    <w:p/>
    <w:p>
      <w:pPr>
        <w:pStyle w:val="Heading1"/>
        <w:spacing w:before="160" w:after="120" w:line="276" w:lineRule="auto"/>
      </w:pPr>
      <w:r>
        <w:t>Milestone E：质量与收尾</w:t>
      </w:r>
    </w:p>
    <w:p>
      <w:pPr>
        <w:pStyle w:val="ListBullet"/>
        <w:spacing w:before="0" w:after="40" w:line="276" w:lineRule="auto"/>
      </w:pPr>
      <w:r>
        <w:t>增加 tests</w:t>
      </w:r>
    </w:p>
    <w:p>
      <w:pPr>
        <w:pStyle w:val="ListBullet"/>
        <w:spacing w:before="0" w:after="40" w:line="276" w:lineRule="auto"/>
      </w:pPr>
      <w:r>
        <w:t>增加 error/loading/not-found</w:t>
      </w:r>
    </w:p>
    <w:p>
      <w:pPr>
        <w:pStyle w:val="ListBullet"/>
        <w:spacing w:before="0" w:after="40" w:line="276" w:lineRule="auto"/>
      </w:pPr>
      <w:r>
        <w:t>增加 logs 和 sync_runs</w:t>
      </w:r>
    </w:p>
    <w:p>
      <w:pPr>
        <w:pStyle w:val="ListBullet"/>
        <w:spacing w:before="0" w:after="40" w:line="276" w:lineRule="auto"/>
      </w:pPr>
      <w:r>
        <w:t>加免责声明与 source badge</w:t>
      </w:r>
    </w:p>
    <w:p>
      <w:pPr>
        <w:pStyle w:val="ListBullet"/>
        <w:spacing w:before="0" w:after="40" w:line="276" w:lineRule="auto"/>
      </w:pPr>
      <w:r>
        <w:t>完成部署文档</w:t>
      </w:r>
    </w:p>
    <w:p/>
    <w:p>
      <w:pPr>
        <w:pStyle w:val="Heading1"/>
        <w:spacing w:before="160" w:after="120" w:line="276" w:lineRule="auto"/>
      </w:pPr>
      <w:r>
        <w:t>Milestone F：后续增强</w:t>
      </w:r>
    </w:p>
    <w:p>
      <w:pPr>
        <w:pStyle w:val="ListBullet"/>
        <w:spacing w:before="0" w:after="40" w:line="276" w:lineRule="auto"/>
      </w:pPr>
      <w:r>
        <w:t>加比较页</w:t>
      </w:r>
    </w:p>
    <w:p>
      <w:pPr>
        <w:pStyle w:val="ListBullet"/>
        <w:spacing w:before="0" w:after="40" w:line="276" w:lineRule="auto"/>
      </w:pPr>
      <w:r>
        <w:t>加 AAII/NAAIM</w:t>
      </w:r>
    </w:p>
    <w:p>
      <w:pPr>
        <w:pStyle w:val="ListBullet"/>
        <w:spacing w:before="0" w:after="40" w:line="276" w:lineRule="auto"/>
      </w:pPr>
      <w:r>
        <w:t>审查 Cboe/ICE 数据接入</w:t>
      </w:r>
    </w:p>
    <w:p>
      <w:pPr>
        <w:pStyle w:val="ListBullet"/>
        <w:spacing w:before="0" w:after="40" w:line="276" w:lineRule="auto"/>
      </w:pPr>
      <w:r>
        <w:t>增加 licensed 模式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25. 验收标准（Definition of Done）</w:t>
      </w:r>
    </w:p>
    <w:p/>
    <w:p>
      <w:pPr>
        <w:pStyle w:val="Heading2"/>
        <w:spacing w:before="80" w:after="120" w:line="276" w:lineRule="auto"/>
      </w:pPr>
      <w:r>
        <w:t>产品完成定义</w:t>
      </w:r>
    </w:p>
    <w:p>
      <w:pPr>
        <w:pStyle w:val="ListBullet"/>
        <w:spacing w:before="0" w:after="40" w:line="276" w:lineRule="auto"/>
      </w:pPr>
      <w:r>
        <w:t>用户打开首页后，能在一屏内知道当前风险状态和主要驱动</w:t>
      </w:r>
    </w:p>
    <w:p>
      <w:pPr>
        <w:pStyle w:val="ListBullet"/>
        <w:spacing w:before="0" w:after="40" w:line="276" w:lineRule="auto"/>
      </w:pPr>
      <w:r>
        <w:t>单个指标页能解释指标本身，也能告诉用户如何与其他指标联读</w:t>
      </w:r>
    </w:p>
    <w:p>
      <w:pPr>
        <w:pStyle w:val="ListBullet"/>
        <w:spacing w:before="0" w:after="40" w:line="276" w:lineRule="auto"/>
      </w:pPr>
      <w:r>
        <w:t>站内至少有一页“如何读这套图”的方法论页</w:t>
      </w:r>
    </w:p>
    <w:p>
      <w:pPr>
        <w:pStyle w:val="ListBullet"/>
        <w:spacing w:before="0" w:after="40" w:line="276" w:lineRule="auto"/>
      </w:pPr>
      <w:r>
        <w:t>数据来源透明公开</w:t>
      </w:r>
    </w:p>
    <w:p/>
    <w:p>
      <w:pPr>
        <w:pStyle w:val="Heading2"/>
        <w:spacing w:before="80" w:after="120" w:line="276" w:lineRule="auto"/>
      </w:pPr>
      <w:r>
        <w:t>技术完成定义</w:t>
      </w:r>
    </w:p>
    <w:p>
      <w:pPr>
        <w:pStyle w:val="ListBullet"/>
        <w:spacing w:before="0" w:after="40" w:line="276" w:lineRule="auto"/>
      </w:pPr>
      <w:r>
        <w:t>所有 MVP 指标都能自动同步</w:t>
      </w:r>
    </w:p>
    <w:p>
      <w:pPr>
        <w:pStyle w:val="ListBullet"/>
        <w:spacing w:before="0" w:after="40" w:line="276" w:lineRule="auto"/>
      </w:pPr>
      <w:r>
        <w:t>数据入库后能生成快照和解读</w:t>
      </w:r>
    </w:p>
    <w:p>
      <w:pPr>
        <w:pStyle w:val="ListBullet"/>
        <w:spacing w:before="0" w:after="40" w:line="276" w:lineRule="auto"/>
      </w:pPr>
      <w:r>
        <w:t>首页和详情页都从数据库取数</w:t>
      </w:r>
    </w:p>
    <w:p>
      <w:pPr>
        <w:pStyle w:val="ListBullet"/>
        <w:spacing w:before="0" w:after="40" w:line="276" w:lineRule="auto"/>
      </w:pPr>
      <w:r>
        <w:t>API 和页面可在生产环境稳定运行</w:t>
      </w:r>
    </w:p>
    <w:p>
      <w:pPr>
        <w:pStyle w:val="ListBullet"/>
        <w:spacing w:before="0" w:after="40" w:line="276" w:lineRule="auto"/>
      </w:pPr>
      <w:r>
        <w:t>有基本测试和监控</w:t>
      </w:r>
    </w:p>
    <w:p/>
    <w:p>
      <w:pPr>
        <w:pStyle w:val="Heading2"/>
        <w:spacing w:before="80" w:after="120" w:line="276" w:lineRule="auto"/>
      </w:pPr>
      <w:r>
        <w:t>质量完成定义</w:t>
      </w:r>
    </w:p>
    <w:p>
      <w:pPr>
        <w:pStyle w:val="ListBullet"/>
        <w:spacing w:before="0" w:after="40" w:line="276" w:lineRule="auto"/>
      </w:pPr>
      <w:r>
        <w:t>页面不出现“只有图没有解释”</w:t>
      </w:r>
    </w:p>
    <w:p>
      <w:pPr>
        <w:pStyle w:val="ListBullet"/>
        <w:spacing w:before="0" w:after="40" w:line="276" w:lineRule="auto"/>
      </w:pPr>
      <w:r>
        <w:t>页面不出现“只有数字没有来源”</w:t>
      </w:r>
    </w:p>
    <w:p>
      <w:pPr>
        <w:pStyle w:val="ListBullet"/>
        <w:spacing w:before="0" w:after="40" w:line="276" w:lineRule="auto"/>
      </w:pPr>
      <w:r>
        <w:t>站点不依赖不明授权的数据上线公开版本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26. 建议的首批站内文案</w:t>
      </w:r>
    </w:p>
    <w:p/>
    <w:p>
      <w:pPr>
        <w:pStyle w:val="Heading2"/>
        <w:spacing w:before="80" w:after="120" w:line="276" w:lineRule="auto"/>
      </w:pPr>
      <w:r>
        <w:t>首页 Hero</w:t>
      </w:r>
    </w:p>
    <w:p>
      <w:pPr>
        <w:spacing w:before="0" w:after="120" w:line="300" w:lineRule="auto"/>
      </w:pPr>
      <w:r>
        <w:rPr>
          <w:b/>
        </w:rPr>
        <w:t>市场风险仪表盘</w:t>
      </w:r>
    </w:p>
    <w:p>
      <w:pPr>
        <w:spacing w:before="0" w:after="120" w:line="300" w:lineRule="auto"/>
      </w:pPr>
      <w:r>
        <w:t>别只盯一个 VIX。把权益波动、期限结构和系统性压力放到一起看，才更接近真实的市场温度。</w:t>
      </w:r>
    </w:p>
    <w:p/>
    <w:p>
      <w:pPr>
        <w:pStyle w:val="Heading2"/>
        <w:spacing w:before="80" w:after="120" w:line="276" w:lineRule="auto"/>
      </w:pPr>
      <w:r>
        <w:t>首页说明</w:t>
      </w:r>
    </w:p>
    <w:p>
      <w:pPr>
        <w:spacing w:before="0" w:after="120" w:line="300" w:lineRule="auto"/>
      </w:pPr>
      <w:r>
        <w:t>我更关心的从来不是“某个指标今天高不高”，而是风险到底在什么地方升温：</w:t>
      </w:r>
    </w:p>
    <w:p>
      <w:pPr>
        <w:spacing w:before="0" w:after="120" w:line="300" w:lineRule="auto"/>
      </w:pPr>
      <w:r>
        <w:t>是股票市场自己在抖，还是系统层面的压力也在跟上。</w:t>
      </w:r>
    </w:p>
    <w:p>
      <w:pPr>
        <w:spacing w:before="0" w:after="120" w:line="300" w:lineRule="auto"/>
      </w:pPr>
      <w:r>
        <w:t>这套页面就是拿来回答这个问题的。</w:t>
      </w:r>
    </w:p>
    <w:p/>
    <w:p>
      <w:pPr>
        <w:pStyle w:val="Heading2"/>
        <w:spacing w:before="80" w:after="120" w:line="276" w:lineRule="auto"/>
      </w:pPr>
      <w:r>
        <w:t>方法论页引导</w:t>
      </w:r>
    </w:p>
    <w:p>
      <w:pPr>
        <w:spacing w:before="0" w:after="120" w:line="300" w:lineRule="auto"/>
      </w:pPr>
      <w:r>
        <w:t>如果你平时也喜欢盯图表，这一页会很实用。</w:t>
      </w:r>
    </w:p>
    <w:p>
      <w:pPr>
        <w:spacing w:before="0" w:after="120" w:line="300" w:lineRule="auto"/>
      </w:pPr>
      <w:r>
        <w:t>我们不是把几个指标堆在一起，而是把“这些指标什么时候该一起读、什么时候不要过度解读”讲明白。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27. 推荐的首版技术决策（供团队快速拍板）</w:t>
      </w:r>
    </w:p>
    <w:p/>
    <w:p>
      <w:pPr>
        <w:pStyle w:val="Heading2"/>
        <w:spacing w:before="80" w:after="120" w:line="276" w:lineRule="auto"/>
      </w:pPr>
      <w:r>
        <w:t>必须拍板</w:t>
      </w:r>
    </w:p>
    <w:p>
      <w:pPr>
        <w:pStyle w:val="ListBullet"/>
        <w:spacing w:before="0" w:after="40" w:line="276" w:lineRule="auto"/>
      </w:pPr>
      <w:r>
        <w:t>使用 Next.js App Router</w:t>
      </w:r>
    </w:p>
    <w:p>
      <w:pPr>
        <w:pStyle w:val="ListBullet"/>
        <w:spacing w:before="0" w:after="40" w:line="276" w:lineRule="auto"/>
      </w:pPr>
      <w:r>
        <w:t>使用 TypeScript</w:t>
      </w:r>
    </w:p>
    <w:p>
      <w:pPr>
        <w:pStyle w:val="ListBullet"/>
        <w:spacing w:before="0" w:after="40" w:line="276" w:lineRule="auto"/>
      </w:pPr>
      <w:r>
        <w:t>使用 Server Components 为主</w:t>
      </w:r>
    </w:p>
    <w:p>
      <w:pPr>
        <w:pStyle w:val="ListBullet"/>
        <w:spacing w:before="0" w:after="40" w:line="276" w:lineRule="auto"/>
      </w:pPr>
      <w:r>
        <w:t>使用 PostgreSQL</w:t>
      </w:r>
    </w:p>
    <w:p>
      <w:pPr>
        <w:pStyle w:val="ListBullet"/>
        <w:spacing w:before="0" w:after="40" w:line="276" w:lineRule="auto"/>
      </w:pPr>
      <w:r>
        <w:t>使用 Drizzle ORM</w:t>
      </w:r>
    </w:p>
    <w:p>
      <w:pPr>
        <w:pStyle w:val="ListBullet"/>
        <w:spacing w:before="0" w:after="40" w:line="276" w:lineRule="auto"/>
      </w:pPr>
      <w:r>
        <w:t>使用 FRED 作为首版主数据源</w:t>
      </w:r>
    </w:p>
    <w:p>
      <w:pPr>
        <w:pStyle w:val="ListBullet"/>
        <w:spacing w:before="0" w:after="40" w:line="276" w:lineRule="auto"/>
      </w:pPr>
      <w:r>
        <w:t>使用 Vercel 作为部署平台</w:t>
      </w:r>
    </w:p>
    <w:p>
      <w:pPr>
        <w:pStyle w:val="ListBullet"/>
        <w:spacing w:before="0" w:after="40" w:line="276" w:lineRule="auto"/>
      </w:pPr>
      <w:r>
        <w:t>使用 MDX 管内容</w:t>
      </w:r>
    </w:p>
    <w:p/>
    <w:p>
      <w:pPr>
        <w:pStyle w:val="Heading2"/>
        <w:spacing w:before="80" w:after="120" w:line="276" w:lineRule="auto"/>
      </w:pPr>
      <w:r>
        <w:t>可以后置</w:t>
      </w:r>
    </w:p>
    <w:p>
      <w:pPr>
        <w:pStyle w:val="ListBullet"/>
        <w:spacing w:before="0" w:after="40" w:line="276" w:lineRule="auto"/>
      </w:pPr>
      <w:r>
        <w:t>是否加会员</w:t>
      </w:r>
    </w:p>
    <w:p>
      <w:pPr>
        <w:pStyle w:val="ListBullet"/>
        <w:spacing w:before="0" w:after="40" w:line="276" w:lineRule="auto"/>
      </w:pPr>
      <w:r>
        <w:t>是否接入 Sentry</w:t>
      </w:r>
    </w:p>
    <w:p>
      <w:pPr>
        <w:pStyle w:val="ListBullet"/>
        <w:spacing w:before="0" w:after="40" w:line="276" w:lineRule="auto"/>
      </w:pPr>
      <w:r>
        <w:t>是否引入 PostHog / Plausible</w:t>
      </w:r>
    </w:p>
    <w:p>
      <w:pPr>
        <w:pStyle w:val="ListBullet"/>
        <w:spacing w:before="0" w:after="40" w:line="276" w:lineRule="auto"/>
      </w:pPr>
      <w:r>
        <w:t>是否在首版就放广告</w:t>
      </w:r>
    </w:p>
    <w:p>
      <w:pPr>
        <w:pStyle w:val="ListBullet"/>
        <w:spacing w:before="0" w:after="40" w:line="276" w:lineRule="auto"/>
      </w:pPr>
      <w:r>
        <w:t>是否做 compare 页面</w:t>
      </w:r>
    </w:p>
    <w:p>
      <w:pPr>
        <w:pStyle w:val="ListBullet"/>
        <w:spacing w:before="0" w:after="40" w:line="276" w:lineRule="auto"/>
      </w:pPr>
      <w:r>
        <w:t>是否做周报自动发布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28. 官方参考与数据源清单</w:t>
      </w:r>
    </w:p>
    <w:p/>
    <w:p>
      <w:pPr>
        <w:pStyle w:val="Heading2"/>
        <w:spacing w:before="80" w:after="120" w:line="276" w:lineRule="auto"/>
      </w:pPr>
      <w:r>
        <w:t>Next.js / Vercel</w:t>
      </w:r>
    </w:p>
    <w:p>
      <w:pPr>
        <w:pStyle w:val="ListNumber"/>
        <w:spacing w:before="0" w:after="40" w:line="276" w:lineRule="auto"/>
      </w:pPr>
      <w:r>
        <w:t>Next.js App Router</w:t>
      </w:r>
    </w:p>
    <w:p>
      <w:pPr>
        <w:spacing w:before="0" w:after="120" w:line="300" w:lineRule="auto"/>
      </w:pPr>
      <w:r>
        <w:t>https://nextjs.org/docs/app</w:t>
      </w:r>
    </w:p>
    <w:p/>
    <w:p>
      <w:pPr>
        <w:pStyle w:val="ListNumber"/>
        <w:spacing w:before="0" w:after="40" w:line="276" w:lineRule="auto"/>
      </w:pPr>
      <w:r>
        <w:t>Next.js Route Handlers</w:t>
      </w:r>
    </w:p>
    <w:p>
      <w:pPr>
        <w:spacing w:before="0" w:after="120" w:line="300" w:lineRule="auto"/>
      </w:pPr>
      <w:r>
        <w:t>https://nextjs.org/docs/app/getting-started/route-handlers</w:t>
      </w:r>
    </w:p>
    <w:p/>
    <w:p>
      <w:pPr>
        <w:pStyle w:val="ListNumber"/>
        <w:spacing w:before="0" w:after="40" w:line="276" w:lineRule="auto"/>
      </w:pPr>
      <w:r>
        <w:t>Next.js Metadata and OG images</w:t>
      </w:r>
    </w:p>
    <w:p>
      <w:pPr>
        <w:spacing w:before="0" w:after="120" w:line="300" w:lineRule="auto"/>
      </w:pPr>
      <w:r>
        <w:t>https://nextjs.org/docs/app/getting-started/metadata-and-og-images</w:t>
      </w:r>
    </w:p>
    <w:p/>
    <w:p>
      <w:pPr>
        <w:pStyle w:val="ListNumber"/>
        <w:spacing w:before="0" w:after="40" w:line="276" w:lineRule="auto"/>
      </w:pPr>
      <w:r>
        <w:t>Next.js revalidateTag</w:t>
      </w:r>
    </w:p>
    <w:p>
      <w:pPr>
        <w:spacing w:before="0" w:after="120" w:line="300" w:lineRule="auto"/>
      </w:pPr>
      <w:r>
        <w:t>https://nextjs.org/docs/app/api-reference/functions/revalidateTag</w:t>
      </w:r>
    </w:p>
    <w:p/>
    <w:p>
      <w:pPr>
        <w:pStyle w:val="ListNumber"/>
        <w:spacing w:before="0" w:after="40" w:line="276" w:lineRule="auto"/>
      </w:pPr>
      <w:r>
        <w:t>Next.js 16</w:t>
      </w:r>
    </w:p>
    <w:p>
      <w:pPr>
        <w:spacing w:before="0" w:after="120" w:line="300" w:lineRule="auto"/>
      </w:pPr>
      <w:r>
        <w:t>https://nextjs.org/blog/next-16</w:t>
      </w:r>
    </w:p>
    <w:p/>
    <w:p>
      <w:pPr>
        <w:pStyle w:val="ListNumber"/>
        <w:spacing w:before="0" w:after="40" w:line="276" w:lineRule="auto"/>
      </w:pPr>
      <w:r>
        <w:t>Vercel Cron Quickstart</w:t>
      </w:r>
    </w:p>
    <w:p>
      <w:pPr>
        <w:spacing w:before="0" w:after="120" w:line="300" w:lineRule="auto"/>
      </w:pPr>
      <w:r>
        <w:t>https://vercel.com/docs/cron-jobs/quickstart</w:t>
      </w:r>
    </w:p>
    <w:p/>
    <w:p>
      <w:pPr>
        <w:pStyle w:val="ListNumber"/>
        <w:spacing w:before="0" w:after="40" w:line="276" w:lineRule="auto"/>
      </w:pPr>
      <w:r>
        <w:t>Vercel Cron Usage &amp; Pricing</w:t>
      </w:r>
    </w:p>
    <w:p>
      <w:pPr>
        <w:spacing w:before="0" w:after="120" w:line="300" w:lineRule="auto"/>
      </w:pPr>
      <w:r>
        <w:t>https://vercel.com/docs/cron-jobs/usage-and-pricing</w:t>
      </w:r>
    </w:p>
    <w:p/>
    <w:p>
      <w:pPr>
        <w:pStyle w:val="Heading2"/>
        <w:spacing w:before="80" w:after="120" w:line="276" w:lineRule="auto"/>
      </w:pPr>
      <w:r>
        <w:t>数据源</w:t>
      </w:r>
    </w:p>
    <w:p>
      <w:pPr>
        <w:pStyle w:val="ListNumber"/>
        <w:spacing w:before="0" w:after="40" w:line="276" w:lineRule="auto"/>
      </w:pPr>
      <w:r>
        <w:t>FRED API Overview</w:t>
      </w:r>
    </w:p>
    <w:p>
      <w:pPr>
        <w:spacing w:before="0" w:after="120" w:line="300" w:lineRule="auto"/>
      </w:pPr>
      <w:r>
        <w:t>https://fred.stlouisfed.org/docs/api/fred/</w:t>
      </w:r>
    </w:p>
    <w:p/>
    <w:p>
      <w:pPr>
        <w:pStyle w:val="ListNumber"/>
        <w:spacing w:before="0" w:after="40" w:line="276" w:lineRule="auto"/>
      </w:pPr>
      <w:r>
        <w:t>FRED series/observations</w:t>
      </w:r>
    </w:p>
    <w:p>
      <w:pPr>
        <w:spacing w:before="0" w:after="120" w:line="300" w:lineRule="auto"/>
      </w:pPr>
      <w:r>
        <w:t>https://fred.stlouisfed.org/docs/api/fred/series_observations.html</w:t>
      </w:r>
    </w:p>
    <w:p/>
    <w:p>
      <w:pPr>
        <w:pStyle w:val="ListNumber"/>
        <w:spacing w:before="0" w:after="40" w:line="276" w:lineRule="auto"/>
      </w:pPr>
      <w:r>
        <w:t>VIX (VIXCLS)</w:t>
      </w:r>
    </w:p>
    <w:p>
      <w:pPr>
        <w:spacing w:before="0" w:after="120" w:line="300" w:lineRule="auto"/>
      </w:pPr>
      <w:r>
        <w:t>https://fred.stlouisfed.org/series/VIXCLS</w:t>
      </w:r>
    </w:p>
    <w:p/>
    <w:p>
      <w:pPr>
        <w:pStyle w:val="ListNumber"/>
        <w:spacing w:before="0" w:after="40" w:line="276" w:lineRule="auto"/>
      </w:pPr>
      <w:r>
        <w:t>VXV (VXVCLS)</w:t>
      </w:r>
    </w:p>
    <w:p>
      <w:pPr>
        <w:spacing w:before="0" w:after="120" w:line="300" w:lineRule="auto"/>
      </w:pPr>
      <w:r>
        <w:t>https://fred.stlouisfed.org/series/VXVCLS</w:t>
      </w:r>
    </w:p>
    <w:p/>
    <w:p>
      <w:pPr>
        <w:pStyle w:val="ListNumber"/>
        <w:spacing w:before="0" w:after="40" w:line="276" w:lineRule="auto"/>
      </w:pPr>
      <w:r>
        <w:t>VXN (VXNCLS)</w:t>
      </w:r>
    </w:p>
    <w:p>
      <w:pPr>
        <w:spacing w:before="0" w:after="120" w:line="300" w:lineRule="auto"/>
      </w:pPr>
      <w:r>
        <w:t>https://fred.stlouisfed.org/series/VXNCLS</w:t>
      </w:r>
    </w:p>
    <w:p/>
    <w:p>
      <w:pPr>
        <w:pStyle w:val="ListNumber"/>
        <w:spacing w:before="0" w:after="40" w:line="276" w:lineRule="auto"/>
      </w:pPr>
      <w:r>
        <w:t>RVX (RVXCLS)</w:t>
      </w:r>
    </w:p>
    <w:p>
      <w:pPr>
        <w:spacing w:before="0" w:after="120" w:line="300" w:lineRule="auto"/>
      </w:pPr>
      <w:r>
        <w:t>https://fred.stlouisfed.org/series/RVXCLS</w:t>
      </w:r>
    </w:p>
    <w:p/>
    <w:p>
      <w:pPr>
        <w:pStyle w:val="ListNumber"/>
        <w:spacing w:before="0" w:after="40" w:line="276" w:lineRule="auto"/>
      </w:pPr>
      <w:r>
        <w:t>VXD (VXDCLS)</w:t>
      </w:r>
    </w:p>
    <w:p>
      <w:pPr>
        <w:spacing w:before="0" w:after="120" w:line="300" w:lineRule="auto"/>
      </w:pPr>
      <w:r>
        <w:t>https://fred.stlouisfed.org/series/VXDCLS</w:t>
      </w:r>
    </w:p>
    <w:p/>
    <w:p>
      <w:pPr>
        <w:pStyle w:val="ListNumber"/>
        <w:spacing w:before="0" w:after="40" w:line="276" w:lineRule="auto"/>
      </w:pPr>
      <w:r>
        <w:t>STLFSI4</w:t>
      </w:r>
    </w:p>
    <w:p>
      <w:pPr>
        <w:spacing w:before="0" w:after="120" w:line="300" w:lineRule="auto"/>
      </w:pPr>
      <w:r>
        <w:t>https://fred.stlouisfed.org/series/STLFSI4</w:t>
      </w:r>
    </w:p>
    <w:p/>
    <w:p>
      <w:pPr>
        <w:pStyle w:val="ListNumber"/>
        <w:spacing w:before="0" w:after="40" w:line="276" w:lineRule="auto"/>
      </w:pPr>
      <w:r>
        <w:t>NFCI</w:t>
      </w:r>
    </w:p>
    <w:p>
      <w:pPr>
        <w:spacing w:before="0" w:after="120" w:line="300" w:lineRule="auto"/>
      </w:pPr>
      <w:r>
        <w:t>https://fred.stlouisfed.org/series/NFCI</w:t>
      </w:r>
    </w:p>
    <w:p/>
    <w:p>
      <w:pPr>
        <w:pStyle w:val="ListNumber"/>
        <w:spacing w:before="0" w:after="40" w:line="276" w:lineRule="auto"/>
      </w:pPr>
      <w:r>
        <w:t>ANFCI</w:t>
      </w:r>
    </w:p>
    <w:p>
      <w:pPr>
        <w:spacing w:before="0" w:after="120" w:line="300" w:lineRule="auto"/>
      </w:pPr>
      <w:r>
        <w:t>https://fred.stlouisfed.org/series/ANFCI</w:t>
      </w:r>
    </w:p>
    <w:p/>
    <w:p>
      <w:pPr>
        <w:pStyle w:val="ListNumber"/>
        <w:spacing w:before="0" w:after="40" w:line="276" w:lineRule="auto"/>
      </w:pPr>
      <w:r>
        <w:t>Cboe VIX Term Structure</w:t>
      </w:r>
    </w:p>
    <w:p>
      <w:pPr>
        <w:spacing w:before="0" w:after="120" w:line="300" w:lineRule="auto"/>
      </w:pPr>
      <w:r>
        <w:t>https://www.cboe.com/tradable-products/vix/term-structure/</w:t>
      </w:r>
    </w:p>
    <w:p/>
    <w:p>
      <w:pPr>
        <w:pStyle w:val="ListNumber"/>
        <w:spacing w:before="0" w:after="40" w:line="276" w:lineRule="auto"/>
      </w:pPr>
      <w:r>
        <w:t>ICE MOVE Index</w:t>
      </w:r>
    </w:p>
    <w:p>
      <w:pPr>
        <w:spacing w:before="0" w:after="120" w:line="300" w:lineRule="auto"/>
      </w:pPr>
      <w:r>
        <w:t>https://developer.ice.com/fixed-income-data-services/catalog/ice-data-indices-move-index</w:t>
      </w:r>
    </w:p>
    <w:p/>
    <w:p>
      <w:pPr>
        <w:pStyle w:val="ListNumber"/>
        <w:spacing w:before="0" w:after="40" w:line="276" w:lineRule="auto"/>
      </w:pPr>
      <w:r>
        <w:t>Chicago Fed NFCI current data</w:t>
      </w:r>
    </w:p>
    <w:p>
      <w:pPr>
        <w:spacing w:before="0" w:after="120" w:line="300" w:lineRule="auto"/>
      </w:pPr>
      <w:r>
        <w:t>https://www.chicagofed.org/research/data/nfci/current-data</w:t>
      </w:r>
    </w:p>
    <w:p/>
    <w:p>
      <w:pPr>
        <w:spacing w:before="0" w:after="120" w:line="240" w:lineRule="auto"/>
      </w:pPr>
    </w:p>
    <w:p/>
    <w:p>
      <w:pPr>
        <w:pStyle w:val="Heading1"/>
        <w:spacing w:before="160" w:after="120" w:line="276" w:lineRule="auto"/>
      </w:pPr>
      <w:r>
        <w:t>29. 最终建议</w:t>
      </w:r>
    </w:p>
    <w:p/>
    <w:p>
      <w:pPr>
        <w:spacing w:before="0" w:after="120" w:line="300" w:lineRule="auto"/>
      </w:pPr>
      <w:r>
        <w:t>这个项目首版最重要的不是“把所有听起来厉害的指标都接上”，而是先把一条可靠的产品逻辑跑通：</w:t>
      </w:r>
    </w:p>
    <w:p/>
    <w:p>
      <w:pPr>
        <w:spacing w:before="0" w:after="120" w:line="300" w:lineRule="auto"/>
      </w:pPr>
      <w:r>
        <w:rPr>
          <w:b/>
        </w:rPr>
        <w:t>统一风险首页 → 单指标详情 → 方法论说明 → 内容页承接 → 后续再扩更多数据源。</w:t>
      </w:r>
    </w:p>
    <w:p/>
    <w:p>
      <w:pPr>
        <w:spacing w:before="0" w:after="120" w:line="300" w:lineRule="auto"/>
      </w:pPr>
      <w:r>
        <w:t>只要这条链路成立，这个站就不是一次性工具，而是一个可以持续长大的资产。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市场风险仪表盘项目立项与实施方案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