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40"/>
          <w:szCs w:val="40"/>
        </w:rPr>
        <w:t xml:space="preserve">固始县1100㎡室内儿童乐园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34"/>
          <w:szCs w:val="34"/>
        </w:rPr>
        <w:t xml:space="preserve">未来两年收入风险评估报告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color w:val="666666"/>
          <w:sz w:val="22"/>
          <w:szCs w:val="22"/>
        </w:rPr>
        <w:t xml:space="preserve">——基于固始县人口出生率数据的三情景推演</w:t>
      </w:r>
    </w:p>
    <w:p>
      <w:pPr>
        <w:spacing w:before="800"/>
      </w:pPr>
    </w:p>
    <w:p>
      <w:pPr>
        <w:spacing w:after="60"/>
        <w:jc w:val="center"/>
      </w:pPr>
      <w:r>
        <w:rPr>
          <w:rFonts w:ascii="微软雅黑" w:cs="微软雅黑" w:eastAsia="微软雅黑" w:hAnsi="微软雅黑"/>
          <w:color w:val="666666"/>
          <w:sz w:val="21"/>
          <w:szCs w:val="21"/>
        </w:rPr>
        <w:t xml:space="preserve">编制日期：2026年6月</w:t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color w:val="666666"/>
          <w:sz w:val="21"/>
          <w:szCs w:val="21"/>
        </w:rPr>
        <w:t xml:space="preserve">版本：V1.0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一、固始县人口出生率数据回顾（2021-2025）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600"/>
        <w:gridCol w:w="1800"/>
        <w:gridCol w:w="12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年份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出生人口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出生率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死亡率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自然增长率</w:t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出生同比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2021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0.70万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7.18‰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8.24‰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-1.06‰</w:t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2022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0.70万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6.70‰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8.39‰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-1.69‰</w:t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±0%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0.62万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6.13‰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9.00‰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-2.88‰</w:t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-11.4%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0.61万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6.11‰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8.91‰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-2.80‰</w:t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-1.6%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2025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0.46万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4.63‰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9.18‰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-4.55‰</w:t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-24.6%</w:t>
            </w:r>
          </w:p>
        </w:tc>
      </w:tr>
    </w:tbl>
    <w:p>
      <w:pPr>
        <w:spacing w:after="200" w:before="120"/>
      </w:pP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核心特征：出生率连续5年断崖下滑，全县持续人口负增长。2019年出生1.53万人→2025年出生0.46万人，6年间出生人口暴跌超70%。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下行加速：2024年出生0.61万人（-1.6%），2025年骤降至0.46万人（-24.6%），降幅急速扩大。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学龄人口传导链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2023年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2025年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降幅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幼儿园在园幼儿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82,000+ (2021)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67,390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-17.8% (vs 2021)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小学在校生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102,701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83,687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-18.5%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小学一年级新生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14,498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10,002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-31.0%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初中在校生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56,983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连续4年下降</w:t>
            </w:r>
          </w:p>
        </w:tc>
      </w:tr>
    </w:tbl>
    <w:p>
      <w:pPr>
        <w:spacing w:after="120" w:before="120"/>
      </w:pP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🔗 人口传导链：出生率暴跌→3年后幼儿园生源骤降→6年后小学生源断崖→未来5-8年目标客群持续收缩，对本项目形成系统性下行压力。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二、收入风险评估——三情景框架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基于人口趋势、经济环境、运营能力和竞争格局四大变量，将未来两年（2027-2028年）收入分为上、中、下三档情景。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核心假设变量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① 目标客群基数：3-12岁儿童人口（受5年前出生率影响）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② 家庭消费意愿：受固始经济走势和居民收入影响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③ 市场渗透率：年卡/次卡转化率，反映品牌力和运营水平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④ 竞争格局：是否有新的同类型竞品进入市场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变量矩阵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变量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乐观(上)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基准(中)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悲观(下)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3-12岁人口变化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-3%~-5%/年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-8%~-10%/年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-12%~-15%/年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家庭消费力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稳定/微增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小幅下降-5%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明显下降-15%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年卡渗透率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4%-5%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2%-3%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1%-1.5%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竞品进入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无新竞品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1家小型竞品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1-2家中型竞品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运营能力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强（品牌力成熟）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中等（正常运营）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弱（管理经验不足）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三、乐观情景（上）——概率约15%</w:t>
      </w:r>
    </w:p>
    <w:p>
      <w:pPr>
        <w:spacing w:after="10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▸ 标识：</w:t>
      </w:r>
      <w:r>
        <w:rPr>
          <w:rFonts w:ascii="微软雅黑" w:cs="微软雅黑" w:eastAsia="微软雅黑" w:hAnsi="微软雅黑"/>
          <w:color w:val="27AE60"/>
          <w:sz w:val="21"/>
          <w:szCs w:val="21"/>
        </w:rPr>
        <w:t xml:space="preserve">绿色 · 整体风险可控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3.1 情景设定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3-12岁目标客群每年仅缩减3%-5%，人口下滑趋势基本企稳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固始经济保持稳定，居民消费力未出现明显下降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市场推广效果好，年卡渗透率达到4%-5%（约6,000-7,500张亲子年卡）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无同级别新竞品进入，市场独占优势明显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全年日均单客（含次卡折合）达120-160人次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3.2 收入预测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1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收入科目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2027年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2028年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两年合计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占比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单次票（散客）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60万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50万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110万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13%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次卡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55万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65万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120万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14%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年卡/季卡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230万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280万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510万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61%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团体/派对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25万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30万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55万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7%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餐饮/零售二次消费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40万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50万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90万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11%</w:t>
            </w:r>
          </w:p>
        </w:tc>
      </w:tr>
    </w:tbl>
    <w:p>
      <w:pPr>
        <w:spacing w:after="120" w:before="120"/>
      </w:pP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乐观情景下两年合计收入约885万元。年卡收入占比超60%，说明会员体系已成为收入压舱石。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关键触发条件：开业首年年卡销售超3,000张，抖音/美团口碑指数持续走高，无新竞品入场。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404040"/>
          <w:sz w:val="22"/>
          <w:szCs w:val="22"/>
        </w:rPr>
        <w:t xml:space="preserve">⚠ 触发此情景的有利信号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开业前6个月: 亲子年卡销售超1,500张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开业后日均到店: 工作日&gt;60人次, 周末&gt;200人次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抖音同城榜: 持续占据本地亲子类TOP 3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固始本地无同体量室内儿童乐园新项目启动施工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四、基准情景（中）——概率约55%</w:t>
      </w:r>
    </w:p>
    <w:p>
      <w:pPr>
        <w:spacing w:after="10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▸ 标识：</w:t>
      </w:r>
      <w:r>
        <w:rPr>
          <w:rFonts w:ascii="微软雅黑" w:cs="微软雅黑" w:eastAsia="微软雅黑" w:hAnsi="微软雅黑"/>
          <w:color w:val="E67E22"/>
          <w:sz w:val="21"/>
          <w:szCs w:val="21"/>
        </w:rPr>
        <w:t xml:space="preserve">黄色 · 风险可控但需持续关注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4.1 情景设定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3-12岁目标客群每年缩减8%-10%，延续现有出生率下滑趋势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家庭消费力小幅下降约5%，居民消费信心偏弱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年卡渗透率2%-3%（约3,000-4,500张），属正常运营水平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可能出现1家小型竞品（&lt;500㎡），但不构成直接威胁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全年日均单客90-110人次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二次消费转化率中等（含餐饮人均消费约8-12元）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4.2 收入预测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1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收入科目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2027年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2028年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两年合计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占比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单次票（散客）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40万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35万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75万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13%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次卡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35万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38万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73万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13%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年卡/季卡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150万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170万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320万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56%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团体/派对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18万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20万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38万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7%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餐饮/零售二次消费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30万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35万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65万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11%</w:t>
            </w:r>
          </w:p>
        </w:tc>
      </w:tr>
    </w:tbl>
    <w:p>
      <w:pPr>
        <w:spacing w:after="120" w:before="120"/>
      </w:pP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基准情景下两年合计收入约571万元，年卡收入占比56%。每年收入增速约9%，属温和增长。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这最接近于现实预期——项目可以盈利，但不会出现爆发式增长。首年投入回收周期约2.5-3年。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404040"/>
          <w:sz w:val="22"/>
          <w:szCs w:val="22"/>
        </w:rPr>
        <w:t xml:space="preserve">⚠ 关键监控指标（触发向下切换的预警线）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开业后年卡销售未达1,500张 → 从基准下移至悲观情景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日均到店人次连续3个月低于70人 → 需调整运营策略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出生率继续暴跌，2026年出生人数降至&lt;3,500人 → 触发人口危机预案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五、悲观情景（下）——概率约30%</w:t>
      </w:r>
    </w:p>
    <w:p>
      <w:pPr>
        <w:spacing w:after="10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▸ 标识：</w:t>
      </w:r>
      <w:r>
        <w:rPr>
          <w:rFonts w:ascii="微软雅黑" w:cs="微软雅黑" w:eastAsia="微软雅黑" w:hAnsi="微软雅黑"/>
          <w:color w:val="E74C3C"/>
          <w:sz w:val="21"/>
          <w:szCs w:val="21"/>
        </w:rPr>
        <w:t xml:space="preserve">红色 · 需立即启动应对预案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5.1 情景设定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3-12岁目标客群每年缩减12%-15%，出生率下行进一步加速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宏观经济走弱，家庭消费力明显下降约15%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年卡渗透率仅1%-1.5%（&lt;2,250张），营销转化效果差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出现1-2家中型竞品（合计面积超1,000㎡），市场被严重分流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全年日均单客仅50-70人次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二次消费转化率低（人均&lt;5元），消费者惜购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5.2 收入预测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1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收入科目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2027年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2028年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两年合计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占比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单次票（散客）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22万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18万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40万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13%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次卡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18万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15万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33万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11%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年卡/季卡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68万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55万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123万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41%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团体/派对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8万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18万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6%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餐饮/零售二次消费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15万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12万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27万</w:t>
            </w:r>
          </w:p>
        </w:tc>
        <w:tc>
          <w:tcPr>
            <w:tcW w:type="dxa" w:w="1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9%</w:t>
            </w:r>
          </w:p>
        </w:tc>
      </w:tr>
    </w:tbl>
    <w:p>
      <w:pPr>
        <w:spacing w:after="120" w:before="120"/>
      </w:pP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悲观情景下两年合计收入约241万元，且2028年收入同比-18.8%，呈加速下滑趋势。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⚠ 在此情景下，项目可能面临亏损。按总投资约200-300万元估算，4-5年无法回本。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404040"/>
          <w:sz w:val="22"/>
          <w:szCs w:val="22"/>
        </w:rPr>
        <w:t xml:space="preserve">⚠ 悲观情景触发条件（任一出现即需警惕）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2026年固始出生人口跌破3,500人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开业半年内年卡销售&lt;800张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固始城内新建2家以上大型儿童乐园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县城居民人均可支配收入同比负增长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六、三情景年度收入对比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  <w:gridCol w:w="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情景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2027年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2028年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两年合计</w:t>
            </w:r>
          </w:p>
        </w:tc>
        <w:tc>
          <w:tcPr>
            <w:tcW w:type="dxa" w:w="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年均变化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🟢 乐观（概率15%）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410万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475万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885万</w:t>
            </w:r>
          </w:p>
        </w:tc>
        <w:tc>
          <w:tcPr>
            <w:tcW w:type="dxa" w:w="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+15.9%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🟡 基准（概率55%）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273万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298万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571万</w:t>
            </w:r>
          </w:p>
        </w:tc>
        <w:tc>
          <w:tcPr>
            <w:tcW w:type="dxa" w:w="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+9.2%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🔴 悲观（概率30%）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133万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108万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241万</w:t>
            </w:r>
          </w:p>
        </w:tc>
        <w:tc>
          <w:tcPr>
            <w:tcW w:type="dxa" w:w="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-18.8%</w:t>
            </w:r>
          </w:p>
        </w:tc>
      </w:tr>
    </w:tbl>
    <w:p>
      <w:pPr>
        <w:spacing w:after="120" w:before="120"/>
      </w:pP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期望值计算：乐观×15% + 基准×55% + 悲观×30% = 255万/年。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结论：最有概率出现的结果是首年收入约255万元，次年微增至267万元。两年合计约522万元。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七、基准场景下逐年推演（含月度节奏）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7.1 首年（开业起12个月）月度收入节奏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1400"/>
        <w:gridCol w:w="18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月份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特征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预估客流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单票收入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年卡收入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总月收入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第1月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开业引爆/促销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3,500人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8万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18万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第2月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口碑发酵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2,800人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6万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8万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18万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第3月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暑期旺季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4,200人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10万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12万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28万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第4月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平稳过渡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2,400人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5万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15万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25万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第5月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国庆高峰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3,800人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9万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25万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第6月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淡季低谷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2,000人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4万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12万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18万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第7月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寒假前预热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2,200人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4.5万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14万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22万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第8月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春节返乡高峰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3,500人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8万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8万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24万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第9月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节后回落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2,000人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4万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12万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20万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第10月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春季平稳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2,400人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5万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14万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24万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第11月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五一拉动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3,200人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7万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22万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第12月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六一/暑前预热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2,800人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6万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20万</w:t>
            </w:r>
          </w:p>
        </w:tc>
      </w:tr>
    </w:tbl>
    <w:p>
      <w:pPr>
        <w:spacing w:after="120" w:before="120"/>
      </w:pP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关键发现：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暑期（7-8月）+ 国庆（10月）+ 春节（1-2月）是三大收入高峰，合计贡献约40%的年度收入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旺季峰值月（7月）与淡谷月（6月/11月）收入差距可达1.5-2倍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年卡收入呈逐月递增趋势（口碑积累效应），开业半年后成为收入主力</w:t>
      </w:r>
    </w:p>
    <w:p>
      <w:pPr>
        <w:spacing w:before="120"/>
      </w:pP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核心固定支出（月均）：租金3-5万 + 人工3-4万 + 水电1万 + 营销1万 + 其他1万 ≈ 9-12万/月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基准场景首年月均收入22.8万 → 月均利润约10-13万 → 首年净利润约120-150万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第二年月均收入24.8万 → 月均利润约12-15万 → 次年净利润约140-180万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两年合计净利润约260-330万，预计2-2.5年可收回初始投资（按总投资250万计）。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八、人口敏感性分析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出生率与收入的联动关系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本项目最大的外部不确定性来自固始县持续暴跌的出生率。为量化风险，进行敏感性分析：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1800"/>
        <w:gridCol w:w="17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2026年出生人口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对应情景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3-12岁人口变化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首年预估收入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对基准的偏差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&gt;4,500人（反弹）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乐观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-3%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410万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+50%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4,000-4,499人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基准偏上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-6%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320万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+17%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3,500-3,999人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基准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-8%~-10%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273万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0%（基准）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2,500-3,499人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基准偏下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-12%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200万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-27%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&lt;2,500人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悲观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-15%+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133万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-51%</w:t>
            </w:r>
          </w:p>
        </w:tc>
      </w:tr>
    </w:tbl>
    <w:p>
      <w:pPr>
        <w:spacing w:after="120" w:before="120"/>
      </w:pP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🔄 关键结论：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出生人口每减少500人（约-12.5%），收入预期相应下调约20%-25%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2026年出生人数是一个关键先行指标：若&gt;4,000人则相对乐观，若&lt;3,000人则需全面修订投资预期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出生率对收入的传导有2年滞后期（2026年出生→2028年入园→3岁后成为乐园目标客群），本报告第二年的收入预测已部分包含此影响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九、各情景应对预案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9.1 乐观情景——如何最大化收益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上调年卡价格或减少促销赠送，提升单卡ARPU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加速二销投入（餐饮菜单扩容、零售SKU增加、手工课程收费化）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启动周边县市市场推广（潢川、商城、淮滨等）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考虑第二期扩建或新增项目，锁定增量客流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9.2 基准情景——持续优化运营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严格控费：人工与能耗成本精细化，水电实施分区管理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加大年卡推广：月度设置"会员日"，老带新奖励加码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开发县域B端市场：幼儿园/小学团体游+生日派对套餐，抓住6.7万在园幼儿基本盘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建立社区宝妈分销体系（"团长制"），实现低成本获客</w:t>
      </w:r>
    </w:p>
    <w:p>
      <w:pPr>
        <w:pStyle w:val="Heading2"/>
        <w:spacing w:after="160" w:before="24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9.3 悲观情景——止损与转型预案</w:t>
      </w: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E74C3C"/>
          <w:sz w:val="21"/>
          <w:szCs w:val="21"/>
        </w:rPr>
        <w:t xml:space="preserve">🔴 一级预警（月收入&lt;15万持续3个月）：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降低票价：单次票向下调整至48元/58元，团购价下探至29.9元起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砍掉非核心岗位：减少全职员工，改为"底薪+提成"制，控制固定人工成本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缩小营业区域：将1100㎡中的400-500㎡出租给教培机构或文创商家</w:t>
      </w:r>
    </w:p>
    <w:p>
      <w:pPr>
        <w:spacing w:after="80" w:before="60"/>
      </w:pPr>
      <w:r>
        <w:rPr>
          <w:rFonts w:ascii="微软雅黑" w:cs="微软雅黑" w:eastAsia="微软雅黑" w:hAnsi="微软雅黑"/>
          <w:b/>
          <w:bCs/>
          <w:color w:val="E74C3C"/>
          <w:sz w:val="21"/>
          <w:szCs w:val="21"/>
        </w:rPr>
        <w:t xml:space="preserve">🔴 二级预警（月收入&lt;10万持续3个月）：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深度转型：围绕"亲子陪伴+教育"重新定位，引入绘本馆、早教课程等知识付费内容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寻求战略合作：与固始县教体局、妇联建立合作，承接社区儿童活动补贴项目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资产变现：评估设备残值，制定退出门槛线和亏损底线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十、总结与建议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乐观(上)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基准(中)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悲观(下)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概率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55%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两年合计收入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885万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571万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241万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期望收入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——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522万/两年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——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回收期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1.5年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2.5年</w:t>
            </w:r>
          </w:p>
        </w:tc>
        <w:tc>
          <w:tcPr>
            <w:tcW w:type="dxa" w:w="2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&gt;4年</w:t>
            </w:r>
          </w:p>
        </w:tc>
      </w:tr>
    </w:tbl>
    <w:p>
      <w:pPr>
        <w:spacing w:after="120" w:before="200"/>
      </w:pP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最终结论：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本项目的核心盈利模型成立，正常运营下2-3年可收回投资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最大的外部风险是固始县出生率持续暴跌，建议密切跟踪2026年出生人口数据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建议将年卡销售作为运营的核心KPI（目标：首年≥1,500张），它是区分上、中、下三情景的关键变量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▸ 预留约10%的投资预算作为"人口风险准备金"，用于第二年必要时转型或调整经营方向</w:t>
      </w:r>
    </w:p>
    <w:p>
      <w:pPr>
        <w:spacing w:after="60" w:before="6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/>
      </w:r>
    </w:p>
    <w:p>
      <w:pPr>
        <w:spacing w:before="4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24"/>
          <w:szCs w:val="24"/>
        </w:rPr>
        <w:t xml:space="preserve">—— 报告完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固始县室内儿童乐园 —— 未来两年收入风险评估报告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微软雅黑" w:cs="微软雅黑" w:eastAsia="微软雅黑" w:hAnsi="微软雅黑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2026-06-05T03:54:52.174Z</dcterms:created>
  <dcterms:modified xsi:type="dcterms:W3CDTF">2026-06-05T03:54:52.174Z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