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Nuclear power occupies a singular position among low-carbon energy sources:</w:t>
      </w:r>
      <w:r>
        <w:t xml:space="preserve"> </w:t>
      </w:r>
      <w:r>
        <w:t xml:space="preserve">it is the only technology that delivers firm, dispatchable, high-density</w:t>
      </w:r>
      <w:r>
        <w:t xml:space="preserve"> </w:t>
      </w:r>
      <w:r>
        <w:t xml:space="preserve">electricity without direct greenhouse-gas emissions at a scale already</w:t>
      </w:r>
      <w:r>
        <w:t xml:space="preserve"> </w:t>
      </w:r>
      <w:r>
        <w:t xml:space="preserve">proven across decades of operation. Yet the environments that make nuclear</w:t>
      </w:r>
      <w:r>
        <w:t xml:space="preserve"> </w:t>
      </w:r>
      <w:r>
        <w:t xml:space="preserve">power possible, intense neutron and gamma fields, high temperatures, and</w:t>
      </w:r>
      <w:r>
        <w:t xml:space="preserve"> </w:t>
      </w:r>
      <w:r>
        <w:t xml:space="preserve">chemically aggressive primary coolants (e.g., liquid sodium, molten</w:t>
      </w:r>
      <w:r>
        <w:t xml:space="preserve"> </w:t>
      </w:r>
      <w:r>
        <w:t xml:space="preserve">fluoride salts, and high-pressure water), are precisely the environments</w:t>
      </w:r>
      <w:r>
        <w:t xml:space="preserve"> </w:t>
      </w:r>
      <w:r>
        <w:t xml:space="preserve">that destroy</w:t>
      </w:r>
      <w:r>
        <w:t xml:space="preserve"> </w:t>
      </w:r>
      <w:r>
        <w:t xml:space="preserve">the instruments needed to monitor and control it. Reliable radiation</w:t>
      </w:r>
      <w:r>
        <w:t xml:space="preserve"> </w:t>
      </w:r>
      <w:r>
        <w:t xml:space="preserve">monitoring is not incidental to safe reactor operation; it is the primary</w:t>
      </w:r>
      <w:r>
        <w:t xml:space="preserve"> </w:t>
      </w:r>
      <w:r>
        <w:t xml:space="preserve">mechanism by which operators verify that every defense-in-depth barrier</w:t>
      </w:r>
      <w:r>
        <w:t xml:space="preserve"> </w:t>
      </w:r>
      <w:r>
        <w:t xml:space="preserve">to fission-product release, fuel cladding, reactor pressure boundary,</w:t>
      </w:r>
      <w:r>
        <w:t xml:space="preserve"> </w:t>
      </w:r>
      <w:r>
        <w:t xml:space="preserve">and containment, remains intact. As the existing fleet ages and a generation of</w:t>
      </w:r>
      <w:r>
        <w:t xml:space="preserve"> </w:t>
      </w:r>
      <w:r>
        <w:t xml:space="preserve">advanced and small modular reactors (SMRs) moves from concept to</w:t>
      </w:r>
      <w:r>
        <w:t xml:space="preserve"> </w:t>
      </w:r>
      <w:r>
        <w:t xml:space="preserve">construction,</w:t>
      </w:r>
      <w:r>
        <w:t xml:space="preserve"> </w:t>
      </w:r>
      <w:r>
        <w:t xml:space="preserve">the instrumentation technologies that have served the industry for half a</w:t>
      </w:r>
      <w:r>
        <w:t xml:space="preserve"> </w:t>
      </w:r>
      <w:r>
        <w:t xml:space="preserve">century are confronting hard limits in both technical performance and</w:t>
      </w:r>
      <w:r>
        <w:t xml:space="preserve"> </w:t>
      </w:r>
      <w:r>
        <w:t xml:space="preserve">economic viability. This dissertation investigates two complementary</w:t>
      </w:r>
      <w:r>
        <w:t xml:space="preserve"> </w:t>
      </w:r>
      <w:r>
        <w:t xml:space="preserve">approaches to resolving that tension: the development of perovskite</w:t>
      </w:r>
      <w:r>
        <w:t xml:space="preserve"> </w:t>
      </w:r>
      <w:r>
        <w:t xml:space="preserve">semiconductors as radiation-responsive detector materials, and the</w:t>
      </w:r>
      <w:r>
        <w:t xml:space="preserve"> </w:t>
      </w:r>
      <w:r>
        <w:t xml:space="preserve">implementation of radiation-tolerant digital monitoring systems built on</w:t>
      </w:r>
      <w:r>
        <w:t xml:space="preserve"> </w:t>
      </w:r>
      <w:r>
        <w:t xml:space="preserve">commercially available field-programmable gate arrays (FPGAs). Taken</w:t>
      </w:r>
      <w:r>
        <w:t xml:space="preserve"> </w:t>
      </w:r>
      <w:r>
        <w:t xml:space="preserve">together, these efforts span the full stack from detector material to</w:t>
      </w:r>
      <w:r>
        <w:t xml:space="preserve"> </w:t>
      </w:r>
      <w:r>
        <w:t xml:space="preserve">deployable system and aim to demonstrate that next-generation nuclear</w:t>
      </w:r>
      <w:r>
        <w:t xml:space="preserve"> </w:t>
      </w:r>
      <w:r>
        <w:t xml:space="preserve">instrumentation can be both technically capable and represent a meaningful</w:t>
      </w:r>
      <w:r>
        <w:t xml:space="preserve"> </w:t>
      </w:r>
      <w:r>
        <w:t xml:space="preserve">improvement in economic viability over current approaches.</w:t>
      </w:r>
    </w:p>
    <w:bookmarkStart w:id="9" w:name="Xf6583ee700c1af40548a1d921ddc7888af50790"/>
    <w:p>
      <w:pPr>
        <w:pStyle w:val="Heading2"/>
      </w:pPr>
      <w:r>
        <w:t xml:space="preserve">Nuclear Power and the Global Decarbonization Context</w:t>
      </w:r>
    </w:p>
    <w:p>
      <w:pPr>
        <w:pStyle w:val="FirstParagraph"/>
      </w:pPr>
      <w:r>
        <w:t xml:space="preserve">The scale of the decarbonization challenge facing the global electricity</w:t>
      </w:r>
      <w:r>
        <w:t xml:space="preserve"> </w:t>
      </w:r>
      <w:r>
        <w:t xml:space="preserve">system makes any realistic pathway to net-zero heavily dependent on nuclear</w:t>
      </w:r>
      <w:r>
        <w:t xml:space="preserve"> </w:t>
      </w:r>
      <w:r>
        <w:t xml:space="preserve">energy. At the COP28 climate summit in December 2023, twenty-two nations</w:t>
      </w:r>
      <w:r>
        <w:t xml:space="preserve"> </w:t>
      </w:r>
      <w:r>
        <w:t xml:space="preserve">signed a declaration to triple global nuclear generating capacity from</w:t>
      </w:r>
      <w:r>
        <w:t xml:space="preserve"> </w:t>
      </w:r>
      <w:r>
        <w:t xml:space="preserve">approximately 375 GWe to more than 1,125 GWe by 2050; that coalition</w:t>
      </w:r>
      <w:r>
        <w:t xml:space="preserve"> </w:t>
      </w:r>
      <w:r>
        <w:t xml:space="preserve">has since grown to thirty-three countries 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 Energy Agency’s net-zero pathway requires nuclear capacity to</w:t>
      </w:r>
      <w:r>
        <w:t xml:space="preserve"> </w:t>
      </w:r>
      <w:r>
        <w:t xml:space="preserve">reach approximately 1,079 GWe by 2050, demanding that annual</w:t>
      </w:r>
      <w:r>
        <w:t xml:space="preserve"> </w:t>
      </w:r>
      <w:r>
        <w:t xml:space="preserve">investment in the sector roughly double from its current level of</w:t>
      </w:r>
      <w:r>
        <w:t xml:space="preserve"> </w:t>
      </w:r>
      <w:r>
        <w:t xml:space="preserve">$65–75 billion to $120–150 billion per year by 2030 </w:t>
      </w:r>
      <w:r>
        <w:t xml:space="preserve">.</w:t>
      </w:r>
      <w:r>
        <w:t xml:space="preserve"> </w:t>
      </w:r>
      <w:r>
        <w:t xml:space="preserve">The International Atomic Energy Agency (IAEA) has revised its projections</w:t>
      </w:r>
      <w:r>
        <w:t xml:space="preserve"> </w:t>
      </w:r>
      <w:r>
        <w:t xml:space="preserve">upward for five consecutive years, with its 2025 high-case scenario projecting</w:t>
      </w:r>
      <w:r>
        <w:t xml:space="preserve"> </w:t>
      </w:r>
      <w:r>
        <w:t xml:space="preserve">992 GWe by 2050 </w:t>
      </w:r>
      <w:r>
        <w:t xml:space="preserve">.</w:t>
      </w:r>
    </w:p>
    <w:p>
      <w:pPr>
        <w:pStyle w:val="BodyText"/>
      </w:pPr>
      <w:r>
        <w:t xml:space="preserve">The existing global fleet comprises approximately 408 operating reactors</w:t>
      </w:r>
      <w:r>
        <w:t xml:space="preserve"> </w:t>
      </w:r>
      <w:r>
        <w:t xml:space="preserve">in thirty-one countries, with a combined net capacity that reached a record</w:t>
      </w:r>
      <w:r>
        <w:t xml:space="preserve"> </w:t>
      </w:r>
      <w:r>
        <w:t xml:space="preserve">369 GWe in 2024 </w:t>
      </w:r>
      <w:r>
        <w:t xml:space="preserve">. Nuclear electricity generation also</w:t>
      </w:r>
      <w:r>
        <w:t xml:space="preserve"> </w:t>
      </w:r>
      <w:r>
        <w:t xml:space="preserve">set an all-time high of 2,667 TWh in 2024, narrowly surpassing the 2006</w:t>
      </w:r>
      <w:r>
        <w:t xml:space="preserve"> </w:t>
      </w:r>
      <w:r>
        <w:t xml:space="preserve">record, though nuclear’s share of global electricity has fallen to</w:t>
      </w:r>
      <w:r>
        <w:t xml:space="preserve"> </w:t>
      </w:r>
      <w:r>
        <w:t xml:space="preserve">approximately 9% as variable renewables have expanded at a far faster</w:t>
      </w:r>
      <w:r>
        <w:t xml:space="preserve"> </w:t>
      </w:r>
      <w:r>
        <w:t xml:space="preserve">pace </w:t>
      </w:r>
      <w:r>
        <w:t xml:space="preserve">. The fleet’s average age of 32.4 years, with 141</w:t>
      </w:r>
      <w:r>
        <w:t xml:space="preserve"> </w:t>
      </w:r>
      <w:r>
        <w:t xml:space="preserve">units exceeding 41 years of operation, makes life extension, instrumentation</w:t>
      </w:r>
      <w:r>
        <w:t xml:space="preserve"> </w:t>
      </w:r>
      <w:r>
        <w:t xml:space="preserve">modernization, and new construction simultaneously urgent priorities.</w:t>
      </w:r>
    </w:p>
    <w:p>
      <w:pPr>
        <w:pStyle w:val="BodyText"/>
      </w:pPr>
      <w:r>
        <w:t xml:space="preserve">Development of advanced reactors is more active and better funded than</w:t>
      </w:r>
      <w:r>
        <w:t xml:space="preserve"> </w:t>
      </w:r>
      <w:r>
        <w:t xml:space="preserve">at any point in the last several decades. In the United</w:t>
      </w:r>
      <w:r>
        <w:t xml:space="preserve"> </w:t>
      </w:r>
      <w:r>
        <w:t xml:space="preserve">States, TerraPower’s 345 MW(e) Natrium sodium-cooled fast reactor received</w:t>
      </w:r>
      <w:r>
        <w:t xml:space="preserve"> </w:t>
      </w:r>
      <w:r>
        <w:t xml:space="preserve">its NRC construction permit in March 2026, the first commercial non-light-water</w:t>
      </w:r>
      <w:r>
        <w:t xml:space="preserve"> </w:t>
      </w:r>
      <w:r>
        <w:t xml:space="preserve">reactor approval in over forty years </w:t>
      </w:r>
      <w:r>
        <w:t xml:space="preserve">. Kairos</w:t>
      </w:r>
      <w:r>
        <w:t xml:space="preserve"> </w:t>
      </w:r>
      <w:r>
        <w:t xml:space="preserve">Power’s Hermes fluoride-salt-cooled test reactor began nuclear</w:t>
      </w:r>
      <w:r>
        <w:t xml:space="preserve"> </w:t>
      </w:r>
      <w:r>
        <w:t xml:space="preserve">safety-related construction in 2025 </w:t>
      </w:r>
      <w:r>
        <w:t xml:space="preserve">, and</w:t>
      </w:r>
      <w:r>
        <w:t xml:space="preserve"> </w:t>
      </w:r>
      <w:r>
        <w:t xml:space="preserve">X-energy’s Xe-100 pebble-bed high-temperature gas-cooled reactor is under</w:t>
      </w:r>
      <w:r>
        <w:t xml:space="preserve"> </w:t>
      </w:r>
      <w:r>
        <w:t xml:space="preserve">development for an industrial host site with over $1.2 billion in DOE</w:t>
      </w:r>
      <w:r>
        <w:t xml:space="preserve"> </w:t>
      </w:r>
      <w:r>
        <w:t xml:space="preserve">cost-share </w:t>
      </w:r>
      <w:r>
        <w:t xml:space="preserve">. Among light-water SMRs, GE-Hitachi’s</w:t>
      </w:r>
      <w:r>
        <w:t xml:space="preserve"> </w:t>
      </w:r>
      <w:r>
        <w:t xml:space="preserve">BWRX-300 is under construction at Ontario’s Darlington site and has</w:t>
      </w:r>
      <w:r>
        <w:t xml:space="preserve"> </w:t>
      </w:r>
      <w:r>
        <w:t xml:space="preserve">received a $400 million DOE award for deployment at TVA’s Clinch River</w:t>
      </w:r>
      <w:r>
        <w:t xml:space="preserve"> </w:t>
      </w:r>
      <w:r>
        <w:t xml:space="preserve">site </w:t>
      </w:r>
      <w:r>
        <w:t xml:space="preserve">. Each of these programs introduces novel</w:t>
      </w:r>
      <w:r>
        <w:t xml:space="preserve"> </w:t>
      </w:r>
      <w:r>
        <w:t xml:space="preserve">coolant chemistries, fuel geometries, and multi-module control architectures</w:t>
      </w:r>
      <w:r>
        <w:t xml:space="preserve"> </w:t>
      </w:r>
      <w:r>
        <w:t xml:space="preserve">that existing monitoring technologies were never designed to address.</w:t>
      </w:r>
    </w:p>
    <w:bookmarkEnd w:id="9"/>
    <w:bookmarkStart w:id="10" w:name="X4e10b831132be224befe83196e8428fb2589f5d"/>
    <w:p>
      <w:pPr>
        <w:pStyle w:val="Heading2"/>
      </w:pPr>
      <w:r>
        <w:t xml:space="preserve">The Regulatory Foundation for Radiation Monitoring</w:t>
      </w:r>
    </w:p>
    <w:p>
      <w:pPr>
        <w:pStyle w:val="FirstParagraph"/>
      </w:pPr>
      <w:r>
        <w:t xml:space="preserve">Continuous radiation monitoring across neutron flux, gamma dose, primary</w:t>
      </w:r>
      <w:r>
        <w:t xml:space="preserve"> </w:t>
      </w:r>
      <w:r>
        <w:t xml:space="preserve">coolant activity, and effluent pathways is mandated by the regulatory</w:t>
      </w:r>
      <w:r>
        <w:t xml:space="preserve"> </w:t>
      </w:r>
      <w:r>
        <w:t xml:space="preserve">foundations of nuclear operation, not merely encouraged by best practice.</w:t>
      </w:r>
      <w:r>
        <w:t xml:space="preserve"> </w:t>
      </w:r>
      <w:r>
        <w:t xml:space="preserve">The NRC’s General Design Criteria (GDC), codified in 10 CFR 50 Appendix A,</w:t>
      </w:r>
      <w:r>
        <w:t xml:space="preserve"> </w:t>
      </w:r>
      <w:r>
        <w:t xml:space="preserve">establish this requirement at the highest level of the licensing framework.</w:t>
      </w:r>
      <w:r>
        <w:t xml:space="preserve"> </w:t>
      </w:r>
      <w:r>
        <w:t xml:space="preserve">GDC 13 requires instrumentation capable of monitoring all variables that</w:t>
      </w:r>
      <w:r>
        <w:t xml:space="preserve"> </w:t>
      </w:r>
      <w:r>
        <w:t xml:space="preserve">affect the reactor core, coolant pressure boundary, and containment integrity;</w:t>
      </w:r>
      <w:r>
        <w:t xml:space="preserve"> </w:t>
      </w:r>
      <w:r>
        <w:t xml:space="preserve">GDC 64 mandates monitoring of the containment atmosphere, recirculation</w:t>
      </w:r>
      <w:r>
        <w:t xml:space="preserve"> </w:t>
      </w:r>
      <w:r>
        <w:t xml:space="preserve">spaces, and effluent pathways for radioactivity; and GDC 19 requires that</w:t>
      </w:r>
      <w:r>
        <w:t xml:space="preserve"> </w:t>
      </w:r>
      <w:r>
        <w:t xml:space="preserve">control room operators maintain safe-shutdown capability with adequate</w:t>
      </w:r>
      <w:r>
        <w:t xml:space="preserve"> </w:t>
      </w:r>
      <w:r>
        <w:t xml:space="preserve">instrumentation even under accident conditions </w:t>
      </w:r>
      <w:r>
        <w:t xml:space="preserve">. The IAEA</w:t>
      </w:r>
      <w:r>
        <w:t xml:space="preserve"> </w:t>
      </w:r>
      <w:r>
        <w:t xml:space="preserve">mirrors these requirements through the Safety Requirements for Nuclear</w:t>
      </w:r>
      <w:r>
        <w:t xml:space="preserve"> </w:t>
      </w:r>
      <w:r>
        <w:t xml:space="preserve">Power Plants (SSR-2/1) and provides detailed I&amp;C system</w:t>
      </w:r>
      <w:r>
        <w:t xml:space="preserve"> </w:t>
      </w:r>
      <w:r>
        <w:t xml:space="preserve">guidance in SSG-39 </w:t>
      </w:r>
      <w:r>
        <w:t xml:space="preserve">.</w:t>
      </w:r>
    </w:p>
    <w:p>
      <w:pPr>
        <w:pStyle w:val="BodyText"/>
      </w:pPr>
      <w:r>
        <w:t xml:space="preserve">The technical scope of these monitoring requirements is exceptionally broad. Neutron</w:t>
      </w:r>
      <w:r>
        <w:t xml:space="preserve"> </w:t>
      </w:r>
      <w:r>
        <w:t xml:space="preserve">flux measurement alone spans approximately twelve decades, from a few counts</w:t>
      </w:r>
      <w:r>
        <w:t xml:space="preserve"> </w:t>
      </w:r>
      <w:r>
        <w:t xml:space="preserve">per second during refueling to approximately</w:t>
      </w:r>
      <w:r>
        <w:t xml:space="preserve"> 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 n cm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full power, requiring three overlapping detector subsystems. Source-range</w:t>
      </w:r>
      <w:r>
        <w:t xml:space="preserve"> </w:t>
      </w:r>
      <w:r>
        <w:t xml:space="preserve">monitors based on proportional counters or fission chambers operate in</w:t>
      </w:r>
      <w:r>
        <w:t xml:space="preserve"> </w:t>
      </w:r>
      <w:r>
        <w:t xml:space="preserve">pulse-counting mode across the lowest six to seven decades during startup and</w:t>
      </w:r>
      <w:r>
        <w:t xml:space="preserve"> </w:t>
      </w:r>
      <w:r>
        <w:t xml:space="preserve">shutdown. Intermediate-range monitors employ compensated ionization chambers</w:t>
      </w:r>
      <w:r>
        <w:t xml:space="preserve"> </w:t>
      </w:r>
      <w:r>
        <w:t xml:space="preserve">in Campbell mode across approximately eight to ten decades. Power-range</w:t>
      </w:r>
      <w:r>
        <w:t xml:space="preserve"> </w:t>
      </w:r>
      <w:r>
        <w:t xml:space="preserve">monitors using uncompensated boron-lined ionization chambers cover the upper</w:t>
      </w:r>
      <w:r>
        <w:t xml:space="preserve"> </w:t>
      </w:r>
      <w:r>
        <w:t xml:space="preserve">two decades and are calibrated against secondary-side heat balance. Each of</w:t>
      </w:r>
      <w:r>
        <w:t xml:space="preserve"> </w:t>
      </w:r>
      <w:r>
        <w:t xml:space="preserve">these subsystems must meet independent safety-channel redundancy requirements,</w:t>
      </w:r>
      <w:r>
        <w:t xml:space="preserve"> </w:t>
      </w:r>
      <w:r>
        <w:t xml:space="preserve">typically two to four independent channels per range </w:t>
      </w:r>
      <w:r>
        <w:t xml:space="preserve">.</w:t>
      </w:r>
    </w:p>
    <w:p>
      <w:pPr>
        <w:pStyle w:val="BodyText"/>
      </w:pPr>
      <w:r>
        <w:t xml:space="preserve">Beyond neutron flux, plants deploy area gamma monitors throughout containment,</w:t>
      </w:r>
      <w:r>
        <w:t xml:space="preserve"> </w:t>
      </w:r>
      <w:r>
        <w:t xml:space="preserve">auxiliary buildings, fuel handling areas, and spent fuel pools to enforce</w:t>
      </w:r>
      <w:r>
        <w:t xml:space="preserve"> </w:t>
      </w:r>
      <w:r>
        <w:t xml:space="preserve">occupational dose limits under 10 CFR 20. On-line gamma spectroscopy of the</w:t>
      </w:r>
      <w:r>
        <w:t xml:space="preserve"> </w:t>
      </w:r>
      <w:r>
        <w:t xml:space="preserve">primary coolant monitors fission-product signatures that indicate</w:t>
      </w:r>
      <w:r>
        <w:t xml:space="preserve"> </w:t>
      </w:r>
      <w:r>
        <w:t xml:space="preserve">fuel-cladding breaches. Containment atmosphere monitors classified as</w:t>
      </w:r>
      <w:r>
        <w:t xml:space="preserve"> </w:t>
      </w:r>
      <w:r>
        <w:t xml:space="preserve">Category 1 under Regulatory Guide 1.97, Revision 5, must survive combined</w:t>
      </w:r>
      <w:r>
        <w:t xml:space="preserve"> </w:t>
      </w:r>
      <w:r>
        <w:t xml:space="preserve">temperature, pressure, radiation, and chemical-spray environments for the</w:t>
      </w:r>
      <w:r>
        <w:t xml:space="preserve"> </w:t>
      </w:r>
      <w:r>
        <w:t xml:space="preserve">full duration of a design-basis accident </w:t>
      </w:r>
      <w:r>
        <w:t xml:space="preserve">. Stack and</w:t>
      </w:r>
      <w:r>
        <w:t xml:space="preserve"> </w:t>
      </w:r>
      <w:r>
        <w:t xml:space="preserve">liquid effluent monitors verify compliance with 10 CFR 50 Appendix I dose</w:t>
      </w:r>
      <w:r>
        <w:t xml:space="preserve"> </w:t>
      </w:r>
      <w:r>
        <w:t xml:space="preserve">objectives, while the Radiological Environmental Monitoring Program tracks</w:t>
      </w:r>
      <w:r>
        <w:t xml:space="preserve"> </w:t>
      </w:r>
      <w:r>
        <w:t xml:space="preserve">off-site air, water, and vegetation samples under RG 4.1.</w:t>
      </w:r>
    </w:p>
    <w:p>
      <w:pPr>
        <w:pStyle w:val="BodyText"/>
      </w:pPr>
      <w:r>
        <w:t xml:space="preserve">The Fukushima Daiichi accident of March 2011 provided a severe demonstration</w:t>
      </w:r>
      <w:r>
        <w:t xml:space="preserve"> </w:t>
      </w:r>
      <w:r>
        <w:t xml:space="preserve">of the consequences when monitoring fails. The tsunami rendered 23 of 24</w:t>
      </w:r>
      <w:r>
        <w:t xml:space="preserve"> </w:t>
      </w:r>
      <w:r>
        <w:t xml:space="preserve">on-site radiation monitoring stations nonfunctional. The subsequent loss of</w:t>
      </w:r>
      <w:r>
        <w:t xml:space="preserve"> </w:t>
      </w:r>
      <w:r>
        <w:t xml:space="preserve">all AC power and battery depletion eliminated reactor vessel pressure,</w:t>
      </w:r>
      <w:r>
        <w:t xml:space="preserve"> </w:t>
      </w:r>
      <w:r>
        <w:t xml:space="preserve">temperature, and water-level indication, forcing operators to manage three</w:t>
      </w:r>
      <w:r>
        <w:t xml:space="preserve"> </w:t>
      </w:r>
      <w:r>
        <w:t xml:space="preserve">simultaneous core-melt progressions with essentially no real-time process</w:t>
      </w:r>
      <w:r>
        <w:t xml:space="preserve"> </w:t>
      </w:r>
      <w:r>
        <w:t xml:space="preserve">data </w:t>
      </w:r>
      <w:r>
        <w:t xml:space="preserve">. Spent fuel pool</w:t>
      </w:r>
      <w:r>
        <w:t xml:space="preserve"> </w:t>
      </w:r>
      <w:r>
        <w:t xml:space="preserve">instrumentation was unavailable for nearly two weeks. The NRC’s</w:t>
      </w:r>
      <w:r>
        <w:t xml:space="preserve"> </w:t>
      </w:r>
      <w:r>
        <w:t xml:space="preserve">post-Fukushima response, including Order EA-12-051 requiring backup-powered</w:t>
      </w:r>
      <w:r>
        <w:t xml:space="preserve"> </w:t>
      </w:r>
      <w:r>
        <w:t xml:space="preserve">spent fuel pool level instrumentation, the FLEX diverse-coping strategy</w:t>
      </w:r>
      <w:r>
        <w:t xml:space="preserve"> </w:t>
      </w:r>
      <w:r>
        <w:t xml:space="preserve">described in NEI 12-06, and the addition of Type F severe-accident management</w:t>
      </w:r>
      <w:r>
        <w:t xml:space="preserve"> </w:t>
      </w:r>
      <w:r>
        <w:t xml:space="preserve">variables to RG 1.97 Rev. 5, underscored that reliable monitoring is not a</w:t>
      </w:r>
      <w:r>
        <w:t xml:space="preserve"> </w:t>
      </w:r>
      <w:r>
        <w:t xml:space="preserve">compliance formality but the operational foundation of accident management.</w:t>
      </w:r>
    </w:p>
    <w:bookmarkEnd w:id="10"/>
    <w:bookmarkStart w:id="11" w:name="Xa782754ef48f10210e2c113888f07c2e27c04d3"/>
    <w:p>
      <w:pPr>
        <w:pStyle w:val="Heading2"/>
      </w:pPr>
      <w:r>
        <w:t xml:space="preserve">Limitations of Current Radiation Detector Technologies</w:t>
      </w:r>
    </w:p>
    <w:p>
      <w:pPr>
        <w:pStyle w:val="FirstParagraph"/>
      </w:pPr>
      <w:r>
        <w:t xml:space="preserve">The detector materials deployed across the nuclear industry each carry</w:t>
      </w:r>
      <w:r>
        <w:t xml:space="preserve"> </w:t>
      </w:r>
      <w:r>
        <w:t xml:space="preserve">critical limitations that constrain their use in existing plants and threaten</w:t>
      </w:r>
      <w:r>
        <w:t xml:space="preserve"> </w:t>
      </w:r>
      <w:r>
        <w:t xml:space="preserve">to preclude their adoption in advanced reactor environments. High-purity</w:t>
      </w:r>
      <w:r>
        <w:t xml:space="preserve"> </w:t>
      </w:r>
      <w:r>
        <w:t xml:space="preserve">germanium (HPGe) remains the gold standard for gamma spectroscopy, achieving</w:t>
      </w:r>
      <w:r>
        <w:t xml:space="preserve"> </w:t>
      </w:r>
      <w:r>
        <w:t xml:space="preserve">better than 0.2% full-width at half-maximum energy resolution at 662 keV.</w:t>
      </w:r>
      <w:r>
        <w:t xml:space="preserve"> </w:t>
      </w:r>
      <w:r>
        <w:t xml:space="preserve">However, its narrow bandgap of 0.67 eV mandates cryogenic operation below</w:t>
      </w:r>
      <w:r>
        <w:t xml:space="preserve"> </w:t>
      </w:r>
      <w:r>
        <w:t xml:space="preserve">120 K. Liquid-nitrogen dewars are impractical for unattended or remote</w:t>
      </w:r>
      <w:r>
        <w:t xml:space="preserve"> </w:t>
      </w:r>
      <w:r>
        <w:t xml:space="preserve">monitoring; mechanical coolers add substantial cost, complexity, and</w:t>
      </w:r>
      <w:r>
        <w:t xml:space="preserve"> </w:t>
      </w:r>
      <w:r>
        <w:t xml:space="preserve">microphonic noise that degrades resolution at low energies. HPGe is therefore</w:t>
      </w:r>
      <w:r>
        <w:t xml:space="preserve"> </w:t>
      </w:r>
      <w:r>
        <w:t xml:space="preserve">confined almost exclusively to laboratory and assay applications rather than</w:t>
      </w:r>
      <w:r>
        <w:t xml:space="preserve"> </w:t>
      </w:r>
      <w:r>
        <w:t xml:space="preserve">continuous in-plant monitoring </w:t>
      </w:r>
      <w:r>
        <w:t xml:space="preserve">.</w:t>
      </w:r>
    </w:p>
    <w:p>
      <w:pPr>
        <w:pStyle w:val="BodyText"/>
      </w:pPr>
      <w:r>
        <w:t xml:space="preserve">Silicon detectors dominate charged-particle detection and, in research</w:t>
      </w:r>
      <w:r>
        <w:t xml:space="preserve"> </w:t>
      </w:r>
      <w:r>
        <w:t xml:space="preserve">settings, are used for fast-neutron spectrometry via proton-recoil</w:t>
      </w:r>
      <w:r>
        <w:t xml:space="preserve"> </w:t>
      </w:r>
      <w:r>
        <w:t xml:space="preserve">interactions </w:t>
      </w:r>
      <w:r>
        <w:t xml:space="preserve">, but suffer irreversible displacement</w:t>
      </w:r>
      <w:r>
        <w:t xml:space="preserve"> </w:t>
      </w:r>
      <w:r>
        <w:t xml:space="preserve">damage above approximately</w:t>
      </w:r>
      <w:r>
        <w:t xml:space="preserve"> </w:t>
      </w:r>
      <m:oMath>
        <m:sSup>
          <m:e>
            <m:r>
              <m:t>10</m:t>
            </m:r>
          </m:e>
          <m:sup>
            <m:r>
              <m:t>14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 n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fluence, with charge-collection efficiency falling toward 50%, a threshold</w:t>
      </w:r>
      <w:r>
        <w:t xml:space="preserve"> </w:t>
      </w:r>
      <w:r>
        <w:t xml:space="preserve">easily surpassed in the lifetime of a power-reactor</w:t>
      </w:r>
      <w:r>
        <w:t xml:space="preserve"> </w:t>
      </w:r>
      <w:r>
        <w:t xml:space="preserve">instrument </w:t>
      </w:r>
      <w:r>
        <w:t xml:space="preserve">. Silicon’s low atomic number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t xml:space="preserve">)</w:t>
      </w:r>
      <w:r>
        <w:t xml:space="preserve"> </w:t>
      </w:r>
      <w:r>
        <w:t xml:space="preserve">also provides poor photoelectric stopping power for gamma-ray energies above</w:t>
      </w:r>
      <w:r>
        <w:t xml:space="preserve"> </w:t>
      </w:r>
      <w:r>
        <w:t xml:space="preserve">a few hundred keV, making it poorly suited to the mixed neutron-gamma fields</w:t>
      </w:r>
      <w:r>
        <w:t xml:space="preserve"> </w:t>
      </w:r>
      <w:r>
        <w:t xml:space="preserve">present throughout a reactor plant.</w:t>
      </w:r>
    </w:p>
    <w:p>
      <w:pPr>
        <w:pStyle w:val="BodyText"/>
      </w:pPr>
      <w:r>
        <w:t xml:space="preserve">Scintillators constitute the most widely deployed class of gamma-detection</w:t>
      </w:r>
      <w:r>
        <w:t xml:space="preserve"> </w:t>
      </w:r>
      <w:r>
        <w:t xml:space="preserve">instruments and are valued for their ability to produce measurable light from</w:t>
      </w:r>
      <w:r>
        <w:t xml:space="preserve"> </w:t>
      </w:r>
      <w:r>
        <w:t xml:space="preserve">a wide range of ionizing radiations. Sodium iodide thallium-doped</w:t>
      </w:r>
      <w:r>
        <w:t xml:space="preserve"> </w:t>
      </w:r>
      <w:r>
        <w:t xml:space="preserve">[NaI(Tl)] crystals, the workhorse material, achieve approximately 6–7%</w:t>
      </w:r>
      <w:r>
        <w:t xml:space="preserve"> </w:t>
      </w:r>
      <w:r>
        <w:t xml:space="preserve">energy resolution at 662 keV but are highly hygroscopic, mechanically</w:t>
      </w:r>
      <w:r>
        <w:t xml:space="preserve"> </w:t>
      </w:r>
      <w:r>
        <w:t xml:space="preserve">fragile, and must be coupled to photomultiplier tubes that are sensitive to</w:t>
      </w:r>
      <w:r>
        <w:t xml:space="preserve"> </w:t>
      </w:r>
      <w:r>
        <w:t xml:space="preserve">magnetic fields, fragile under shock and vibration, and require high-voltage</w:t>
      </w:r>
      <w:r>
        <w:t xml:space="preserve"> </w:t>
      </w:r>
      <w:r>
        <w:t xml:space="preserve">supplies of 800–1200 V </w:t>
      </w:r>
      <w:r>
        <w:t xml:space="preserve">. Advanced scintillators such as</w:t>
      </w:r>
      <w:r>
        <w:t xml:space="preserve"> </w:t>
      </w:r>
      <w:r>
        <w:t xml:space="preserve">LaBr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(Ce) achieve approximately 3% resolution but contain intrinsic</w:t>
      </w:r>
      <w:r>
        <w:t xml:space="preserve"> </w:t>
      </w:r>
      <w:r>
        <w:t xml:space="preserve">radioactivity from</w:t>
      </w:r>
      <w:r>
        <w:t xml:space="preserve"> </w:t>
      </w:r>
      <m:oMath>
        <m:sSup>
          <m:e>
            <m:r>
              <m:t>​</m:t>
            </m:r>
          </m:e>
          <m:sup>
            <m:r>
              <m:t>138</m:t>
            </m:r>
          </m:sup>
        </m:sSup>
      </m:oMath>
      <w:r>
        <w:t xml:space="preserve">La that creates a flat background continuum</w:t>
      </w:r>
      <w:r>
        <w:t xml:space="preserve"> </w:t>
      </w:r>
      <w:r>
        <w:t xml:space="preserve">complicating low-level measurements. Organic scintillators, including</w:t>
      </w:r>
      <w:r>
        <w:t xml:space="preserve"> </w:t>
      </w:r>
      <w:r>
        <w:t xml:space="preserve">plastic scintillators and stilbene crystals, are well established for fast</w:t>
      </w:r>
      <w:r>
        <w:t xml:space="preserve"> </w:t>
      </w:r>
      <w:r>
        <w:t xml:space="preserve">neutron detection through proton-recoil interactions, but their low effective</w:t>
      </w:r>
      <w:r>
        <w:t xml:space="preserve"> </w:t>
      </w:r>
      <w:r>
        <w:t xml:space="preserve">atomic number renders them essentially transparent to gamma rays, requiring</w:t>
      </w:r>
      <w:r>
        <w:t xml:space="preserve"> </w:t>
      </w:r>
      <w:r>
        <w:t xml:space="preserve">either active discrimination electronics or companion gamma-shielding that</w:t>
      </w:r>
      <w:r>
        <w:t xml:space="preserve"> </w:t>
      </w:r>
      <w:r>
        <w:t xml:space="preserve">adds mass, cost, and complexity.</w:t>
      </w:r>
    </w:p>
    <w:p>
      <w:pPr>
        <w:pStyle w:val="BodyText"/>
      </w:pPr>
      <w:r>
        <w:t xml:space="preserve">Cadmium zinc telluride (CZT) represents the most mature room-temperature</w:t>
      </w:r>
      <w:r>
        <w:t xml:space="preserve"> </w:t>
      </w:r>
      <w:r>
        <w:t xml:space="preserve">semiconductor alternative, offering energy resolutions approaching 0.7%</w:t>
      </w:r>
      <w:r>
        <w:t xml:space="preserve"> </w:t>
      </w:r>
      <w:r>
        <w:t xml:space="preserve">at 662 keV in pixelated geometries with full single-carrier-transport</w:t>
      </w:r>
      <w:r>
        <w:t xml:space="preserve"> </w:t>
      </w:r>
      <w:r>
        <w:t xml:space="preserve">correction. However, CZT crystal growth requires extremely precise control</w:t>
      </w:r>
      <w:r>
        <w:t xml:space="preserve"> </w:t>
      </w:r>
      <w:r>
        <w:t xml:space="preserve">of stoichiometry and vapor-phase conditions during directional</w:t>
      </w:r>
      <w:r>
        <w:t xml:space="preserve"> </w:t>
      </w:r>
      <w:r>
        <w:t xml:space="preserve">solidification: high cadmium vapor pressure promotes vacancy defects,</w:t>
      </w:r>
      <w:r>
        <w:t xml:space="preserve"> </w:t>
      </w:r>
      <w:r>
        <w:t xml:space="preserve">tellurium inclusions limit boule diameter, and critical shear stresses</w:t>
      </w:r>
      <w:r>
        <w:t xml:space="preserve"> </w:t>
      </w:r>
      <w:r>
        <w:t xml:space="preserve">of only 0.3 MPa make the material mechanically fragile during</w:t>
      </w:r>
      <w:r>
        <w:t xml:space="preserve"> </w:t>
      </w:r>
      <w:r>
        <w:t xml:space="preserve">processing </w:t>
      </w:r>
      <w:r>
        <w:t xml:space="preserve">. Production costs remain high, supply is</w:t>
      </w:r>
      <w:r>
        <w:t xml:space="preserve"> </w:t>
      </w:r>
      <w:r>
        <w:t xml:space="preserve">constrained, and the situation deteriorated significantly in 2025 when</w:t>
      </w:r>
      <w:r>
        <w:t xml:space="preserve"> </w:t>
      </w:r>
      <w:r>
        <w:t xml:space="preserve">the People’s Republic of China imposed export controls on germanium,</w:t>
      </w:r>
      <w:r>
        <w:t xml:space="preserve"> </w:t>
      </w:r>
      <w:r>
        <w:t xml:space="preserve">gallium, and related critical materials including cadmium telluride compounds.</w:t>
      </w:r>
    </w:p>
    <w:p>
      <w:pPr>
        <w:pStyle w:val="BodyText"/>
      </w:pPr>
      <w:r>
        <w:t xml:space="preserve">For thermal neutron detection, the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He tube has been the standard</w:t>
      </w:r>
      <w:r>
        <w:t xml:space="preserve"> </w:t>
      </w:r>
      <w:r>
        <w:t xml:space="preserve">technology since the 1950s by virtue of its high neutron absorption</w:t>
      </w:r>
      <w:r>
        <w:t xml:space="preserve"> </w:t>
      </w:r>
      <w:r>
        <w:t xml:space="preserve">cross-section (5330 barns at 0.025 eV), excellent gamma discrimination,</w:t>
      </w:r>
      <w:r>
        <w:t xml:space="preserve"> </w:t>
      </w:r>
      <w:r>
        <w:t xml:space="preserve">and compatibility with conventional pulse-counting electronics. The</w:t>
      </w:r>
      <w:r>
        <w:t xml:space="preserve"> </w:t>
      </w:r>
      <w:r>
        <w:t xml:space="preserve">supply of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He, produced exclusively as a decay product of tritium from</w:t>
      </w:r>
      <w:r>
        <w:t xml:space="preserve"> </w:t>
      </w:r>
      <w:r>
        <w:t xml:space="preserve">the nuclear-weapons stockpile, was recognized as critically constrained</w:t>
      </w:r>
      <w:r>
        <w:t xml:space="preserve"> </w:t>
      </w:r>
      <w:r>
        <w:t xml:space="preserve">following the post-September 11 deployment of approximately 1,300 radiation</w:t>
      </w:r>
      <w:r>
        <w:t xml:space="preserve"> </w:t>
      </w:r>
      <w:r>
        <w:t xml:space="preserve">portal monitors for border-security applications. Annual demand reached</w:t>
      </w:r>
      <w:r>
        <w:t xml:space="preserve"> </w:t>
      </w:r>
      <w:r>
        <w:t xml:space="preserve">roughly 70,000 L against a production rate of only approximately</w:t>
      </w:r>
      <w:r>
        <w:t xml:space="preserve"> </w:t>
      </w:r>
      <w:r>
        <w:t xml:space="preserve">8,000 L yr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driving prices from approximately $100 L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w:r>
        <w:t xml:space="preserve">over $2,000 L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prompting DOE to begin rationing allocation in</w:t>
      </w:r>
      <w:r>
        <w:t xml:space="preserve"> </w:t>
      </w:r>
      <w:r>
        <w:t xml:space="preserve">2009 </w:t>
      </w:r>
      <w:r>
        <w:t xml:space="preserve">. The episode exposed the fragility of depending</w:t>
      </w:r>
      <w:r>
        <w:t xml:space="preserve"> </w:t>
      </w:r>
      <w:r>
        <w:t xml:space="preserve">on a single non-renewable detection medium and has accelerated development</w:t>
      </w:r>
      <w:r>
        <w:t xml:space="preserve"> </w:t>
      </w:r>
      <w:r>
        <w:t xml:space="preserve">of alternative neutron detectors using</w:t>
      </w:r>
      <w:r>
        <w:t xml:space="preserve"> </w:t>
      </w:r>
      <m:oMath>
        <m:sSup>
          <m:e>
            <m:r>
              <m:t>​</m:t>
            </m:r>
          </m:e>
          <m:sup>
            <m:r>
              <m:t>10</m:t>
            </m:r>
          </m:sup>
        </m:sSup>
      </m:oMath>
      <w:r>
        <w:t xml:space="preserve">B-lined tubes and</w:t>
      </w:r>
      <w:r>
        <w:t xml:space="preserve"> </w:t>
      </w:r>
      <m:oMath>
        <m:sSup>
          <m:e>
            <m:r>
              <m:t>​</m:t>
            </m:r>
          </m:e>
          <m:sup>
            <m:r>
              <m:t>6</m:t>
            </m:r>
          </m:sup>
        </m:sSup>
      </m:oMath>
      <w:r>
        <w:t xml:space="preserve">LiF:ZnS scintillator screens.</w:t>
      </w:r>
    </w:p>
    <w:p>
      <w:pPr>
        <w:pStyle w:val="BodyText"/>
      </w:pPr>
      <w:r>
        <w:t xml:space="preserve">Halide perovskites have emerged as a compelling alternative class of</w:t>
      </w:r>
      <w:r>
        <w:t xml:space="preserve"> </w:t>
      </w:r>
      <w:r>
        <w:t xml:space="preserve">radiation-responsive materials. Their high effective atomic number,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65.9</m:t>
        </m:r>
      </m:oMath>
      <w:r>
        <w:t xml:space="preserve">, compared to 50.2 for CZT, provides excellent</w:t>
      </w:r>
      <w:r>
        <w:t xml:space="preserve"> </w:t>
      </w:r>
      <w:r>
        <w:t xml:space="preserve">photoelectric stopping power for gamma radiation </w:t>
      </w:r>
      <w:r>
        <w:t xml:space="preserve">.</w:t>
      </w:r>
      <w:r>
        <w:t xml:space="preserve"> </w:t>
      </w:r>
      <w:r>
        <w:t xml:space="preserve">Single-crystal MAPbBr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devices, operating at room</w:t>
      </w:r>
      <w:r>
        <w:t xml:space="preserve"> </w:t>
      </w:r>
      <w:r>
        <w:t xml:space="preserve">temperature, have demonstrated</w:t>
      </w:r>
      <w:r>
        <w:t xml:space="preserve"> </w:t>
      </w:r>
      <w:r>
        <w:t xml:space="preserve">mobility-lifetime products of up to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 V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energy resolutions approaching 1.4% at 662 keV </w:t>
      </w:r>
      <w:r>
        <w:t xml:space="preserve">,</w:t>
      </w:r>
      <w:r>
        <w:t xml:space="preserve"> </w:t>
      </w:r>
      <w:r>
        <w:t xml:space="preserve">approaching CZT performance without cryogenic cooling or Bridgman growth.</w:t>
      </w:r>
      <w:r>
        <w:t xml:space="preserve"> </w:t>
      </w:r>
      <w:r>
        <w:t xml:space="preserve">A distinctive self-healing mechanism, in which the soft perovskite lattice</w:t>
      </w:r>
      <w:r>
        <w:t xml:space="preserve"> </w:t>
      </w:r>
      <w:r>
        <w:t xml:space="preserve">allows radiation-displaced ions to migrate back toward equilibrium positions</w:t>
      </w:r>
      <w:r>
        <w:t xml:space="preserve"> </w:t>
      </w:r>
      <w:r>
        <w:t xml:space="preserve">at room temperature, has been confirmed under proton irradiation to</w:t>
      </w:r>
      <w:r>
        <w:t xml:space="preserve"> </w:t>
      </w:r>
      <m:oMath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 p cm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 extended gamma exposures </w:t>
      </w:r>
      <w:r>
        <w:t xml:space="preserve">.</w:t>
      </w:r>
      <w:r>
        <w:t xml:space="preserve"> </w:t>
      </w:r>
      <w:r>
        <w:t xml:space="preserve">The methylhydrazinium lead chloride (MHyPbCl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) composition investigated</w:t>
      </w:r>
      <w:r>
        <w:t xml:space="preserve"> </w:t>
      </w:r>
      <w:r>
        <w:t xml:space="preserve">in this work introduces a high-hydrogen-density 3D perovskite framework</w:t>
      </w:r>
      <w:r>
        <w:t xml:space="preserve"> </w:t>
      </w:r>
      <w:r>
        <w:t xml:space="preserve">with a hydrogen density of</w:t>
      </w:r>
      <w:r>
        <w:t xml:space="preserve"> </w:t>
      </w:r>
      <m:oMath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comparable to</w:t>
      </w:r>
      <w:r>
        <w:t xml:space="preserve"> </w:t>
      </w:r>
      <w:r>
        <w:t xml:space="preserve">organic scintillators, enabling direct fast-neutron conversion through proton</w:t>
      </w:r>
      <w:r>
        <w:t xml:space="preserve"> </w:t>
      </w:r>
      <w:r>
        <w:t xml:space="preserve">recoil without requiring a separate moderator or conversion</w:t>
      </w:r>
      <w:r>
        <w:t xml:space="preserve"> </w:t>
      </w:r>
      <w:r>
        <w:t xml:space="preserve">layer </w:t>
      </w:r>
      <w:r>
        <w:t xml:space="preserve">.</w:t>
      </w:r>
    </w:p>
    <w:p>
      <w:pPr>
        <w:pStyle w:val="BodyText"/>
      </w:pPr>
      <w:r>
        <w:t xml:space="preserve">Significant challenges remain. Ion migration under applied electric fields</w:t>
      </w:r>
      <w:r>
        <w:t xml:space="preserve"> </w:t>
      </w:r>
      <w:r>
        <w:t xml:space="preserve">and elevated humidity drives hysteresis in current-voltage characteristics</w:t>
      </w:r>
      <w:r>
        <w:t xml:space="preserve"> </w:t>
      </w:r>
      <w:r>
        <w:t xml:space="preserve">and accelerates device failure at the biases required for thick-crystal</w:t>
      </w:r>
      <w:r>
        <w:t xml:space="preserve"> </w:t>
      </w:r>
      <w:r>
        <w:t xml:space="preserve">direct-conversion operation. Long-term stability data at power-reactor</w:t>
      </w:r>
      <w:r>
        <w:t xml:space="preserve"> </w:t>
      </w:r>
      <w:r>
        <w:t xml:space="preserve">fluence levels (</w:t>
      </w:r>
      <m:oMath>
        <m:sSup>
          <m:e>
            <m:r>
              <m:t>10</m:t>
            </m:r>
          </m:e>
          <m:sup>
            <m:r>
              <m:t>14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15</m:t>
            </m:r>
          </m:sup>
        </m:sSup>
      </m:oMath>
      <w:r>
        <w:t xml:space="preserve"> n cm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 remain absent from the</w:t>
      </w:r>
      <w:r>
        <w:t xml:space="preserve"> </w:t>
      </w:r>
      <w:r>
        <w:t xml:space="preserve">literature. Lead toxicity presents regulatory and environmental considerations</w:t>
      </w:r>
      <w:r>
        <w:t xml:space="preserve"> </w:t>
      </w:r>
      <w:r>
        <w:t xml:space="preserve">for deployed instruments. These challenges motivate the stabilization</w:t>
      </w:r>
      <w:r>
        <w:t xml:space="preserve"> </w:t>
      </w:r>
      <w:r>
        <w:t xml:space="preserve">strategies, fluorinated surface passivation, hexagonal boron nitride</w:t>
      </w:r>
      <w:r>
        <w:t xml:space="preserve"> </w:t>
      </w:r>
      <w:r>
        <w:t xml:space="preserve">composites, and vacuum operation, investigated in the present work.</w:t>
      </w:r>
    </w:p>
    <w:bookmarkEnd w:id="11"/>
    <w:bookmarkStart w:id="12" w:name="sec:intro_economics"/>
    <w:p>
      <w:pPr>
        <w:pStyle w:val="Heading2"/>
      </w:pPr>
      <w:r>
        <w:t xml:space="preserve">The Economics of Nuclear Instrumentation</w:t>
      </w:r>
    </w:p>
    <w:p>
      <w:pPr>
        <w:pStyle w:val="FirstParagraph"/>
      </w:pPr>
      <w:r>
        <w:t xml:space="preserve">Cost overruns in nuclear construction have become the defining obstacle to</w:t>
      </w:r>
      <w:r>
        <w:t xml:space="preserve"> </w:t>
      </w:r>
      <w:r>
        <w:t xml:space="preserve">expansion in liberalized electricity markets. The two AP1000 units completed</w:t>
      </w:r>
      <w:r>
        <w:t xml:space="preserve"> </w:t>
      </w:r>
      <w:r>
        <w:t xml:space="preserve">at Plant Vogtle in Georgia cost approximately $35 billion against an original</w:t>
      </w:r>
      <w:r>
        <w:t xml:space="preserve"> </w:t>
      </w:r>
      <w:r>
        <w:t xml:space="preserve">estimate of $14 billion </w:t>
      </w:r>
      <w:r>
        <w:t xml:space="preserve">. France’s Flamanville 3 EPR</w:t>
      </w:r>
      <w:r>
        <w:t xml:space="preserve"> </w:t>
      </w:r>
      <w:r>
        <w:t xml:space="preserve">reached 23.7 billion, seven times its original budget, after</w:t>
      </w:r>
      <w:r>
        <w:t xml:space="preserve"> </w:t>
      </w:r>
      <w:r>
        <w:t xml:space="preserve">seventeen years of construction. The UK’s Hinkley Point C has escalated to</w:t>
      </w:r>
      <w:r>
        <w:t xml:space="preserve"> </w:t>
      </w:r>
      <w:r>
        <w:t xml:space="preserve">an estimated £35 billion in 2015 prices against an initial projection of</w:t>
      </w:r>
      <w:r>
        <w:t xml:space="preserve"> </w:t>
      </w:r>
      <w:r>
        <w:t xml:space="preserve">approximately £18 billion </w:t>
      </w:r>
      <w:r>
        <w:t xml:space="preserve">. New nuclear levelized</w:t>
      </w:r>
      <w:r>
        <w:t xml:space="preserve"> </w:t>
      </w:r>
      <w:r>
        <w:t xml:space="preserve">cost of electricity in the United States ranges from approximately</w:t>
      </w:r>
      <w:r>
        <w:t xml:space="preserve"> </w:t>
      </w:r>
      <w:r>
        <w:t xml:space="preserve">$110 MWh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(EIA) to $180 MWh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(Lazard), compared to</w:t>
      </w:r>
      <w:r>
        <w:t xml:space="preserve"> </w:t>
      </w:r>
      <w:r>
        <w:t xml:space="preserve">approximately $55 MWh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utility-scale solar and</w:t>
      </w:r>
      <w:r>
        <w:t xml:space="preserve"> </w:t>
      </w:r>
      <w:r>
        <w:t xml:space="preserve">$40 MWh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onshore wind. The existing U.S. fleet operates far</w:t>
      </w:r>
      <w:r>
        <w:t xml:space="preserve"> </w:t>
      </w:r>
      <w:r>
        <w:t xml:space="preserve">more competitively, NEI reports a 2023 average total generating cost of</w:t>
      </w:r>
      <w:r>
        <w:t xml:space="preserve"> </w:t>
      </w:r>
      <w:r>
        <w:t xml:space="preserve">$31.76 MWh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lowest on record </w:t>
      </w:r>
      <w:r>
        <w:t xml:space="preserve">, but</w:t>
      </w:r>
      <w:r>
        <w:t xml:space="preserve"> </w:t>
      </w:r>
      <w:r>
        <w:t xml:space="preserve">twelve commercial reactors have closed since 2013 due to competitive</w:t>
      </w:r>
      <w:r>
        <w:t xml:space="preserve"> </w:t>
      </w:r>
      <w:r>
        <w:t xml:space="preserve">pressure, and emergency support programs including a $6 billion Civil</w:t>
      </w:r>
      <w:r>
        <w:t xml:space="preserve"> </w:t>
      </w:r>
      <w:r>
        <w:t xml:space="preserve">Nuclear Credit allocation have been required to prevent further</w:t>
      </w:r>
      <w:r>
        <w:t xml:space="preserve"> </w:t>
      </w:r>
      <w:r>
        <w:t xml:space="preserve">premature retirements </w:t>
      </w:r>
      <w:r>
        <w:t xml:space="preserve">.</w:t>
      </w:r>
    </w:p>
    <w:p>
      <w:pPr>
        <w:pStyle w:val="BodyText"/>
      </w:pPr>
      <w:r>
        <w:t xml:space="preserve">Instrumentation and control systems, while representing an estimated 5–10%</w:t>
      </w:r>
      <w:r>
        <w:t xml:space="preserve"> </w:t>
      </w:r>
      <w:r>
        <w:t xml:space="preserve">of total plant capital cost, exert a disproportionate influence on both</w:t>
      </w:r>
      <w:r>
        <w:t xml:space="preserve"> </w:t>
      </w:r>
      <w:r>
        <w:t xml:space="preserve">construction timelines and long-term operating expenses. A typical large</w:t>
      </w:r>
      <w:r>
        <w:t xml:space="preserve"> </w:t>
      </w:r>
      <w:r>
        <w:t xml:space="preserve">light-water reactor contains approximately 10,000 sensors, 5,000 km of</w:t>
      </w:r>
      <w:r>
        <w:t xml:space="preserve"> </w:t>
      </w:r>
      <w:r>
        <w:t xml:space="preserve">I&amp;C cabling, and hundreds of electronic cabinets. Nuclear-grade quality</w:t>
      </w:r>
      <w:r>
        <w:t xml:space="preserve"> </w:t>
      </w:r>
      <w:r>
        <w:t xml:space="preserve">assurance requirements under 10 CFR 50 Appendix B impose a cost premium that</w:t>
      </w:r>
      <w:r>
        <w:t xml:space="preserve"> </w:t>
      </w:r>
      <w:r>
        <w:t xml:space="preserve">pervades the entire supply chain: components manufactured to identical</w:t>
      </w:r>
      <w:r>
        <w:t xml:space="preserve"> </w:t>
      </w:r>
      <w:r>
        <w:t xml:space="preserve">functional specifications have been documented at price ratios of 4:1 or</w:t>
      </w:r>
      <w:r>
        <w:t xml:space="preserve"> </w:t>
      </w:r>
      <w:r>
        <w:t xml:space="preserve">greater between nuclear-qualified and commercial-grade procurement, driven</w:t>
      </w:r>
      <w:r>
        <w:t xml:space="preserve"> </w:t>
      </w:r>
      <w:r>
        <w:t xml:space="preserve">by QA documentation requirements, environmental qualification testing, and</w:t>
      </w:r>
      <w:r>
        <w:t xml:space="preserve"> </w:t>
      </w:r>
      <w:r>
        <w:t xml:space="preserve">the severe scarcity of nuclear-qualified suppliers </w:t>
      </w:r>
      <w:r>
        <w:t xml:space="preserve">.</w:t>
      </w:r>
      <w:r>
        <w:t xml:space="preserve"> </w:t>
      </w:r>
      <w:r>
        <w:t xml:space="preserve">Dominion Energy’s comprehensive digital I&amp;C modernization across four units</w:t>
      </w:r>
      <w:r>
        <w:t xml:space="preserve"> </w:t>
      </w:r>
      <w:r>
        <w:t xml:space="preserve">at Surry and North Anna is budgeted at $5.45 billion as part of subsequent</w:t>
      </w:r>
      <w:r>
        <w:t xml:space="preserve"> </w:t>
      </w:r>
      <w:r>
        <w:t xml:space="preserve">license renewal </w:t>
      </w:r>
      <w:r>
        <w:t xml:space="preserve">. The DOE Light Water Reactor</w:t>
      </w:r>
      <w:r>
        <w:t xml:space="preserve"> </w:t>
      </w:r>
      <w:r>
        <w:t xml:space="preserve">Sustainability (LWRS) Program has explicitly cautioned that</w:t>
      </w:r>
      <w:r>
        <w:t xml:space="preserve"> </w:t>
      </w:r>
      <w:r>
        <w:t xml:space="preserve">“wide-scale modernization of legacy I&amp;C systems could prove to be</w:t>
      </w:r>
      <w:r>
        <w:t xml:space="preserve"> </w:t>
      </w:r>
      <w:r>
        <w:t xml:space="preserve">cost-prohibitive unless implemented to enable significant business innovation.”</w:t>
      </w:r>
    </w:p>
    <w:p>
      <w:pPr>
        <w:pStyle w:val="BodyText"/>
      </w:pPr>
      <w:r>
        <w:t xml:space="preserve">The cost of radiation-hardened digital electronics amplifies this problem</w:t>
      </w:r>
      <w:r>
        <w:t xml:space="preserve"> </w:t>
      </w:r>
      <w:r>
        <w:t xml:space="preserve">at the component level. Purpose-built radiation-hardened FPGAs, the</w:t>
      </w:r>
      <w:r>
        <w:t xml:space="preserve"> </w:t>
      </w:r>
      <w:r>
        <w:t xml:space="preserve">Microchip RTG4, AMD/Xilinx XQRKU060, and their equivalents, carry price</w:t>
      </w:r>
      <w:r>
        <w:t xml:space="preserve"> </w:t>
      </w:r>
      <w:r>
        <w:t xml:space="preserve">tags of tens of thousands to hundreds of thousands of dollars per device,</w:t>
      </w:r>
      <w:r>
        <w:t xml:space="preserve"> </w:t>
      </w:r>
      <w:r>
        <w:t xml:space="preserve">a premium of 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 100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over commercial equivalents that</w:t>
      </w:r>
      <w:r>
        <w:t xml:space="preserve"> </w:t>
      </w:r>
      <w:r>
        <w:t xml:space="preserve">cost $10–500 </w:t>
      </w:r>
      <w:r>
        <w:t xml:space="preserve">. The radiation-hardened</w:t>
      </w:r>
      <w:r>
        <w:t xml:space="preserve"> </w:t>
      </w:r>
      <w:r>
        <w:t xml:space="preserve">FPGA market, valued at $465.5 million in 2024, serves primarily space</w:t>
      </w:r>
      <w:r>
        <w:t xml:space="preserve"> </w:t>
      </w:r>
      <w:r>
        <w:t xml:space="preserve">and defense applications where unit volumes are small and alternatives</w:t>
      </w:r>
      <w:r>
        <w:t xml:space="preserve"> </w:t>
      </w:r>
      <w:r>
        <w:t xml:space="preserve">do not exist. These devices trail commercial FPGAs by two to three process</w:t>
      </w:r>
      <w:r>
        <w:t xml:space="preserve"> </w:t>
      </w:r>
      <w:r>
        <w:t xml:space="preserve">generations: the Microchip RTG4 uses a 65 nm flash-based process while</w:t>
      </w:r>
      <w:r>
        <w:t xml:space="preserve"> </w:t>
      </w:r>
      <w:r>
        <w:t xml:space="preserve">commercial devices operate at 3–5 nm, a gap representing multiple orders</w:t>
      </w:r>
      <w:r>
        <w:t xml:space="preserve"> </w:t>
      </w:r>
      <w:r>
        <w:t xml:space="preserve">of magnitude in logic density, performance, and power</w:t>
      </w:r>
      <w:r>
        <w:t xml:space="preserve"> </w:t>
      </w:r>
      <w:r>
        <w:t xml:space="preserve">efficiency </w:t>
      </w:r>
      <w:r>
        <w:t xml:space="preserve">. Long lead times of 6–18</w:t>
      </w:r>
      <w:r>
        <w:t xml:space="preserve"> </w:t>
      </w:r>
      <w:r>
        <w:t xml:space="preserve">months, ITAR export restrictions, and the absence of advanced intellectual</w:t>
      </w:r>
      <w:r>
        <w:t xml:space="preserve"> </w:t>
      </w:r>
      <w:r>
        <w:t xml:space="preserve">property cores compound the challenge. For SMRs targeting a levelized cost</w:t>
      </w:r>
      <w:r>
        <w:t xml:space="preserve"> </w:t>
      </w:r>
      <w:r>
        <w:t xml:space="preserve">of electricity of $60–90 MWh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this cost structure is untenable:</w:t>
      </w:r>
      <w:r>
        <w:t xml:space="preserve"> </w:t>
      </w:r>
      <w:r>
        <w:t xml:space="preserve">I&amp;C requirements do not scale down proportionally with reactor output,</w:t>
      </w:r>
      <w:r>
        <w:t xml:space="preserve"> </w:t>
      </w:r>
      <w:r>
        <w:t xml:space="preserve">making instrumentation a higher fraction of total cost in smaller plants.</w:t>
      </w:r>
      <w:r>
        <w:t xml:space="preserve"> </w:t>
      </w:r>
      <w:r>
        <w:t xml:space="preserve">The DOE’s GEMINA program has set an aspirational target of reducing</w:t>
      </w:r>
      <w:r>
        <w:t xml:space="preserve"> </w:t>
      </w:r>
      <w:r>
        <w:t xml:space="preserve">advanced reactor operations and maintenance cost from $23 MWh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to $2 MWh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through autonomous operations and advanced diagnostics,</w:t>
      </w:r>
      <w:r>
        <w:t xml:space="preserve"> </w:t>
      </w:r>
      <w:r>
        <w:t xml:space="preserve">a goal that cannot be achieved without fundamentally cheaper and more</w:t>
      </w:r>
      <w:r>
        <w:t xml:space="preserve"> </w:t>
      </w:r>
      <w:r>
        <w:t xml:space="preserve">capable sensing and processing hardware </w:t>
      </w:r>
      <w:r>
        <w:t xml:space="preserve">.</w:t>
      </w:r>
    </w:p>
    <w:p>
      <w:pPr>
        <w:pStyle w:val="BodyText"/>
      </w:pPr>
      <w:r>
        <w:t xml:space="preserve">The alternative to purpose-built rad-hard electronics is software-defined</w:t>
      </w:r>
      <w:r>
        <w:t xml:space="preserve"> </w:t>
      </w:r>
      <w:r>
        <w:t xml:space="preserve">radiation tolerance using commercial off-the-shelf FPGAs with designer-inserted</w:t>
      </w:r>
      <w:r>
        <w:t xml:space="preserve"> </w:t>
      </w:r>
      <w:r>
        <w:t xml:space="preserve">mitigation. Triple modular redundancy (TMR) triplicates critical logic with</w:t>
      </w:r>
      <w:r>
        <w:t xml:space="preserve"> </w:t>
      </w:r>
      <w:r>
        <w:t xml:space="preserve">majority voting to correct single-event upsets in real time; configuration</w:t>
      </w:r>
      <w:r>
        <w:t xml:space="preserve"> </w:t>
      </w:r>
      <w:r>
        <w:t xml:space="preserve">memory scrubbing periodically corrects bit-flip errors in SRAM-based</w:t>
      </w:r>
      <w:r>
        <w:t xml:space="preserve"> </w:t>
      </w:r>
      <w:r>
        <w:t xml:space="preserve">FPGAs before they propagate; and partial dynamic reconfiguration enables</w:t>
      </w:r>
      <w:r>
        <w:t xml:space="preserve"> </w:t>
      </w:r>
      <w:r>
        <w:t xml:space="preserve">real-time repair of corrupted fabric regions. CERN’s two-year study of</w:t>
      </w:r>
      <w:r>
        <w:t xml:space="preserve"> </w:t>
      </w:r>
      <w:r>
        <w:t xml:space="preserve">Kintex-7 FPGAs under mixed-field radiation found no permanent operational</w:t>
      </w:r>
      <w:r>
        <w:t xml:space="preserve"> </w:t>
      </w:r>
      <w:r>
        <w:t xml:space="preserve">failures to 300 krad total ionizing dose with TMR and</w:t>
      </w:r>
      <w:r>
        <w:t xml:space="preserve"> </w:t>
      </w:r>
      <w:r>
        <w:t xml:space="preserve">scrubbing </w:t>
      </w:r>
      <w:r>
        <w:t xml:space="preserve">. Montana State University’s RadSat program</w:t>
      </w:r>
      <w:r>
        <w:t xml:space="preserve"> </w:t>
      </w:r>
      <w:r>
        <w:t xml:space="preserve">demonstrated COTS FPGA-based radiation tolerance at</w:t>
      </w:r>
      <w:r>
        <w:t xml:space="preserve"> </w:t>
      </w:r>
      <w:r>
        <w:t xml:space="preserve">“a cost 100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lower than existing radiation-hardened computers.”</w:t>
      </w:r>
      <w:r>
        <w:t xml:space="preserve"> </w:t>
      </w:r>
      <w:r>
        <w:t xml:space="preserve">A TMR-with-spares</w:t>
      </w:r>
      <w:r>
        <w:t xml:space="preserve"> </w:t>
      </w:r>
      <w:r>
        <w:t xml:space="preserve">architecture for nuclear reactor protection system logic has been</w:t>
      </w:r>
      <w:r>
        <w:t xml:space="preserve"> </w:t>
      </w:r>
      <w:r>
        <w:t xml:space="preserve">validated under cyclotron irradiation </w:t>
      </w:r>
      <w:r>
        <w:t xml:space="preserve">. These</w:t>
      </w:r>
      <w:r>
        <w:t xml:space="preserve"> </w:t>
      </w:r>
      <w:r>
        <w:t xml:space="preserve">results suggest that COTS FPGAs with mature mitigation strategies can meet</w:t>
      </w:r>
      <w:r>
        <w:t xml:space="preserve"> </w:t>
      </w:r>
      <w:r>
        <w:t xml:space="preserve">nuclear monitoring requirements at a fraction of the cost of purpose-built</w:t>
      </w:r>
      <w:r>
        <w:t xml:space="preserve"> </w:t>
      </w:r>
      <w:r>
        <w:t xml:space="preserve">rad-hard devices, provided the mitigation architecture is co-designed with</w:t>
      </w:r>
      <w:r>
        <w:t xml:space="preserve"> </w:t>
      </w:r>
      <w:r>
        <w:t xml:space="preserve">the application from the outset.</w:t>
      </w:r>
    </w:p>
    <w:bookmarkEnd w:id="12"/>
    <w:bookmarkStart w:id="13" w:name="X23b4a96302e68af67572319b3d5cb4c8504a7c2"/>
    <w:p>
      <w:pPr>
        <w:pStyle w:val="Heading2"/>
      </w:pPr>
      <w:r>
        <w:t xml:space="preserve">Research Objectives and Dissertation Organization</w:t>
      </w:r>
    </w:p>
    <w:p>
      <w:pPr>
        <w:pStyle w:val="FirstParagraph"/>
      </w:pPr>
      <w:r>
        <w:t xml:space="preserve">The research presented in this dissertation is organized around four</w:t>
      </w:r>
      <w:r>
        <w:t xml:space="preserve"> </w:t>
      </w:r>
      <w:r>
        <w:t xml:space="preserve">complementary research thrusts aligned with the materials-to-systems</w:t>
      </w:r>
      <w:r>
        <w:t xml:space="preserve"> </w:t>
      </w:r>
      <w:r>
        <w:t xml:space="preserve">hierarchy described above.</w:t>
      </w:r>
    </w:p>
    <w:p>
      <w:pPr>
        <w:pStyle w:val="BodyText"/>
      </w:pPr>
      <w:r>
        <w:t xml:space="preserve">The first thrust characterizes the radiation response of</w:t>
      </w:r>
      <w:r>
        <w:t xml:space="preserve"> </w:t>
      </w:r>
      <w:r>
        <w:t xml:space="preserve">photovoltaic-architecture halide perovskite solar cells operating as</w:t>
      </w:r>
      <w:r>
        <w:t xml:space="preserve"> </w:t>
      </w:r>
      <w:r>
        <w:t xml:space="preserve">current-mode radiation monitors.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devices</w:t>
      </w:r>
      <w:r>
        <w:t xml:space="preserve"> </w:t>
      </w:r>
      <w:r>
        <w:t xml:space="preserve">are evaluated under X-ray,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gamma, and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gamma</w:t>
      </w:r>
      <w:r>
        <w:t xml:space="preserve"> </w:t>
      </w:r>
      <w:r>
        <w:t xml:space="preserve">irradiation to establish the current-mode detection mechanism,</w:t>
      </w:r>
      <w:r>
        <w:t xml:space="preserve"> </w:t>
      </w:r>
      <w:r>
        <w:t xml:space="preserve">dose-rate scaling, and long-term degradation behavior.</w:t>
      </w:r>
    </w:p>
    <w:p>
      <w:pPr>
        <w:pStyle w:val="BodyText"/>
      </w:pPr>
      <w:r>
        <w:t xml:space="preserve">The second thrust develops and demonstrates perovskite semiconductor</w:t>
      </w:r>
      <w:r>
        <w:t xml:space="preserve"> </w:t>
      </w:r>
      <w:r>
        <w:t xml:space="preserve">radiation detectors for direct-conversion operation under applied bias.</w:t>
      </w:r>
      <w:r>
        <w:t xml:space="preserve"> </w:t>
      </w:r>
      <w:r>
        <w:t xml:space="preserve">This encompasses X-ray detection with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composite and</w:t>
      </w:r>
      <w:r>
        <w:t xml:space="preserve"> </w:t>
      </w:r>
      <w:r>
        <w:t xml:space="preserve">two-dimensional perovskite devices, gamma spectroscopy with bromide</w:t>
      </w:r>
      <w:r>
        <w:t xml:space="preserve"> </w:t>
      </w:r>
      <w:r>
        <w:t xml:space="preserve">perovskite single crystals, and fast-neutron detection using the</w:t>
      </w:r>
      <w:r>
        <w:t xml:space="preserve"> </w:t>
      </w:r>
      <w:r>
        <w:t xml:space="preserve">hydrogen-rich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composition. Ion migration under applied</w:t>
      </w:r>
      <w:r>
        <w:t xml:space="preserve"> </w:t>
      </w:r>
      <w:r>
        <w:t xml:space="preserve">electric fields is identified and addressed as the central</w:t>
      </w:r>
      <w:r>
        <w:t xml:space="preserve"> </w:t>
      </w:r>
      <w:r>
        <w:t xml:space="preserve">performance-limiting mechanism across all detector systems.</w:t>
      </w:r>
    </w:p>
    <w:p>
      <w:pPr>
        <w:pStyle w:val="BodyText"/>
      </w:pPr>
      <w:r>
        <w:t xml:space="preserve">The third thrust investigates thermal radiation sensing as an</w:t>
      </w:r>
      <w:r>
        <w:t xml:space="preserve"> </w:t>
      </w:r>
      <w:r>
        <w:t xml:space="preserve">alternative, non-electronic monitoring pathway for nuclear environments.</w:t>
      </w:r>
      <w:r>
        <w:t xml:space="preserve"> </w:t>
      </w:r>
      <w:r>
        <w:t xml:space="preserve">Analytical thermal models are developed and experimentally validated for</w:t>
      </w:r>
      <w:r>
        <w:t xml:space="preserve"> </w:t>
      </w:r>
      <w:r>
        <w:t xml:space="preserve">an Optical Fiber-Based Gamma Thermometer (OFBGT), and a proposed Optical</w:t>
      </w:r>
      <w:r>
        <w:t xml:space="preserve"> </w:t>
      </w:r>
      <w:r>
        <w:t xml:space="preserve">Fiber-Based Neutron Dosimeter (OFBND) is evaluated through simulation.</w:t>
      </w:r>
    </w:p>
    <w:p>
      <w:pPr>
        <w:pStyle w:val="BodyText"/>
      </w:pPr>
      <w:r>
        <w:t xml:space="preserve">The fourth thrust implements and validates radiation-tolerant FPGA-based</w:t>
      </w:r>
      <w:r>
        <w:t xml:space="preserve"> </w:t>
      </w:r>
      <w:r>
        <w:t xml:space="preserve">digital instrumentation for nuclear monitoring. Two complementary</w:t>
      </w:r>
      <w:r>
        <w:t xml:space="preserve"> </w:t>
      </w:r>
      <w:r>
        <w:t xml:space="preserve">benchmarks, a Flip-Flop Shift Register (FFSR) exercising</w:t>
      </w:r>
      <w:r>
        <w:t xml:space="preserve"> </w:t>
      </w:r>
      <w:r>
        <w:t xml:space="preserve">reconfiguration and readback paths, and a fixed-point thermal control</w:t>
      </w:r>
      <w:r>
        <w:t xml:space="preserve"> </w:t>
      </w:r>
      <w:r>
        <w:t xml:space="preserve">loop stressing arithmetic, control, and state evolution, are tested</w:t>
      </w:r>
      <w:r>
        <w:t xml:space="preserve"> </w:t>
      </w:r>
      <w:r>
        <w:t xml:space="preserve">under fast neutron irradiation to characterize configuration memory</w:t>
      </w:r>
      <w:r>
        <w:t xml:space="preserve"> </w:t>
      </w:r>
      <w:r>
        <w:t xml:space="preserve">upsets, latch-up susceptibility, and total ionizing dose effects in</w:t>
      </w:r>
      <w:r>
        <w:t xml:space="preserve"> </w:t>
      </w:r>
      <w:r>
        <w:t xml:space="preserve">SRAM-based FPGAs.</w:t>
      </w:r>
    </w:p>
    <w:p>
      <w:pPr>
        <w:pStyle w:val="BodyText"/>
      </w:pPr>
      <w:r>
        <w:t xml:space="preserve">The remainder of this dissertation is organized as follows. Chapter 2</w:t>
      </w:r>
      <w:r>
        <w:t xml:space="preserve"> </w:t>
      </w:r>
      <w:r>
        <w:t xml:space="preserve">provides the perovskite-focused background necessary for the materials and</w:t>
      </w:r>
      <w:r>
        <w:t xml:space="preserve"> </w:t>
      </w:r>
      <w:r>
        <w:t xml:space="preserve">device investigations, encompassing perovskite crystal structure, radiation</w:t>
      </w:r>
      <w:r>
        <w:t xml:space="preserve"> </w:t>
      </w:r>
      <w:r>
        <w:t xml:space="preserve">interaction physics, ion migration mechanisms, and the current state of</w:t>
      </w:r>
      <w:r>
        <w:t xml:space="preserve"> </w:t>
      </w:r>
      <w:r>
        <w:t xml:space="preserve">perovskite-based radiation detectors. Chapter 3 provides the digital</w:t>
      </w:r>
      <w:r>
        <w:t xml:space="preserve"> </w:t>
      </w:r>
      <w:r>
        <w:t xml:space="preserve">electronics background, covering radiation effects on semiconductor devices,</w:t>
      </w:r>
      <w:r>
        <w:t xml:space="preserve"> </w:t>
      </w:r>
      <w:r>
        <w:t xml:space="preserve">single-event effects in SRAM-based FPGAs, and the taxonomy of fault-tolerant</w:t>
      </w:r>
      <w:r>
        <w:t xml:space="preserve"> </w:t>
      </w:r>
      <w:r>
        <w:t xml:space="preserve">design approaches including triple modular redundancy and configuration</w:t>
      </w:r>
      <w:r>
        <w:t xml:space="preserve"> </w:t>
      </w:r>
      <w:r>
        <w:t xml:space="preserve">scrubbing. Chapter 4 presents the characterization of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perovskite solar cells as current-mode</w:t>
      </w:r>
      <w:r>
        <w:t xml:space="preserve"> </w:t>
      </w:r>
      <w:r>
        <w:t xml:space="preserve">radiation monitors under extended gamma irradiation. Chapter 5</w:t>
      </w:r>
      <w:r>
        <w:t xml:space="preserve"> </w:t>
      </w:r>
      <w:r>
        <w:t xml:space="preserve">consolidates the direct-conversion perovskite detector investigations,</w:t>
      </w:r>
      <w:r>
        <w:t xml:space="preserve"> </w:t>
      </w:r>
      <w:r>
        <w:t xml:space="preserve">covering X-ray detection with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-hBN and two-dimensional</w:t>
      </w:r>
      <w:r>
        <w:t xml:space="preserve"> </w:t>
      </w:r>
      <w:r>
        <w:t xml:space="preserve">perovskite devices, gamma spectroscopy with FAPbBr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CsPbBr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crystals, and fast-neutron detection with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. Chapter 6</w:t>
      </w:r>
      <w:r>
        <w:t xml:space="preserve"> </w:t>
      </w:r>
      <w:r>
        <w:t xml:space="preserve">describes the thermal radiation sensing concepts, including the OFBGT</w:t>
      </w:r>
      <w:r>
        <w:t xml:space="preserve"> </w:t>
      </w:r>
      <w:r>
        <w:t xml:space="preserve">simulation, experimental validation, and the proposed OFBND design.</w:t>
      </w:r>
      <w:r>
        <w:t xml:space="preserve"> </w:t>
      </w:r>
      <w:r>
        <w:t xml:space="preserve">Chapter 7 presents the FFSR digital electronics verification structure</w:t>
      </w:r>
      <w:r>
        <w:t xml:space="preserve"> </w:t>
      </w:r>
      <w:r>
        <w:t xml:space="preserve">and its experimental results under fast neutron irradiation at the Ohio</w:t>
      </w:r>
      <w:r>
        <w:t xml:space="preserve"> </w:t>
      </w:r>
      <w:r>
        <w:t xml:space="preserve">State University Research Reactor. Chapter 8 extends the FPGA</w:t>
      </w:r>
      <w:r>
        <w:t xml:space="preserve"> </w:t>
      </w:r>
      <w:r>
        <w:t xml:space="preserve">irradiation campaign with a fixed-point thermal control benchmark that</w:t>
      </w:r>
      <w:r>
        <w:t xml:space="preserve"> </w:t>
      </w:r>
      <w:r>
        <w:t xml:space="preserve">couples closed-loop feedback control, emulated plant dynamics, and</w:t>
      </w:r>
      <w:r>
        <w:t xml:space="preserve"> </w:t>
      </w:r>
      <w:r>
        <w:t xml:space="preserve">dual-modular redundancy. Chapter 9 synthesizes the principal findings</w:t>
      </w:r>
      <w:r>
        <w:t xml:space="preserve"> </w:t>
      </w:r>
      <w:r>
        <w:t xml:space="preserve">across all four research thrusts and identifies directions for future</w:t>
      </w:r>
      <w:r>
        <w:t xml:space="preserve"> </w:t>
      </w:r>
      <w:r>
        <w:t xml:space="preserve">work.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2026-03-30T17:29:42Z</dcterms:created>
  <dcterms:modified xsi:type="dcterms:W3CDTF">2026-03-30T17:29:42Z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bibfile.bib</vt:lpwstr>
  </property>
</Properties>
</file>