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3.png" ContentType="image/png"/>
  <Override PartName="/word/media/rId22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ch:CsFAPbI"/>
    <w:p>
      <w:pPr>
        <w:pStyle w:val="Heading1"/>
      </w:pP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Perovskite Solar Cells as Ionizing Radiation Monitors</w:t>
      </w:r>
    </w:p>
    <w:p>
      <w:pPr>
        <w:pStyle w:val="FirstParagraph"/>
      </w:pPr>
      <w:r>
        <w:t xml:space="preserve">The preceding chapter established that halide perovskites combine the</w:t>
      </w:r>
      <w:r>
        <w:t xml:space="preserve"> </w:t>
      </w:r>
      <w:r>
        <w:t xml:space="preserve">electronic properties requisite for radiation detection, high effective</w:t>
      </w:r>
      <w:r>
        <w:t xml:space="preserve"> </w:t>
      </w:r>
      <w:r>
        <w:t xml:space="preserve">atomic number, adequate charge-carrier mobility-lifetime products, and</w:t>
      </w:r>
      <w:r>
        <w:t xml:space="preserve"> </w:t>
      </w:r>
      <w:r>
        <w:t xml:space="preserve">tunable bandgap, with solution-processable fabrication routes</w:t>
      </w:r>
      <w:r>
        <w:t xml:space="preserve"> </w:t>
      </w:r>
      <w:r>
        <w:t xml:space="preserve">inaccessible to conventional compound semiconductors. The work</w:t>
      </w:r>
      <w:r>
        <w:t xml:space="preserve"> </w:t>
      </w:r>
      <w:r>
        <w:t xml:space="preserve">described in this chapter exploits a distinct but complementary</w:t>
      </w:r>
      <w:r>
        <w:t xml:space="preserve"> </w:t>
      </w:r>
      <w:r>
        <w:t xml:space="preserve">strategy: rather than deploying a thick single crystal as a direct</w:t>
      </w:r>
      <w:r>
        <w:t xml:space="preserve"> </w:t>
      </w:r>
      <w:r>
        <w:t xml:space="preserve">charge-collection detector, it repurposes a photovoltaic-architecture</w:t>
      </w:r>
      <w:r>
        <w:t xml:space="preserve"> </w:t>
      </w:r>
      <w:r>
        <w:t xml:space="preserve">thin-film device as a</w:t>
      </w:r>
      <w:r>
        <w:t xml:space="preserve"> </w:t>
      </w:r>
      <w:r>
        <w:rPr>
          <w:i/>
          <w:iCs/>
        </w:rPr>
        <w:t xml:space="preserve">current-mode radiation monitor</w:t>
      </w:r>
      <w:r>
        <w:t xml:space="preserve">. The</w:t>
      </w:r>
      <w:r>
        <w:t xml:space="preserve"> </w:t>
      </w:r>
      <w:r>
        <w:t xml:space="preserve">rationale is twofold. First, modern perovskite solar cells have</w:t>
      </w:r>
      <w:r>
        <w:t xml:space="preserve"> </w:t>
      </w:r>
      <w:r>
        <w:t xml:space="preserve">reached certified power-conversion efficiencies exceeding</w:t>
      </w:r>
      <w:r>
        <w:t xml:space="preserve"> </w:t>
      </w:r>
      <w:r>
        <w:t xml:space="preserve">27% </w:t>
      </w:r>
      <w:r>
        <w:t xml:space="preserve">, implying that the absorber layers have been</w:t>
      </w:r>
      <w:r>
        <w:t xml:space="preserve"> </w:t>
      </w:r>
      <w:r>
        <w:t xml:space="preserve">optimized over a decade of intense materials research for the very</w:t>
      </w:r>
      <w:r>
        <w:t xml:space="preserve"> </w:t>
      </w:r>
      <w:r>
        <w:t xml:space="preserve">properties, long carrier diffusion lengths, low trap-state densities,</w:t>
      </w:r>
      <w:r>
        <w:t xml:space="preserve"> </w:t>
      </w:r>
      <w:r>
        <w:t xml:space="preserve">and efficient carrier extraction, that also govern sensitivity to</w:t>
      </w:r>
      <w:r>
        <w:t xml:space="preserve"> </w:t>
      </w:r>
      <w:r>
        <w:t xml:space="preserve">ionizing radiation. Second, photovoltaic modules are inherently scalable</w:t>
      </w:r>
      <w:r>
        <w:t xml:space="preserve"> </w:t>
      </w:r>
      <w:r>
        <w:t xml:space="preserve">in area, enabling the construction of sensor arrays whose geometric</w:t>
      </w:r>
      <w:r>
        <w:t xml:space="preserve"> </w:t>
      </w:r>
      <w:r>
        <w:t xml:space="preserve">aperture is far larger than what is practical with single-crystal bulk</w:t>
      </w:r>
      <w:r>
        <w:t xml:space="preserve"> </w:t>
      </w:r>
      <w:r>
        <w:t xml:space="preserve">detectors, and whose short-circuit current provides a direct analog</w:t>
      </w:r>
      <w:r>
        <w:t xml:space="preserve"> </w:t>
      </w:r>
      <w:r>
        <w:t xml:space="preserve">output suitable for interfacing with standard nuclear instrumentation.</w:t>
      </w:r>
    </w:p>
    <w:p>
      <w:pPr>
        <w:pStyle w:val="BodyText"/>
      </w:pPr>
      <w:r>
        <w:t xml:space="preserve">The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composition is specifically chosen</w:t>
      </w:r>
      <w:r>
        <w:t xml:space="preserve"> </w:t>
      </w:r>
      <w:r>
        <w:t xml:space="preserve">because partial substitution of cesium for formamidinium suppresses</w:t>
      </w:r>
      <w:r>
        <w:t xml:space="preserve"> </w:t>
      </w:r>
      <w:r>
        <w:t xml:space="preserve">the spontaneous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δ</m:t>
        </m:r>
      </m:oMath>
      <w:r>
        <w:t xml:space="preserve"> </w:t>
      </w:r>
      <w:r>
        <w:t xml:space="preserve">phase transition of pure FAPbI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while preserving its 1.48 eV bandgap and superior charge transport</w:t>
      </w:r>
      <w:r>
        <w:t xml:space="preserve"> </w:t>
      </w:r>
      <w:r>
        <w:t xml:space="preserve">relative to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 </w:t>
      </w:r>
      <w:r>
        <w:t xml:space="preserve">. The</w:t>
      </w:r>
      <w:r>
        <w:t xml:space="preserve"> </w:t>
      </w:r>
      <w:r>
        <w:rPr>
          <w:i/>
          <w:iCs/>
        </w:rPr>
        <w:t xml:space="preserve">pin</w:t>
      </w:r>
      <w:r>
        <w:t xml:space="preserve"> </w:t>
      </w:r>
      <w:r>
        <w:t xml:space="preserve">diode device</w:t>
      </w:r>
      <w:r>
        <w:t xml:space="preserve"> </w:t>
      </w:r>
      <w:r>
        <w:t xml:space="preserve">structure (Section </w:t>
      </w:r>
      <w:hyperlink w:anchor="sec:device_fab">
        <w:r>
          <w:rPr>
            <w:rStyle w:val="Hyperlink"/>
          </w:rPr>
          <w:t xml:space="preserve">1.1</w:t>
        </w:r>
      </w:hyperlink>
      <w:r>
        <w:t xml:space="preserve">) further suppresses dark</w:t>
      </w:r>
      <w:r>
        <w:t xml:space="preserve"> </w:t>
      </w:r>
      <w:r>
        <w:t xml:space="preserve">current relative to a simple ohmic-contact geometry, and its inverted</w:t>
      </w:r>
      <w:r>
        <w:t xml:space="preserve"> </w:t>
      </w:r>
      <w:r>
        <w:t xml:space="preserve">polarity places the transparent electrode on the illuminated face,</w:t>
      </w:r>
      <w:r>
        <w:t xml:space="preserve"> </w:t>
      </w:r>
      <w:r>
        <w:t xml:space="preserve">an arrangement that simultaneously enables photovoltaic operation under</w:t>
      </w:r>
      <w:r>
        <w:t xml:space="preserve"> </w:t>
      </w:r>
      <w:r>
        <w:t xml:space="preserve">sunlight and direct exposure of the perovskite absorber to externally</w:t>
      </w:r>
      <w:r>
        <w:t xml:space="preserve"> </w:t>
      </w:r>
      <w:r>
        <w:t xml:space="preserve">incident radiation.</w:t>
      </w:r>
    </w:p>
    <w:p>
      <w:pPr>
        <w:pStyle w:val="BodyText"/>
      </w:pPr>
      <w:r>
        <w:t xml:space="preserve">This chapter reports visible-light temporal response measurements</w:t>
      </w:r>
      <w:r>
        <w:t xml:space="preserve"> </w:t>
      </w:r>
      <w:r>
        <w:t xml:space="preserve">(Section </w:t>
      </w:r>
      <w:hyperlink w:anchor="sec:temporal_response">
        <w:r>
          <w:rPr>
            <w:rStyle w:val="Hyperlink"/>
          </w:rPr>
          <w:t xml:space="preserve">1.2</w:t>
        </w:r>
      </w:hyperlink>
      <w:r>
        <w:t xml:space="preserve">), X-ray response under pulsed</w:t>
      </w:r>
      <w:r>
        <w:t xml:space="preserve"> </w:t>
      </w:r>
      <w:r>
        <w:t xml:space="preserve">and continuous illumination (Section </w:t>
      </w:r>
      <w:hyperlink w:anchor="sec:xray_response">
        <w:r>
          <w:rPr>
            <w:rStyle w:val="Hyperlink"/>
          </w:rPr>
          <w:t xml:space="preserve">1.3</w:t>
        </w:r>
      </w:hyperlink>
      <w:r>
        <w:t xml:space="preserve">),</w:t>
      </w:r>
      <w:r>
        <w:t xml:space="preserve"> </w:t>
      </w:r>
      <w:r>
        <w:t xml:space="preserve">gamma-ray response during continuous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and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</w:t>
      </w:r>
      <w:r>
        <w:t xml:space="preserve"> </w:t>
      </w:r>
      <w:r>
        <w:t xml:space="preserve">irradiation including a six-day and sixteen-day stability study</w:t>
      </w:r>
      <w:r>
        <w:t xml:space="preserve"> </w:t>
      </w:r>
      <w:r>
        <w:t xml:space="preserve">(Section </w:t>
      </w:r>
      <w:hyperlink w:anchor="sec:gamma_response">
        <w:r>
          <w:rPr>
            <w:rStyle w:val="Hyperlink"/>
          </w:rPr>
          <w:t xml:space="preserve">1.4</w:t>
        </w:r>
      </w:hyperlink>
      <w:r>
        <w:t xml:space="preserve">), and steady-state neutron</w:t>
      </w:r>
      <w:r>
        <w:t xml:space="preserve"> </w:t>
      </w:r>
      <w:r>
        <w:t xml:space="preserve">response measurements performed at the Ohio State University Nuclear</w:t>
      </w:r>
      <w:r>
        <w:t xml:space="preserve"> </w:t>
      </w:r>
      <w:r>
        <w:t xml:space="preserve">Reactor Laboratory (Section </w:t>
      </w:r>
      <w:hyperlink w:anchor="sec:neutron_response">
        <w:r>
          <w:rPr>
            <w:rStyle w:val="Hyperlink"/>
          </w:rPr>
          <w:t xml:space="preserve">1.5</w:t>
        </w:r>
      </w:hyperlink>
      <w:r>
        <w:t xml:space="preserve">).</w:t>
      </w:r>
    </w:p>
    <w:bookmarkStart w:id="17" w:name="sec:device_fab"/>
    <w:p>
      <w:pPr>
        <w:pStyle w:val="Heading2"/>
      </w:pPr>
      <w:r>
        <w:t xml:space="preserve">Device Fabrication and Photovoltaic Performance</w:t>
      </w:r>
    </w:p>
    <w:p>
      <w:pPr>
        <w:pStyle w:val="FirstParagraph"/>
      </w:pPr>
      <w:r>
        <w:t xml:space="preserve">Devices were fabricated by Prof. Jinsong Huang’s group at the</w:t>
      </w:r>
      <w:r>
        <w:t xml:space="preserve"> </w:t>
      </w:r>
      <w:r>
        <w:t xml:space="preserve">University of North Carolina at Chapel Hill using a standard inverted</w:t>
      </w:r>
      <w:r>
        <w:t xml:space="preserve"> </w:t>
      </w:r>
      <w:r>
        <w:t xml:space="preserve">(</w:t>
      </w:r>
      <w:r>
        <w:rPr>
          <w:i/>
          <w:iCs/>
        </w:rPr>
        <w:t xml:space="preserve">pin</w:t>
      </w:r>
      <w:r>
        <w:t xml:space="preserve">) architecture developed for high-efficiency perovskite</w:t>
      </w:r>
      <w:r>
        <w:t xml:space="preserve"> </w:t>
      </w:r>
      <w:r>
        <w:t xml:space="preserve">photovoltaics. The composition of the absorber layer is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FA(CH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NH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, where the 10 mol%</w:t>
      </w:r>
      <w:r>
        <w:t xml:space="preserve"> </w:t>
      </w:r>
      <w:r>
        <w:t xml:space="preserve">Cs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substitution entropy-stabilizes the cubic</w:t>
      </w:r>
      <w:r>
        <w:t xml:space="preserve"> </w:t>
      </w:r>
      <m:oMath>
        <m:r>
          <m:t>α</m:t>
        </m:r>
      </m:oMath>
      <w:r>
        <w:t xml:space="preserve">-phase at</w:t>
      </w:r>
      <w:r>
        <w:t xml:space="preserve"> </w:t>
      </w:r>
      <w:r>
        <w:t xml:space="preserve">ambient conditions as described in Section </w:t>
      </w:r>
      <w:hyperlink w:anchor="sec:perovskite_structure">
        <w:r>
          <w:rPr>
            <w:rStyle w:val="Hyperlink"/>
          </w:rPr>
          <w:t xml:space="preserve">[sec:perovskite_structure]</w:t>
        </w:r>
      </w:hyperlink>
      <w:r>
        <w:t xml:space="preserve">.</w:t>
      </w:r>
      <w:r>
        <w:t xml:space="preserve"> </w:t>
      </w:r>
      <w:r>
        <w:t xml:space="preserve">Device fabrication proceeded by sequential solution deposition of the</w:t>
      </w:r>
      <w:r>
        <w:t xml:space="preserve"> </w:t>
      </w:r>
      <w:r>
        <w:t xml:space="preserve">hole transport layer, the perovskite precursor solution, the electron</w:t>
      </w:r>
      <w:r>
        <w:t xml:space="preserve"> </w:t>
      </w:r>
      <w:r>
        <w:t xml:space="preserve">transport layer, and the top metal contact onto glass/ITO substrates.</w:t>
      </w:r>
      <w:r>
        <w:t xml:space="preserve"> </w:t>
      </w:r>
      <w:r>
        <w:t xml:space="preserve">The layer stack, illustrated in Figure </w:t>
      </w:r>
      <w:hyperlink w:anchor="fig:device_structure">
        <w:r>
          <w:rPr>
            <w:rStyle w:val="Hyperlink"/>
          </w:rPr>
          <w:t xml:space="preserve">1.1</w:t>
        </w:r>
      </w:hyperlink>
      <w:r>
        <w:t xml:space="preserve">, is</w:t>
      </w:r>
      <w:r>
        <w:t xml:space="preserve"> </w:t>
      </w:r>
      <w:r>
        <w:t xml:space="preserve">ITO / hole transport layer /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/ electron</w:t>
      </w:r>
      <w:r>
        <w:t xml:space="preserve"> </w:t>
      </w:r>
      <w:r>
        <w:t xml:space="preserve">transport layer / Ag.</w:t>
      </w:r>
    </w:p>
    <w:bookmarkStart w:id="12" w:name="fig:device_structure"/>
    <w:p>
      <w:pPr>
        <w:pStyle w:val="CaptionedFigure"/>
      </w:pPr>
      <w:r>
        <w:drawing>
          <wp:inline>
            <wp:extent cx="3200400" cy="82522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igures/4_1_device_structur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25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Cross-sectional schematic of the</w:t>
      </w:r>
      <w:r>
        <w:t xml:space="preserve"> </w:t>
      </w:r>
      <w:r>
        <w:rPr>
          <w:i/>
          <w:iCs/>
        </w:rPr>
        <w:t xml:space="preserve">pin</w:t>
      </w:r>
      <w:r>
        <w:t xml:space="preserve"> </w:t>
      </w:r>
      <w:r>
        <w:t xml:space="preserve">perovskite</w:t>
      </w:r>
      <w:r>
        <w:t xml:space="preserve"> </w:t>
      </w:r>
      <w:r>
        <w:t xml:space="preserve">device structure used throughout this chapter. The</w:t>
      </w:r>
      <w:r>
        <w:t xml:space="preserve"> </w:t>
      </w:r>
      <w:r>
        <w:t xml:space="preserve">ITO/hole-transport-layer (HTL) contact serves as the</w:t>
      </w:r>
      <w:r>
        <w:t xml:space="preserve"> </w:t>
      </w:r>
      <w:r>
        <w:t xml:space="preserve">illuminated face for both photovoltaic and radiation-monitoring</w:t>
      </w:r>
      <w:r>
        <w:t xml:space="preserve"> </w:t>
      </w:r>
      <w:r>
        <w:t xml:space="preserve">operation; the Ag back contact completes the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absorber sandwich.</w:t>
      </w:r>
    </w:p>
    <w:bookmarkEnd w:id="12"/>
    <w:p>
      <w:pPr>
        <w:pStyle w:val="BodyText"/>
      </w:pPr>
      <w:r>
        <w:t xml:space="preserve">Two device geometries were characterized: a small-area cell (</w:t>
      </w:r>
      <m:oMath>
        <m:r>
          <m:rPr>
            <m:sty m:val="p"/>
          </m:rPr>
          <m:t>∼</m:t>
        </m:r>
      </m:oMath>
      <w:r>
        <w:t xml:space="preserve">8 mm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active area) for high-throughput screening and an encapsulated module</w:t>
      </w:r>
      <w:r>
        <w:t xml:space="preserve"> </w:t>
      </w:r>
      <w:r>
        <w:t xml:space="preserve">(63.7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aperture area, four cells wired in series) intended for</w:t>
      </w:r>
      <w:r>
        <w:t xml:space="preserve"> </w:t>
      </w:r>
      <w:r>
        <w:t xml:space="preserve">radiation monitoring applications. Representative current</w:t>
      </w:r>
      <w:r>
        <w:t xml:space="preserve"> </w:t>
      </w:r>
      <w:r>
        <w:t xml:space="preserve">density–voltage (J-V) curves measured under 1-sun AM1.5G</w:t>
      </w:r>
      <w:r>
        <w:t xml:space="preserve"> </w:t>
      </w:r>
      <w:r>
        <w:t xml:space="preserve">illumination are shown in Figure </w:t>
      </w:r>
      <w:hyperlink w:anchor="fig:pv_performance">
        <w:r>
          <w:rPr>
            <w:rStyle w:val="Hyperlink"/>
          </w:rPr>
          <w:t xml:space="preserve">1.2</w:t>
        </w:r>
      </w:hyperlink>
      <w:r>
        <w:t xml:space="preserve">.</w:t>
      </w:r>
    </w:p>
    <w:bookmarkStart w:id="16" w:name="fig:pv_performance"/>
    <w:p>
      <w:pPr>
        <w:pStyle w:val="CaptionedFigure"/>
      </w:pPr>
      <w:r>
        <w:drawing>
          <wp:inline>
            <wp:extent cx="4533900" cy="2223186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/4_2_pv_performanc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2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Photovoltaic performance of the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devices used in this study. (a) J-V curve for the 8 mm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small cell (PCE = 21.3%,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= 1.13 V,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= 23.0 mA cm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FF = 81.8%).</w:t>
      </w:r>
      <w:r>
        <w:t xml:space="preserve"> </w:t>
      </w:r>
      <w:r>
        <w:t xml:space="preserve">(b) J-V curve for the 63.7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module (PCE = 16.9%,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= 18.9 V,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= 74.5 mA cm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FF = 76.2%). All measurements performed at UNC Chapel Hill</w:t>
      </w:r>
      <w:r>
        <w:t xml:space="preserve"> </w:t>
      </w:r>
      <w:r>
        <w:t xml:space="preserve">under AM1.5G illumination prior to shipment.</w:t>
      </w:r>
    </w:p>
    <w:bookmarkEnd w:id="16"/>
    <w:p>
      <w:pPr>
        <w:pStyle w:val="BodyText"/>
      </w:pPr>
      <w:r>
        <w:t xml:space="preserve">The small-cell PCE of 21.3% is consistent with champion efficiencies</w:t>
      </w:r>
      <w:r>
        <w:t xml:space="preserve"> </w:t>
      </w:r>
      <w:r>
        <w:t xml:space="preserve">reported for the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composition in the</w:t>
      </w:r>
      <w:r>
        <w:t xml:space="preserve"> </w:t>
      </w:r>
      <w:r>
        <w:t xml:space="preserve">contemporary literature </w:t>
      </w:r>
      <w:r>
        <w:t xml:space="preserve">, confirming that the</w:t>
      </w:r>
      <w:r>
        <w:t xml:space="preserve"> </w:t>
      </w:r>
      <w:r>
        <w:t xml:space="preserve">devices received for radiation testing represent the current state of</w:t>
      </w:r>
      <w:r>
        <w:t xml:space="preserve"> </w:t>
      </w:r>
      <w:r>
        <w:t xml:space="preserve">the art in perovskite photovoltaic fabrication. The module efficiency</w:t>
      </w:r>
      <w:r>
        <w:t xml:space="preserve"> </w:t>
      </w:r>
      <w:r>
        <w:t xml:space="preserve">of 16.9% reflects the geometric fill-factor penalty inherent in a</w:t>
      </w:r>
      <w:r>
        <w:t xml:space="preserve"> </w:t>
      </w:r>
      <w:r>
        <w:t xml:space="preserve">series-connected configuration and is comparable to certified module</w:t>
      </w:r>
      <w:r>
        <w:t xml:space="preserve"> </w:t>
      </w:r>
      <w:r>
        <w:t xml:space="preserve">efficiencies from the same composition reported by independent</w:t>
      </w:r>
      <w:r>
        <w:t xml:space="preserve"> </w:t>
      </w:r>
      <w:r>
        <w:t xml:space="preserve">groups </w:t>
      </w:r>
      <w:r>
        <w:t xml:space="preserve">.</w:t>
      </w:r>
    </w:p>
    <w:bookmarkEnd w:id="17"/>
    <w:bookmarkStart w:id="21" w:name="sec:temporal_response"/>
    <w:p>
      <w:pPr>
        <w:pStyle w:val="Heading2"/>
      </w:pPr>
      <w:r>
        <w:t xml:space="preserve">Temporal Photoresponse Characterization</w:t>
      </w:r>
    </w:p>
    <w:p>
      <w:pPr>
        <w:pStyle w:val="FirstParagraph"/>
      </w:pPr>
      <w:r>
        <w:t xml:space="preserve">Before proceeding to ionizing radiation measurements, the time-domain</w:t>
      </w:r>
      <w:r>
        <w:t xml:space="preserve"> </w:t>
      </w:r>
      <w:r>
        <w:t xml:space="preserve">photoresponse of the devices was characterized under visible light to</w:t>
      </w:r>
      <w:r>
        <w:t xml:space="preserve"> </w:t>
      </w:r>
      <w:r>
        <w:t xml:space="preserve">establish the inherent bandwidth of the detector and to identify</w:t>
      </w:r>
      <w:r>
        <w:t xml:space="preserve"> </w:t>
      </w:r>
      <w:r>
        <w:t xml:space="preserve">any device-physics limitations on pulse-following ability. Three</w:t>
      </w:r>
      <w:r>
        <w:t xml:space="preserve"> </w:t>
      </w:r>
      <w:r>
        <w:t xml:space="preserve">complementary measurement modalities were employed: a DC chopped-beam</w:t>
      </w:r>
      <w:r>
        <w:t xml:space="preserve"> </w:t>
      </w:r>
      <w:r>
        <w:t xml:space="preserve">experiment to measure the turn-on and turn-off time constants, a</w:t>
      </w:r>
      <w:r>
        <w:t xml:space="preserve"> </w:t>
      </w:r>
      <w:r>
        <w:t xml:space="preserve">pulsed-laser experiment to probe the high-frequency limit, and an</w:t>
      </w:r>
      <w:r>
        <w:t xml:space="preserve"> </w:t>
      </w:r>
      <w:r>
        <w:t xml:space="preserve">AC-coupled grid-simulation experiment to assess the feasibility of</w:t>
      </w:r>
      <w:r>
        <w:t xml:space="preserve"> </w:t>
      </w:r>
      <w:r>
        <w:t xml:space="preserve">power-grid synchronization using the solar module.</w:t>
      </w:r>
    </w:p>
    <w:bookmarkStart w:id="18" w:name="dc-transient-response"/>
    <w:p>
      <w:pPr>
        <w:pStyle w:val="Heading3"/>
      </w:pPr>
      <w:r>
        <w:t xml:space="preserve">DC Transient Response</w:t>
      </w:r>
    </w:p>
    <w:p>
      <w:pPr>
        <w:pStyle w:val="FirstParagraph"/>
      </w:pPr>
      <w:r>
        <w:t xml:space="preserve">The DC transient measurement used a 532 nm continuous-wave laser</w:t>
      </w:r>
      <w:r>
        <w:t xml:space="preserve"> </w:t>
      </w:r>
      <w:r>
        <w:t xml:space="preserve">attenuated to approximately 0.45 sun equivalent irradiance and modulated</w:t>
      </w:r>
      <w:r>
        <w:t xml:space="preserve"> </w:t>
      </w:r>
      <w:r>
        <w:t xml:space="preserve">by a mechanical optical chopper. Short-circuit current transients were</w:t>
      </w:r>
      <w:r>
        <w:t xml:space="preserve"> </w:t>
      </w:r>
      <w:r>
        <w:t xml:space="preserve">acquired on a digital oscilloscope and analyzed to extract the 10–90%</w:t>
      </w:r>
      <w:r>
        <w:t xml:space="preserve"> </w:t>
      </w:r>
      <w:r>
        <w:t xml:space="preserve">rise time and the 90–10% fall time.</w:t>
      </w:r>
    </w:p>
    <w:p>
      <w:pPr>
        <w:pStyle w:val="BodyText"/>
      </w:pPr>
      <w:r>
        <w:t xml:space="preserve">The 8 mm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cell exhibited a rise time of approximately 33 ms, while</w:t>
      </w:r>
      <w:r>
        <w:t xml:space="preserve"> </w:t>
      </w:r>
      <w:r>
        <w:t xml:space="preserve">the 28.6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module required approximately 60 ms to reach 80% of its</w:t>
      </w:r>
      <w:r>
        <w:t xml:space="preserve"> </w:t>
      </w:r>
      <w:r>
        <w:t xml:space="preserve">peak short-circuit current after the chopper opened. Both values are</w:t>
      </w:r>
      <w:r>
        <w:t xml:space="preserve"> </w:t>
      </w:r>
      <w:r>
        <w:t xml:space="preserve">substantially longer than the RC time constants computed from the</w:t>
      </w:r>
      <w:r>
        <w:t xml:space="preserve"> </w:t>
      </w:r>
      <w:r>
        <w:t xml:space="preserve">device capacitance and load resistance, confirming that the observed</w:t>
      </w:r>
      <w:r>
        <w:t xml:space="preserve"> </w:t>
      </w:r>
      <w:r>
        <w:t xml:space="preserve">response time is limited by the chopper blade transit speed rather</w:t>
      </w:r>
      <w:r>
        <w:t xml:space="preserve"> </w:t>
      </w:r>
      <w:r>
        <w:t xml:space="preserve">than by any intrinsic device physics. This conclusion is consistent</w:t>
      </w:r>
      <w:r>
        <w:t xml:space="preserve"> </w:t>
      </w:r>
      <w:r>
        <w:t xml:space="preserve">with the known sub-microsecond free-carrier lifetimes in high-quality</w:t>
      </w:r>
      <w:r>
        <w:t xml:space="preserve"> </w:t>
      </w:r>
      <w:r>
        <w:t xml:space="preserve">Cs–FA perovskite films </w:t>
      </w:r>
      <w:r>
        <w:t xml:space="preserve">.</w:t>
      </w:r>
    </w:p>
    <w:bookmarkEnd w:id="18"/>
    <w:bookmarkStart w:id="19" w:name="sec:pulsed_laser"/>
    <w:p>
      <w:pPr>
        <w:pStyle w:val="Heading3"/>
      </w:pPr>
      <w:r>
        <w:t xml:space="preserve">Pulsed Laser Response</w:t>
      </w:r>
    </w:p>
    <w:p>
      <w:pPr>
        <w:pStyle w:val="FirstParagraph"/>
      </w:pPr>
      <w:r>
        <w:t xml:space="preserve">To access the true high-frequency bandwidth of the devices, a pulsed</w:t>
      </w:r>
      <w:r>
        <w:t xml:space="preserve"> </w:t>
      </w:r>
      <w:r>
        <w:t xml:space="preserve">diode laser (Thorlabs NPL41B, 405 nm central wavelength) was used in</w:t>
      </w:r>
      <w:r>
        <w:t xml:space="preserve"> </w:t>
      </w:r>
      <w:r>
        <w:t xml:space="preserve">place of the chopped CW source. The laser was operated at a</w:t>
      </w:r>
      <w:r>
        <w:t xml:space="preserve"> </w:t>
      </w:r>
      <w:r>
        <w:t xml:space="preserve">repetition rate of 1 kHz with a pulse width of 20 ns (variable</w:t>
      </w:r>
      <w:r>
        <w:t xml:space="preserve"> </w:t>
      </w:r>
      <w:r>
        <w:t xml:space="preserve">6–38 ns range, up to 10 MHz maximum repetition rate).</w:t>
      </w:r>
      <w:r>
        <w:t xml:space="preserve"> </w:t>
      </w:r>
      <w:r>
        <w:t xml:space="preserve">Photoresponse pulses were amplified by a transimpedance amplifier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V A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gain and 1 MHz bandwidth before acquisition</w:t>
      </w:r>
      <w:r>
        <w:t xml:space="preserve"> </w:t>
      </w:r>
      <w:r>
        <w:t xml:space="preserve">on a Keysight MSO-X-3104T oscilloscope.</w:t>
      </w:r>
    </w:p>
    <w:p>
      <w:pPr>
        <w:pStyle w:val="BodyText"/>
      </w:pPr>
      <w:r>
        <w:t xml:space="preserve">Two series-parallel module assemblies, denoted Cell A and Cell B,</w:t>
      </w:r>
      <w:r>
        <w:t xml:space="preserve"> </w:t>
      </w:r>
      <w:r>
        <w:t xml:space="preserve">each consisting of four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cells mounted on</w:t>
      </w:r>
      <w:r>
        <w:t xml:space="preserve"> </w:t>
      </w:r>
      <w:r>
        <w:t xml:space="preserve">a printed breadboard, were characterized. Cell A exhibited an output</w:t>
      </w:r>
      <w:r>
        <w:t xml:space="preserve"> </w:t>
      </w:r>
      <w:r>
        <w:t xml:space="preserve">pulse rise time of approximately 84 ns under these conditions; Cell B</w:t>
      </w:r>
      <w:r>
        <w:t xml:space="preserve"> </w:t>
      </w:r>
      <w:r>
        <w:t xml:space="preserve">produced a comparable waveform. The measured rise time is dominated</w:t>
      </w:r>
      <w:r>
        <w:t xml:space="preserve"> </w:t>
      </w:r>
      <w:r>
        <w:t xml:space="preserve">by the 1 MHz bandwidth of the transimpedance amplifier rather than</w:t>
      </w:r>
      <w:r>
        <w:t xml:space="preserve"> </w:t>
      </w:r>
      <w:r>
        <w:t xml:space="preserve">the device itself: the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 dB amplifier bandwidth corresponds to a</w:t>
      </w:r>
      <w:r>
        <w:t xml:space="preserve"> </w:t>
      </w:r>
      <w:r>
        <w:t xml:space="preserve">rise-time limit of</w:t>
      </w:r>
      <w:r>
        <w:t xml:space="preserve"> </w:t>
      </w:r>
      <m:oMath>
        <m:r>
          <m:t>0.35</m:t>
        </m:r>
        <m:r>
          <m:rPr>
            <m:sty m:val="p"/>
          </m:rPr>
          <m:t>/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 Hz</w:t>
      </w:r>
      <w:r>
        <w:t xml:space="preserve"> </w:t>
      </w:r>
      <m:oMath>
        <m:r>
          <m:rPr>
            <m:sty m:val="p"/>
          </m:rPr>
          <m:t>≈</m:t>
        </m:r>
        <m:r>
          <m:t>350</m:t>
        </m:r>
      </m:oMath>
      <w:r>
        <w:t xml:space="preserve"> ns, and the</w:t>
      </w:r>
      <w:r>
        <w:t xml:space="preserve"> </w:t>
      </w:r>
      <w:r>
        <w:t xml:space="preserve">shorter observed value reflects the partial bandwidth contribution of</w:t>
      </w:r>
      <w:r>
        <w:t xml:space="preserve"> </w:t>
      </w:r>
      <w:r>
        <w:t xml:space="preserve">the oscilloscope front-end and cable parasitics. The intrinsic</w:t>
      </w:r>
      <w:r>
        <w:t xml:space="preserve"> </w:t>
      </w:r>
      <w:r>
        <w:t xml:space="preserve">device response is therefore faster than the approximately 84 ns</w:t>
      </w:r>
      <w:r>
        <w:t xml:space="preserve"> </w:t>
      </w:r>
      <w:r>
        <w:t xml:space="preserve">system-limited value, consistent with the sub-microsecond carrier</w:t>
      </w:r>
      <w:r>
        <w:t xml:space="preserve"> </w:t>
      </w:r>
      <w:r>
        <w:t xml:space="preserve">lifetimes expected from the</w:t>
      </w:r>
      <w:r>
        <w:t xml:space="preserve"> </w:t>
      </w:r>
      <m:oMath>
        <m:r>
          <m:t>μ</m:t>
        </m:r>
        <m:r>
          <m:t>τ</m:t>
        </m:r>
      </m:oMath>
      <w:r>
        <w:t xml:space="preserve"> </w:t>
      </w:r>
      <w:r>
        <w:t xml:space="preserve">products typical of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thin films reported in</w:t>
      </w:r>
      <w:r>
        <w:t xml:space="preserve"> </w:t>
      </w:r>
      <w:r>
        <w:t xml:space="preserve">Section </w:t>
      </w:r>
      <w:hyperlink w:anchor="sec:hecht">
        <w:r>
          <w:rPr>
            <w:rStyle w:val="Hyperlink"/>
          </w:rPr>
          <w:t xml:space="preserve">[sec:hecht]</w:t>
        </w:r>
      </w:hyperlink>
      <w:r>
        <w:t xml:space="preserve">.</w:t>
      </w:r>
    </w:p>
    <w:bookmarkEnd w:id="19"/>
    <w:bookmarkStart w:id="20" w:name="ac-grid-simulation"/>
    <w:p>
      <w:pPr>
        <w:pStyle w:val="Heading3"/>
      </w:pPr>
      <w:r>
        <w:t xml:space="preserve">AC Grid Simulation</w:t>
      </w:r>
    </w:p>
    <w:p>
      <w:pPr>
        <w:pStyle w:val="FirstParagraph"/>
      </w:pPr>
      <w:r>
        <w:t xml:space="preserve">To evaluate whether the solar module could track the periodic voltage</w:t>
      </w:r>
      <w:r>
        <w:t xml:space="preserve"> </w:t>
      </w:r>
      <w:r>
        <w:t xml:space="preserve">waveform produced by a single-phase power inverter, a potential</w:t>
      </w:r>
      <w:r>
        <w:t xml:space="preserve"> </w:t>
      </w:r>
      <w:r>
        <w:t xml:space="preserve">application for verifying grid integrity or synchronizing a radiation</w:t>
      </w:r>
      <w:r>
        <w:t xml:space="preserve"> </w:t>
      </w:r>
      <w:r>
        <w:t xml:space="preserve">monitor to a power-cycle reference, the four-cell module was</w:t>
      </w:r>
      <w:r>
        <w:t xml:space="preserve"> </w:t>
      </w:r>
      <w:r>
        <w:t xml:space="preserve">connected to the input of a commercial single-phase DC-to-AC</w:t>
      </w:r>
      <w:r>
        <w:t xml:space="preserve"> </w:t>
      </w:r>
      <w:r>
        <w:t xml:space="preserve">microinverter under indoor fluorescent illumination. The inverter</w:t>
      </w:r>
      <w:r>
        <w:t xml:space="preserve"> </w:t>
      </w:r>
      <w:r>
        <w:t xml:space="preserve">consumed approximately 4 W at its rated load, but the module could</w:t>
      </w:r>
      <w:r>
        <w:t xml:space="preserve"> </w:t>
      </w:r>
      <w:r>
        <w:t xml:space="preserve">deliver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 W under the available illumination, leaving the</w:t>
      </w:r>
      <w:r>
        <w:t xml:space="preserve"> </w:t>
      </w:r>
      <w:r>
        <w:t xml:space="preserve">inverter operating in a deeply underloaded regime. No distinct</w:t>
      </w:r>
      <w:r>
        <w:t xml:space="preserve"> </w:t>
      </w:r>
      <w:r>
        <w:t xml:space="preserve">50/60 Hz modulation of the module output current was discernible</w:t>
      </w:r>
      <w:r>
        <w:t xml:space="preserve"> </w:t>
      </w:r>
      <w:r>
        <w:t xml:space="preserve">above the noise floor in this configuration. The negative result</w:t>
      </w:r>
      <w:r>
        <w:t xml:space="preserve"> </w:t>
      </w:r>
      <w:r>
        <w:t xml:space="preserve">is attributed entirely to the power deficit rather than to any</w:t>
      </w:r>
      <w:r>
        <w:t xml:space="preserve"> </w:t>
      </w:r>
      <w:r>
        <w:t xml:space="preserve">bandwidth limitation of the perovskite device: achieving an</w:t>
      </w:r>
      <w:r>
        <w:t xml:space="preserve"> </w:t>
      </w:r>
      <w:r>
        <w:t xml:space="preserve">observable AC response would require either a larger-aperture module,</w:t>
      </w:r>
      <w:r>
        <w:t xml:space="preserve"> </w:t>
      </w:r>
      <w:r>
        <w:t xml:space="preserve">a light concentrator, or a calibrated illumination source at close</w:t>
      </w:r>
      <w:r>
        <w:t xml:space="preserve"> </w:t>
      </w:r>
      <w:r>
        <w:t xml:space="preserve">to 1-sun intensity.</w:t>
      </w:r>
    </w:p>
    <w:bookmarkEnd w:id="20"/>
    <w:bookmarkEnd w:id="21"/>
    <w:bookmarkStart w:id="26" w:name="sec:xray_response"/>
    <w:p>
      <w:pPr>
        <w:pStyle w:val="Heading2"/>
      </w:pPr>
      <w:r>
        <w:t xml:space="preserve">X-Ray Response</w:t>
      </w:r>
    </w:p>
    <w:p>
      <w:pPr>
        <w:pStyle w:val="FirstParagraph"/>
      </w:pPr>
      <w:r>
        <w:t xml:space="preserve">X-ray characterization was performed using an Amptek Mini-X miniature</w:t>
      </w:r>
      <w:r>
        <w:t xml:space="preserve"> </w:t>
      </w:r>
      <w:r>
        <w:t xml:space="preserve">X-ray tube with a gold anode, operated at tube voltages up to 50 kV.</w:t>
      </w:r>
      <w:r>
        <w:t xml:space="preserve"> </w:t>
      </w:r>
      <w:r>
        <w:t xml:space="preserve">For continuous-wave measurements, the module was placed in the</w:t>
      </w:r>
      <w:r>
        <w:t xml:space="preserve"> </w:t>
      </w:r>
      <w:r>
        <w:t xml:space="preserve">beam path and J-V characteristics were recorded as a function of</w:t>
      </w:r>
      <w:r>
        <w:t xml:space="preserve"> </w:t>
      </w:r>
      <w:r>
        <w:t xml:space="preserve">X-ray tube voltage and current. Figure </w:t>
      </w:r>
      <w:hyperlink w:anchor="fig:xray_iv">
        <w:r>
          <w:rPr>
            <w:rStyle w:val="Hyperlink"/>
          </w:rPr>
          <w:t xml:space="preserve">1.3</w:t>
        </w:r>
      </w:hyperlink>
      <w:r>
        <w:t xml:space="preserve"> </w:t>
      </w:r>
      <w:r>
        <w:t xml:space="preserve">shows</w:t>
      </w:r>
      <w:r>
        <w:t xml:space="preserve"> </w:t>
      </w:r>
      <w:r>
        <w:t xml:space="preserve">the resulting I-V curves; the short-circuit current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increases monotonically with tube voltage, consistent with the</w:t>
      </w:r>
      <w:r>
        <w:t xml:space="preserve"> </w:t>
      </w:r>
      <w:r>
        <w:t xml:space="preserve">increasing photon fluence and mean photon energy.</w:t>
      </w:r>
    </w:p>
    <w:bookmarkStart w:id="25" w:name="fig:xray_iv"/>
    <w:p>
      <w:pPr>
        <w:pStyle w:val="CaptionedFigure"/>
      </w:pPr>
      <w:r>
        <w:drawing>
          <wp:inline>
            <wp:extent cx="3344617" cy="211723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ures/4_3_xray_iv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617" cy="2117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Current-voltage characteristics of the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module under Amptek Mini-X</w:t>
      </w:r>
      <w:r>
        <w:t xml:space="preserve"> </w:t>
      </w:r>
      <w:r>
        <w:t xml:space="preserve">X-ray tube illumination at tube voltages from 10 kV to 50 kV.</w:t>
      </w:r>
      <w:r>
        <w:t xml:space="preserve"> </w:t>
      </w:r>
      <w:r>
        <w:t xml:space="preserve">Inset: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at 50 kV as a function of irradiation</w:t>
      </w:r>
      <w:r>
        <w:t xml:space="preserve"> </w:t>
      </w:r>
      <w:r>
        <w:t xml:space="preserve">time.</w:t>
      </w:r>
    </w:p>
    <w:bookmarkEnd w:id="25"/>
    <w:p>
      <w:pPr>
        <w:pStyle w:val="BodyText"/>
      </w:pPr>
      <w:r>
        <w:t xml:space="preserve">The time-resolved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at 50 kV, shown in the inset of</w:t>
      </w:r>
      <w:r>
        <w:t xml:space="preserve"> </w:t>
      </w:r>
      <w:r>
        <w:t xml:space="preserve">Figure </w:t>
      </w:r>
      <w:hyperlink w:anchor="fig:xray_iv">
        <w:r>
          <w:rPr>
            <w:rStyle w:val="Hyperlink"/>
          </w:rPr>
          <w:t xml:space="preserve">1.3</w:t>
        </w:r>
      </w:hyperlink>
      <w:r>
        <w:t xml:space="preserve">, exhibits the characteristic slow-decline</w:t>
      </w:r>
      <w:r>
        <w:t xml:space="preserve"> </w:t>
      </w:r>
      <w:r>
        <w:t xml:space="preserve">behavior previously reported for perovskite photovoltaic devices</w:t>
      </w:r>
      <w:r>
        <w:t xml:space="preserve"> </w:t>
      </w:r>
      <w:r>
        <w:t xml:space="preserve">under sustained illumination in the presence of a built-in electric</w:t>
      </w:r>
      <w:r>
        <w:t xml:space="preserve"> </w:t>
      </w:r>
      <w:r>
        <w:t xml:space="preserve">field. The decline is attributed to ion migration: mobile halide</w:t>
      </w:r>
      <w:r>
        <w:t xml:space="preserve"> </w:t>
      </w:r>
      <w:r>
        <w:t xml:space="preserve">vacancies drift under the device’s built-in field, accumulating at</w:t>
      </w:r>
      <w:r>
        <w:t xml:space="preserve"> </w:t>
      </w:r>
      <w:r>
        <w:t xml:space="preserve">the charge-transport layer interfaces and partially screening the</w:t>
      </w:r>
      <w:r>
        <w:t xml:space="preserve"> </w:t>
      </w:r>
      <w:r>
        <w:t xml:space="preserve">collection field </w:t>
      </w:r>
      <w:r>
        <w:t xml:space="preserve">.</w:t>
      </w:r>
    </w:p>
    <w:p>
      <w:pPr>
        <w:pStyle w:val="BodyText"/>
      </w:pPr>
      <w:r>
        <w:t xml:space="preserve">The absolute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induced by the X-ray source is substantially</w:t>
      </w:r>
      <w:r>
        <w:t xml:space="preserve"> </w:t>
      </w:r>
      <w:r>
        <w:t xml:space="preserve">smaller than that observed in the silicon reference device operated under</w:t>
      </w:r>
      <w:r>
        <w:t xml:space="preserve"> </w:t>
      </w:r>
      <w:r>
        <w:t xml:space="preserve">the same conditions, owing to the much smaller active area of the</w:t>
      </w:r>
      <w:r>
        <w:t xml:space="preserve"> </w:t>
      </w:r>
      <w:r>
        <w:t xml:space="preserve">perovskite module relative to the silicon photodiode used for comparison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64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vs. several hundred 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). On a per-unit-area basis,</w:t>
      </w:r>
      <w:r>
        <w:t xml:space="preserve"> </w:t>
      </w:r>
      <w:r>
        <w:t xml:space="preserve">the perovskite compares favorably due to its higher photoelectric</w:t>
      </w:r>
      <w:r>
        <w:t xml:space="preserve"> </w:t>
      </w:r>
      <w:r>
        <w:t xml:space="preserve">absorption cross section at the relevant photon energies.</w:t>
      </w:r>
    </w:p>
    <w:p>
      <w:pPr>
        <w:pStyle w:val="BodyText"/>
      </w:pPr>
      <w:r>
        <w:t xml:space="preserve">For pulsed X-ray measurements, the Amptek Mini-X beam was modulated by</w:t>
      </w:r>
      <w:r>
        <w:t xml:space="preserve"> </w:t>
      </w:r>
      <w:r>
        <w:t xml:space="preserve">a Thorlabs MC2000 optical chopper equipped with a 10-slot blade</w:t>
      </w:r>
      <w:r>
        <w:t xml:space="preserve"> </w:t>
      </w:r>
      <w:r>
        <w:t xml:space="preserve">(760 </w:t>
      </w:r>
      <m:oMath>
        <m:r>
          <m:t>μ</m:t>
        </m:r>
      </m:oMath>
      <w:r>
        <w:t xml:space="preserve">m stainless steel, slot width matched to achieve pulse</w:t>
      </w:r>
      <w:r>
        <w:t xml:space="preserve"> </w:t>
      </w:r>
      <w:r>
        <w:t xml:space="preserve">frequencies from 10 Hz to 1 kHz). The pulsed response confirmed that</w:t>
      </w:r>
      <w:r>
        <w:t xml:space="preserve"> </w:t>
      </w:r>
      <w:r>
        <w:t xml:space="preserve">the device faithfully follows the beam modulation at frequencies up</w:t>
      </w:r>
      <w:r>
        <w:t xml:space="preserve"> </w:t>
      </w:r>
      <w:r>
        <w:t xml:space="preserve">to the chopper bandwidth, consistent with the pulsed laser measurements</w:t>
      </w:r>
      <w:r>
        <w:t xml:space="preserve"> </w:t>
      </w:r>
      <w:r>
        <w:t xml:space="preserve">in Section </w:t>
      </w:r>
      <w:hyperlink w:anchor="sec:pulsed_laser">
        <w:r>
          <w:rPr>
            <w:rStyle w:val="Hyperlink"/>
          </w:rPr>
          <w:t xml:space="preserve">1.2.2</w:t>
        </w:r>
      </w:hyperlink>
      <w:r>
        <w:t xml:space="preserve">.</w:t>
      </w:r>
    </w:p>
    <w:bookmarkEnd w:id="26"/>
    <w:bookmarkStart w:id="42" w:name="sec:gamma_response"/>
    <w:p>
      <w:pPr>
        <w:pStyle w:val="Heading2"/>
      </w:pPr>
      <w:r>
        <w:t xml:space="preserve">Gamma-Ray Response</w:t>
      </w:r>
    </w:p>
    <w:bookmarkStart w:id="27" w:name="X68d003e33eba1c598d70d37ad49b90483b23c11"/>
    <w:p>
      <w:pPr>
        <w:pStyle w:val="Heading3"/>
      </w:pPr>
      <w:r>
        <w:t xml:space="preserve">Measurement Setup and Dose Rate Calibration</w:t>
      </w:r>
    </w:p>
    <w:p>
      <w:pPr>
        <w:pStyle w:val="FirstParagraph"/>
      </w:pPr>
      <w:r>
        <w:t xml:space="preserve">Gamma-ray irradiation experiments were performed at the Ohio State</w:t>
      </w:r>
      <w:r>
        <w:t xml:space="preserve"> </w:t>
      </w:r>
      <w:r>
        <w:t xml:space="preserve">University Nuclear Reactor Laboratory (OSU NRL) using two</w:t>
      </w:r>
      <w:r>
        <w:t xml:space="preserve"> </w:t>
      </w:r>
      <w:r>
        <w:t xml:space="preserve">independent sources: a benchtop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irradiator</w:t>
      </w:r>
      <w:r>
        <w:t xml:space="preserve"> </w:t>
      </w:r>
      <w:r>
        <w:t xml:space="preserve">(six source rods,</w:t>
      </w:r>
      <w:r>
        <w:t xml:space="preserve"> </w:t>
      </w:r>
      <m:oMath>
        <m:sSub>
          <m:e>
            <m:r>
              <m:t>E</m:t>
            </m:r>
          </m:e>
          <m:sub>
            <m:r>
              <m:t>γ</m:t>
            </m:r>
          </m:sub>
        </m:sSub>
        <m:r>
          <m:rPr>
            <m:sty m:val="p"/>
          </m:rPr>
          <m:t>=</m:t>
        </m:r>
        <m:r>
          <m:t>662</m:t>
        </m:r>
      </m:oMath>
      <w:r>
        <w:t xml:space="preserve"> keV) and a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irradiator</w:t>
      </w:r>
      <w:r>
        <w:t xml:space="preserve"> </w:t>
      </w:r>
      <w:r>
        <w:t xml:space="preserve">submerged in the reactor pool (</w:t>
      </w:r>
      <m:oMath>
        <m:sSub>
          <m:e>
            <m:r>
              <m:t>E</m:t>
            </m:r>
          </m:e>
          <m:sub>
            <m:r>
              <m:t>γ</m:t>
            </m:r>
          </m:sub>
        </m:sSub>
        <m:r>
          <m:rPr>
            <m:sty m:val="p"/>
          </m:rPr>
          <m:t>=</m:t>
        </m:r>
        <m:r>
          <m:t>1.17</m:t>
        </m:r>
      </m:oMath>
      <w:r>
        <w:t xml:space="preserve"> </w:t>
      </w:r>
      <w:r>
        <w:t xml:space="preserve">and 1.33 MeV).</w:t>
      </w:r>
      <w:r>
        <w:t xml:space="preserve"> </w:t>
      </w:r>
      <w:r>
        <w:t xml:space="preserve">Because the dose rate calibration values provided with each irradiator</w:t>
      </w:r>
      <w:r>
        <w:t xml:space="preserve"> </w:t>
      </w:r>
      <w:r>
        <w:t xml:space="preserve">are given in units of roentgen per hour for air, conversion to the</w:t>
      </w:r>
      <w:r>
        <w:t xml:space="preserve"> </w:t>
      </w:r>
      <w:r>
        <w:t xml:space="preserve">absorbed dose rate in the perovskite film was performed using the</w:t>
      </w:r>
      <w:r>
        <w:t xml:space="preserve"> </w:t>
      </w:r>
      <w:r>
        <w:t xml:space="preserve">relation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D</m:t>
                  </m:r>
                </m:e>
              </m:acc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0.877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r>
                <m:t>ρ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r>
                <m:t>ρ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</m:sub>
              </m:sSub>
            </m:den>
          </m:f>
          <m:r>
            <m:rPr>
              <m:sty m:val="p"/>
            </m:rPr>
            <m:t>×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</m:oMath>
      <w:r>
        <w:t xml:space="preserve"> </w:t>
      </w:r>
      <w:r>
        <w:t xml:space="preserve">is the exposure rate in roentgen per hour,</w:t>
      </w:r>
      <w:r>
        <w:t xml:space="preserve"> </w:t>
      </w:r>
      <w:r>
        <w:t xml:space="preserve">0.877 rad/R is the roentgen-to-rad conversion factor for</w:t>
      </w:r>
      <w:r>
        <w:t xml:space="preserve"> </w:t>
      </w:r>
      <w:r>
        <w:t xml:space="preserve">soft tissue </w:t>
      </w:r>
      <w:r>
        <w:t xml:space="preserve">, and the ratio of mass energy-absorption</w:t>
      </w:r>
      <w:r>
        <w:t xml:space="preserve"> </w:t>
      </w:r>
      <w:r>
        <w:t xml:space="preserve">coefficients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/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was evaluated at the</w:t>
      </w:r>
      <w:r>
        <w:t xml:space="preserve"> </w:t>
      </w:r>
      <w:r>
        <w:t xml:space="preserve">mean photon energy of each source using NIST XCOM tabulations </w:t>
      </w:r>
      <w:r>
        <w:t xml:space="preserve">.</w:t>
      </w:r>
      <w:r>
        <w:t xml:space="preserve"> </w:t>
      </w:r>
      <w:r>
        <w:t xml:space="preserve">This procedure yielded dose rates of 44.16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</w:t>
      </w:r>
      <w:r>
        <w:t xml:space="preserve"> </w:t>
      </w:r>
      <w:r>
        <w:t xml:space="preserve">perovskite layer for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irradiator and 355.61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source.</w:t>
      </w:r>
    </w:p>
    <w:bookmarkEnd w:id="27"/>
    <w:bookmarkStart w:id="36" w:name="sec:cs137"/>
    <w:p>
      <w:pPr>
        <w:pStyle w:val="Heading3"/>
      </w:pPr>
      <w:r>
        <w:t xml:space="preserve">Cesium-137 Irradiation</w:t>
      </w:r>
    </w:p>
    <w:p>
      <w:pPr>
        <w:pStyle w:val="FirstParagraph"/>
      </w:pPr>
      <w:r>
        <w:t xml:space="preserve">The 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module was inserted into and withdrawn</w:t>
      </w:r>
      <w:r>
        <w:t xml:space="preserve"> </w:t>
      </w:r>
      <w:r>
        <w:t xml:space="preserve">from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irradiator while the short-circuit current was</w:t>
      </w:r>
      <w:r>
        <w:t xml:space="preserve"> </w:t>
      </w:r>
      <w:r>
        <w:t xml:space="preserve">monitored in real time. Figure </w:t>
      </w:r>
      <w:hyperlink w:anchor="fig:cs137_isc">
        <w:r>
          <w:rPr>
            <w:rStyle w:val="Hyperlink"/>
          </w:rPr>
          <w:t xml:space="preserve">1.4</w:t>
        </w:r>
      </w:hyperlink>
      <w:r>
        <w:t xml:space="preserve"> </w:t>
      </w:r>
      <w:r>
        <w:t xml:space="preserve">shows a time-series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recorded during a representative insert/withdraw cycle.</w:t>
      </w:r>
      <w:r>
        <w:t xml:space="preserve"> </w:t>
      </w:r>
      <w:r>
        <w:t xml:space="preserve">A clear and reproducible step change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is observed upon</w:t>
      </w:r>
      <w:r>
        <w:t xml:space="preserve"> </w:t>
      </w:r>
      <w:r>
        <w:t xml:space="preserve">insertion, with the current increasing by an amount proportional to the</w:t>
      </w:r>
      <w:r>
        <w:t xml:space="preserve"> </w:t>
      </w:r>
      <w:r>
        <w:t xml:space="preserve">gamma-induced electron-hole pair generation rate within the absorber.</w:t>
      </w:r>
      <w:r>
        <w:t xml:space="preserve"> </w:t>
      </w:r>
      <w:r>
        <w:t xml:space="preserve">The induced current density at 44.16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was measured as</w:t>
      </w:r>
      <w:r>
        <w:t xml:space="preserve"> </w:t>
      </w:r>
      <w:r>
        <w:t xml:space="preserve">2.19 nA cm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which represents the net gamma-to-current conversion</w:t>
      </w:r>
      <w:r>
        <w:t xml:space="preserve"> </w:t>
      </w:r>
      <w:r>
        <w:t xml:space="preserve">sensitivity of the device under the prevailing irradiation geometry.</w:t>
      </w:r>
    </w:p>
    <w:bookmarkStart w:id="31" w:name="fig:cs137_isc"/>
    <w:p>
      <w:pPr>
        <w:pStyle w:val="CaptionedFigure"/>
      </w:pPr>
      <w:r>
        <w:drawing>
          <wp:inline>
            <wp:extent cx="4267200" cy="280815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gures/4_4_cs137_respons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0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Short-circuit current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module as a function of time</w:t>
      </w:r>
      <w:r>
        <w:t xml:space="preserve"> </w:t>
      </w:r>
      <w:r>
        <w:t xml:space="preserve">during insertion into and withdrawal from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</w:t>
      </w:r>
      <w:r>
        <w:t xml:space="preserve"> </w:t>
      </w:r>
      <w:r>
        <w:t xml:space="preserve">irradiator (dose rate = 44.16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perovskite).</w:t>
      </w:r>
    </w:p>
    <w:bookmarkEnd w:id="31"/>
    <w:p>
      <w:pPr>
        <w:pStyle w:val="BodyText"/>
      </w:pPr>
      <w:r>
        <w:t xml:space="preserve">To assess the long-term stability of the perovskite module as a</w:t>
      </w:r>
      <w:r>
        <w:t xml:space="preserve"> </w:t>
      </w:r>
      <w:r>
        <w:t xml:space="preserve">radiation monitor, the device was subjected to continuous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</w:t>
      </w:r>
      <w:r>
        <w:t xml:space="preserve"> </w:t>
      </w:r>
      <w:r>
        <w:t xml:space="preserve">irradiation for six days without removal from the source. The</w:t>
      </w:r>
      <w:r>
        <w:t xml:space="preserve"> </w:t>
      </w:r>
      <w:r>
        <w:t xml:space="preserve">accumulated absorbed dose over the six-day period was computed by</w:t>
      </w:r>
      <w:r>
        <w:t xml:space="preserve"> </w:t>
      </w:r>
      <w:r>
        <w:t xml:space="preserve">integrating the dose rate over the irradiation time.</w:t>
      </w:r>
      <w:r>
        <w:t xml:space="preserve"> </w:t>
      </w:r>
      <w:r>
        <w:t xml:space="preserve">Figure </w:t>
      </w:r>
      <w:hyperlink w:anchor="fig:cs137_longterm">
        <w:r>
          <w:rPr>
            <w:rStyle w:val="Hyperlink"/>
          </w:rPr>
          <w:t xml:space="preserve">1.5</w:t>
        </w:r>
      </w:hyperlink>
      <w:r>
        <w:t xml:space="preserve"> </w:t>
      </w:r>
      <w:r>
        <w:t xml:space="preserve">shows the evolution of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as a function of cumulative absorbed dose. A linear decrease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with dose is observed, with a slope of</w:t>
      </w:r>
      <w:r>
        <w:t xml:space="preserve"> </w:t>
      </w:r>
      <m:oMath>
        <m:r>
          <m:rPr>
            <m:sty m:val="p"/>
          </m:rPr>
          <m:t>−</m:t>
        </m:r>
        <m:r>
          <m:t>0.74</m:t>
        </m:r>
      </m:oMath>
      <w:r>
        <w:t xml:space="preserve"> nA rad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corresponding to a relative degradation rate</w:t>
      </w:r>
      <w:r>
        <w:t xml:space="preserve"> </w:t>
      </w:r>
      <w:r>
        <w:t xml:space="preserve">of approximately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I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I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C</m:t>
                </m:r>
              </m:sub>
            </m:sSub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per unit absorbed dose.</w:t>
      </w:r>
    </w:p>
    <w:bookmarkStart w:id="35" w:name="fig:cs137_longterm"/>
    <w:p>
      <w:pPr>
        <w:pStyle w:val="CaptionedFigure"/>
      </w:pPr>
      <w:r>
        <w:drawing>
          <wp:inline>
            <wp:extent cx="4267200" cy="290127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ures/4_5_cs137_longter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Long-term evolution of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under continuous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irradiation (44.16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over six</w:t>
      </w:r>
      <w:r>
        <w:t xml:space="preserve"> </w:t>
      </w:r>
      <w:r>
        <w:t xml:space="preserve">days.</w:t>
      </w:r>
    </w:p>
    <w:bookmarkEnd w:id="35"/>
    <w:p>
      <w:pPr>
        <w:pStyle w:val="BodyText"/>
      </w:pPr>
      <w:r>
        <w:t xml:space="preserve">The observed linear decline is consistent with the creation of</w:t>
      </w:r>
      <w:r>
        <w:t xml:space="preserve"> </w:t>
      </w:r>
      <w:r>
        <w:t xml:space="preserve">electrically active defects, primarily iodide Frenkel pairs,</w:t>
      </w:r>
      <w:r>
        <w:t xml:space="preserve"> </w:t>
      </w:r>
      <w:r>
        <w:t xml:space="preserve">proportional to the absorbed dose, as has been documented for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irradiation of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single crystals at doses up to</w:t>
      </w:r>
      <w:r>
        <w:t xml:space="preserve"> </w:t>
      </w:r>
      <w:r>
        <w:t xml:space="preserve">1000 krad </w:t>
      </w:r>
      <w:r>
        <w:t xml:space="preserve">. An additional contribution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decline comes from cumulative darkening of the</w:t>
      </w:r>
      <w:r>
        <w:t xml:space="preserve"> </w:t>
      </w:r>
      <w:r>
        <w:t xml:space="preserve">borosilicate glass superstrate, which reduces the visible-light</w:t>
      </w:r>
      <w:r>
        <w:t xml:space="preserve"> </w:t>
      </w:r>
      <w:r>
        <w:t xml:space="preserve">transmittance and hence the photovoltaic current even in the absence</w:t>
      </w:r>
      <w:r>
        <w:t xml:space="preserve"> </w:t>
      </w:r>
      <w:r>
        <w:t xml:space="preserve">of absorber degradation; this contribution has been documented</w:t>
      </w:r>
      <w:r>
        <w:t xml:space="preserve"> </w:t>
      </w:r>
      <w:r>
        <w:t xml:space="preserve">separately </w:t>
      </w:r>
      <w:r>
        <w:t xml:space="preserve">.</w:t>
      </w:r>
    </w:p>
    <w:bookmarkEnd w:id="36"/>
    <w:bookmarkStart w:id="41" w:name="sec:co60"/>
    <w:p>
      <w:pPr>
        <w:pStyle w:val="Heading3"/>
      </w:pPr>
      <w:r>
        <w:t xml:space="preserve">Cobalt-60 Irradiation</w:t>
      </w:r>
    </w:p>
    <w:p>
      <w:pPr>
        <w:pStyle w:val="FirstParagraph"/>
      </w:pPr>
      <w:r>
        <w:t xml:space="preserve">The module was subsequently irradiated in the OSU NRL reactor pool</w:t>
      </w:r>
      <w:r>
        <w:t xml:space="preserve"> </w:t>
      </w:r>
      <w:r>
        <w:t xml:space="preserve">using the underwater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irradiator at a dose rate of</w:t>
      </w:r>
      <w:r>
        <w:t xml:space="preserve"> </w:t>
      </w:r>
      <w:r>
        <w:t xml:space="preserve">355.61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perovskite layer, approximately eight</w:t>
      </w:r>
      <w:r>
        <w:t xml:space="preserve"> </w:t>
      </w:r>
      <w:r>
        <w:t xml:space="preserve">times higher than the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rate. The measurement</w:t>
      </w:r>
      <w:r>
        <w:t xml:space="preserve"> </w:t>
      </w:r>
      <w:r>
        <w:t xml:space="preserve">geometry was otherwise identical: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was recorded</w:t>
      </w:r>
      <w:r>
        <w:t xml:space="preserve"> </w:t>
      </w:r>
      <w:r>
        <w:t xml:space="preserve">continuously throughout a 16-day irradiation. The induced current</w:t>
      </w:r>
      <w:r>
        <w:t xml:space="preserve"> </w:t>
      </w:r>
      <w:r>
        <w:t xml:space="preserve">density at 355.61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was 3.56 nA cm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Figure </w:t>
      </w:r>
      <w:hyperlink w:anchor="fig:co60_response">
        <w:r>
          <w:rPr>
            <w:rStyle w:val="Hyperlink"/>
          </w:rPr>
          <w:t xml:space="preserve">1.6</w:t>
        </w:r>
      </w:hyperlink>
      <w:r>
        <w:t xml:space="preserve"> </w:t>
      </w:r>
      <w:r>
        <w:t xml:space="preserve">shows the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time series for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irradiation. As with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Cs, a downward linear</w:t>
      </w:r>
      <w:r>
        <w:t xml:space="preserve"> </w:t>
      </w:r>
      <w:r>
        <w:t xml:space="preserve">trend in the baseline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is observed over the 16-day</w:t>
      </w:r>
      <w:r>
        <w:t xml:space="preserve"> </w:t>
      </w:r>
      <w:r>
        <w:t xml:space="preserve">period, consistent with progressive defect accumulation proportional</w:t>
      </w:r>
      <w:r>
        <w:t xml:space="preserve"> </w:t>
      </w:r>
      <w:r>
        <w:t xml:space="preserve">to absorbed dose.</w:t>
      </w:r>
    </w:p>
    <w:bookmarkStart w:id="40" w:name="fig:co60_response"/>
    <w:p>
      <w:pPr>
        <w:pStyle w:val="CaptionedFigure"/>
      </w:pPr>
      <w:r>
        <w:drawing>
          <wp:inline>
            <wp:extent cx="4267200" cy="285518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4_6_co60_respons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55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Short-circuit current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of the module during</w:t>
      </w:r>
      <w:r>
        <w:t xml:space="preserve"> </w:t>
      </w:r>
      <w:r>
        <w:t xml:space="preserve">16-day continuous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irradiation (dose rate =</w:t>
      </w:r>
      <w:r>
        <w:t xml:space="preserve"> </w:t>
      </w:r>
      <w:r>
        <w:t xml:space="preserve">355.61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perovskite).</w:t>
      </w:r>
    </w:p>
    <w:bookmarkEnd w:id="40"/>
    <w:p>
      <w:pPr>
        <w:pStyle w:val="BodyText"/>
      </w:pPr>
      <w:r>
        <w:t xml:space="preserve">These results demonstrate that arrays of calibrated perovskite modules</w:t>
      </w:r>
      <w:r>
        <w:t xml:space="preserve"> </w:t>
      </w:r>
      <w:r>
        <w:t xml:space="preserve">could, in principle, be deployed in a spatial configuration around a</w:t>
      </w:r>
      <w:r>
        <w:t xml:space="preserve"> </w:t>
      </w:r>
      <w:r>
        <w:t xml:space="preserve">radiation source to triangulate the detonation location or measure</w:t>
      </w:r>
      <w:r>
        <w:t xml:space="preserve"> </w:t>
      </w:r>
      <w:r>
        <w:t xml:space="preserve">the spatial dose distribution by comparing the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responses</w:t>
      </w:r>
      <w:r>
        <w:t xml:space="preserve"> </w:t>
      </w:r>
      <w:r>
        <w:t xml:space="preserve">of individual array elements. The linear dose–current relationship</w:t>
      </w:r>
      <w:r>
        <w:t xml:space="preserve"> </w:t>
      </w:r>
      <w:r>
        <w:t xml:space="preserve">established here provides the calibration function necessary for</w:t>
      </w:r>
      <w:r>
        <w:t xml:space="preserve"> </w:t>
      </w:r>
      <w:r>
        <w:t xml:space="preserve">such an application.</w:t>
      </w:r>
    </w:p>
    <w:bookmarkEnd w:id="41"/>
    <w:bookmarkEnd w:id="42"/>
    <w:bookmarkStart w:id="52" w:name="sec:neutron_response"/>
    <w:p>
      <w:pPr>
        <w:pStyle w:val="Heading2"/>
      </w:pPr>
      <w:r>
        <w:t xml:space="preserve">Neutron Response</w:t>
      </w:r>
    </w:p>
    <w:p>
      <w:pPr>
        <w:pStyle w:val="FirstParagraph"/>
      </w:pPr>
      <w:r>
        <w:t xml:space="preserve">Neutron response measurements were performed at the Fast Neutron</w:t>
      </w:r>
      <w:r>
        <w:t xml:space="preserve"> </w:t>
      </w:r>
      <w:r>
        <w:t xml:space="preserve">Beam Facility (FBF) of the Ohio State University Research Reactor</w:t>
      </w:r>
      <w:r>
        <w:t xml:space="preserve"> </w:t>
      </w:r>
      <w:r>
        <w:t xml:space="preserve">(OSURR). The FBF beamline and its filtering elements are</w:t>
      </w:r>
      <w:r>
        <w:t xml:space="preserve"> </w:t>
      </w:r>
      <w:r>
        <w:t xml:space="preserve">described in full in Section </w:t>
      </w:r>
      <w:hyperlink w:anchor="sec:osurr_fbf">
        <w:r>
          <w:rPr>
            <w:rStyle w:val="Hyperlink"/>
          </w:rPr>
          <w:t xml:space="preserve">1.5.1</w:t>
        </w:r>
      </w:hyperlink>
      <w:r>
        <w:t xml:space="preserve"> </w:t>
      </w:r>
      <w:r>
        <w:t xml:space="preserve">below; the</w:t>
      </w:r>
      <w:r>
        <w:t xml:space="preserve"> </w:t>
      </w:r>
      <w:r>
        <w:t xml:space="preserve">experimental geometry for the solar-cell measurements placed the</w:t>
      </w:r>
      <w:r>
        <w:t xml:space="preserve"> </w:t>
      </w:r>
      <w:r>
        <w:t xml:space="preserve">perovskite module alternately outside the beam (background), in</w:t>
      </w:r>
      <w:r>
        <w:t xml:space="preserve"> </w:t>
      </w:r>
      <w:r>
        <w:t xml:space="preserve">the beam with the gamma-suppression filter closed, and in the beam</w:t>
      </w:r>
      <w:r>
        <w:t xml:space="preserve"> </w:t>
      </w:r>
      <w:r>
        <w:t xml:space="preserve">with the filter open, enabling separation of the neutron-induced</w:t>
      </w:r>
      <w:r>
        <w:t xml:space="preserve"> </w:t>
      </w:r>
      <w:r>
        <w:t xml:space="preserve">and gamma-induced current components.</w:t>
      </w:r>
    </w:p>
    <w:bookmarkStart w:id="48" w:name="sec:osurr_fbf"/>
    <w:p>
      <w:pPr>
        <w:pStyle w:val="Heading3"/>
      </w:pPr>
      <w:r>
        <w:t xml:space="preserve">OSURR Fast Neutron Beam Facility</w:t>
      </w:r>
    </w:p>
    <w:p>
      <w:pPr>
        <w:pStyle w:val="FirstParagraph"/>
      </w:pPr>
      <w:r>
        <w:t xml:space="preserve">The OSURR is a 500-kW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pool-type research reactor</w:t>
      </w:r>
      <w:r>
        <w:t xml:space="preserve"> </w:t>
      </w:r>
      <w:r>
        <w:t xml:space="preserve">operated by the OSU Nuclear Reactor Laboratory. The Fast Neutron</w:t>
      </w:r>
      <w:r>
        <w:t xml:space="preserve"> </w:t>
      </w:r>
      <w:r>
        <w:t xml:space="preserve">Beam Facility (FBF) is a horizontal beamport extending from the</w:t>
      </w:r>
      <w:r>
        <w:t xml:space="preserve"> </w:t>
      </w:r>
      <w:r>
        <w:t xml:space="preserve">reactor core through the biological shielding to an experimental</w:t>
      </w:r>
      <w:r>
        <w:t xml:space="preserve"> </w:t>
      </w:r>
      <w:r>
        <w:t xml:space="preserve">area, providing access to the reactor’s fast and epi-thermal</w:t>
      </w:r>
      <w:r>
        <w:t xml:space="preserve"> </w:t>
      </w:r>
      <w:r>
        <w:t xml:space="preserve">neutron flux for detector characterisation. The beam line</w:t>
      </w:r>
      <w:r>
        <w:t xml:space="preserve"> </w:t>
      </w:r>
      <w:r>
        <w:t xml:space="preserve">contains three independently configurable filtering elements,</w:t>
      </w:r>
      <w:r>
        <w:t xml:space="preserve"> </w:t>
      </w:r>
      <w:r>
        <w:t xml:space="preserve">each of which modifies the fast neutron flux and gamma dose rate</w:t>
      </w:r>
      <w:r>
        <w:t xml:space="preserve"> </w:t>
      </w:r>
      <w:r>
        <w:t xml:space="preserve">reaching the detector in a distinct way.</w:t>
      </w:r>
    </w:p>
    <w:p>
      <w:pPr>
        <w:pStyle w:val="BodyText"/>
      </w:pPr>
      <w:r>
        <w:t xml:space="preserve">The first element is a permanent 4-inch (10.16 cm) single-crystal</w:t>
      </w:r>
      <w:r>
        <w:t xml:space="preserve"> </w:t>
      </w:r>
      <w:r>
        <w:t xml:space="preserve">bismuth block embedded near the reactor core as an in-line gamma</w:t>
      </w:r>
      <w:r>
        <w:t xml:space="preserve"> </w:t>
      </w:r>
      <w:r>
        <w:t xml:space="preserve">filter. Bismuth is nearly transparent to fast neutrons while</w:t>
      </w:r>
      <w:r>
        <w:t xml:space="preserve"> </w:t>
      </w:r>
      <w:r>
        <w:t xml:space="preserve">strongly attenuating the intense prompt fission gamma flux</w:t>
      </w:r>
      <w:r>
        <w:t xml:space="preserve"> </w:t>
      </w:r>
      <w:r>
        <w:t xml:space="preserve">produced by the reactor core. This filter is always in place</w:t>
      </w:r>
      <w:r>
        <w:t xml:space="preserve"> </w:t>
      </w:r>
      <w:r>
        <w:t xml:space="preserve">and is not removable during experiments.</w:t>
      </w:r>
    </w:p>
    <w:p>
      <w:pPr>
        <w:pStyle w:val="BodyText"/>
      </w:pPr>
      <w:r>
        <w:t xml:space="preserve">The second element is an 8-inch (20.32 cm) lead gamma shutter</w:t>
      </w:r>
      <w:r>
        <w:t xml:space="preserve"> </w:t>
      </w:r>
      <w:r>
        <w:t xml:space="preserve">embedded in the reactor’s concrete shielding wall downstream of</w:t>
      </w:r>
      <w:r>
        <w:t xml:space="preserve"> </w:t>
      </w:r>
      <w:r>
        <w:t xml:space="preserve">the bismuth filter. The shutter consists of a cylindrical drum</w:t>
      </w:r>
      <w:r>
        <w:t xml:space="preserve"> </w:t>
      </w:r>
      <w:r>
        <w:t xml:space="preserve">filled 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t xml:space="preserve">-inch (0.159 cm) Pb shot. When open,</w:t>
      </w:r>
      <w:r>
        <w:t xml:space="preserve"> </w:t>
      </w:r>
      <w:r>
        <w:t xml:space="preserve">the neutron beam passes through an air gap in the drum; when</w:t>
      </w:r>
      <w:r>
        <w:t xml:space="preserve"> </w:t>
      </w:r>
      <w:r>
        <w:t xml:space="preserve">closed, the beam traverses the full column of lead shot,</w:t>
      </w:r>
      <w:r>
        <w:t xml:space="preserve"> </w:t>
      </w:r>
      <w:r>
        <w:t xml:space="preserve">providing approximately 8 inches of gamma shielding in total.</w:t>
      </w:r>
      <w:r>
        <w:t xml:space="preserve"> </w:t>
      </w:r>
      <w:r>
        <w:t xml:space="preserve">Closing the gamma shutter reduces the gamma-ray content of the</w:t>
      </w:r>
      <w:r>
        <w:t xml:space="preserve"> </w:t>
      </w:r>
      <w:r>
        <w:t xml:space="preserve">beam by a factor of 300, while simultaneously attenuating the</w:t>
      </w:r>
      <w:r>
        <w:t xml:space="preserve"> </w:t>
      </w:r>
      <w:r>
        <w:t xml:space="preserve">fast neutron flux by a factor of 35. With the shutter open and</w:t>
      </w:r>
      <w:r>
        <w:t xml:space="preserve"> </w:t>
      </w:r>
      <w:r>
        <w:t xml:space="preserve">no cadmium filter in place, the fast neutron flux at the detector</w:t>
      </w:r>
      <w:r>
        <w:t xml:space="preserve"> </w:t>
      </w:r>
      <w:r>
        <w:t xml:space="preserve">position is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the gamma</w:t>
      </w:r>
      <w:r>
        <w:t xml:space="preserve"> </w:t>
      </w:r>
      <w:r>
        <w:t xml:space="preserve">dose rate is 15.787 R hr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With the shutter closed, the</w:t>
      </w:r>
      <w:r>
        <w:t xml:space="preserve"> </w:t>
      </w:r>
      <w:r>
        <w:t xml:space="preserve">fast neutron flux drops to</w:t>
      </w:r>
      <w:r>
        <w:t xml:space="preserve"> </w:t>
      </w:r>
      <m:oMath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 the gamma dose rate falls to 50.525 mR hr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 third element is an external 2-mm cadmium (Cd) foil</w:t>
      </w:r>
      <w:r>
        <w:t xml:space="preserve"> </w:t>
      </w:r>
      <w:r>
        <w:t xml:space="preserve">positioned at the beam exit port. Cadmium has a very large</w:t>
      </w:r>
      <w:r>
        <w:t xml:space="preserve"> </w:t>
      </w:r>
      <w:r>
        <w:t xml:space="preserve">absorption cross-section for thermal neutrons (below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0.5 eV) and acts as a selective thermal neutron filter,</w:t>
      </w:r>
      <w:r>
        <w:t xml:space="preserve"> </w:t>
      </w:r>
      <w:r>
        <w:t xml:space="preserve">leaving the fast and epi-thermal components of the beam largely</w:t>
      </w:r>
      <w:r>
        <w:t xml:space="preserve"> </w:t>
      </w:r>
      <w:r>
        <w:t xml:space="preserve">unaffected. The Cd foil was characterised via gold foil</w:t>
      </w:r>
      <w:r>
        <w:t xml:space="preserve"> </w:t>
      </w:r>
      <w:r>
        <w:t xml:space="preserve">activation measurements per ASTM E262-17, yielding a Cadmium</w:t>
      </w:r>
      <w:r>
        <w:t xml:space="preserve"> </w:t>
      </w:r>
      <w:r>
        <w:t xml:space="preserve">Ratio of 1.1 and a thermal neutron reduction factor of 110.</w:t>
      </w:r>
      <w:r>
        <w:t xml:space="preserve"> </w:t>
      </w:r>
      <w:r>
        <w:t xml:space="preserve">When the gamma shutter is closed and the Cd filter is inserted,</w:t>
      </w:r>
      <w:r>
        <w:t xml:space="preserve"> </w:t>
      </w:r>
      <w:r>
        <w:t xml:space="preserve">the estimated thermal neutron flux at the detector is reduced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220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while the fast neutron flux</w:t>
      </w:r>
      <w:r>
        <w:t xml:space="preserve"> </w:t>
      </w:r>
      <w:r>
        <w:t xml:space="preserve">remains at</w:t>
      </w:r>
      <w:r>
        <w:t xml:space="preserve"> </w:t>
      </w:r>
      <m:oMath>
        <m:r>
          <m:t>4.3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 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 The combined</w:t>
      </w:r>
      <w:r>
        <w:t xml:space="preserve"> </w:t>
      </w:r>
      <w:r>
        <w:t xml:space="preserve">effect of all three filtering configurations on the beam</w:t>
      </w:r>
      <w:r>
        <w:t xml:space="preserve"> </w:t>
      </w:r>
      <w:r>
        <w:t xml:space="preserve">composition is summarised in Table </w:t>
      </w:r>
      <w:hyperlink w:anchor="tab:fbf_beam_ch4">
        <w:r>
          <w:rPr>
            <w:rStyle w:val="Hyperlink"/>
          </w:rPr>
          <w:t xml:space="preserve">1.1</w:t>
        </w:r>
      </w:hyperlink>
      <w:r>
        <w:t xml:space="preserve">.</w:t>
      </w:r>
    </w:p>
    <w:bookmarkStart w:id="43" w:name="tab:fbf_beam_ch4"/>
    <w:p>
      <w:pPr>
        <w:pStyle w:val="TableCaption"/>
      </w:pPr>
      <w:r>
        <w:t xml:space="preserve">OSURR FBF beam conditions as a function of gamma shutter</w:t>
      </w:r>
      <w:r>
        <w:t xml:space="preserve"> </w:t>
      </w:r>
      <w:r>
        <w:t xml:space="preserve">and Cd filter configuration. All flux and dose-rate</w:t>
      </w:r>
      <w:r>
        <w:t xml:space="preserve"> </w:t>
      </w:r>
      <w:r>
        <w:t xml:space="preserve">values are referenced to 450 kW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reactor power</w:t>
      </w:r>
      <w:r>
        <w:t xml:space="preserve"> </w:t>
      </w:r>
      <w:r>
        <w:t xml:space="preserve">at the detector position.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SURR FBF beam conditions as a function of gamma shutter and Cd filter configuration. All flux and dose-rate values are referenced to 450 kW_{\mathrm{th}} reactor power at the detector posi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Shutter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Fast neutron flux (cm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 s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Gamma dose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15.787 R hr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50.525 mR hr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50.525 mR hr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</w:tbl>
    <w:bookmarkEnd w:id="43"/>
    <w:p>
      <w:pPr>
        <w:pStyle w:val="BodyText"/>
      </w:pPr>
      <w:r>
        <w:t xml:space="preserve">The neutron energy spectrum at the FBF, determined by the SAND-II</w:t>
      </w:r>
      <w:r>
        <w:t xml:space="preserve"> </w:t>
      </w:r>
      <w:r>
        <w:t xml:space="preserve">and STAYSL spectrum-unfolding techniques using activation of</w:t>
      </w:r>
      <w:r>
        <w:t xml:space="preserve"> </w:t>
      </w:r>
      <w:r>
        <w:t xml:space="preserve">copper, gold, and nickel wire dosimeters, is shown in</w:t>
      </w:r>
      <w:r>
        <w:t xml:space="preserve"> </w:t>
      </w:r>
      <w:r>
        <w:t xml:space="preserve">Figure </w:t>
      </w:r>
      <w:hyperlink w:anchor="fig:fbf_spectrum_ch4">
        <w:r>
          <w:rPr>
            <w:rStyle w:val="Hyperlink"/>
          </w:rPr>
          <w:t xml:space="preserve">1.7</w:t>
        </w:r>
      </w:hyperlink>
      <w:r>
        <w:t xml:space="preserve">. The spectrum spans thermal</w:t>
      </w:r>
      <w:r>
        <w:t xml:space="preserve"> </w:t>
      </w:r>
      <w:r>
        <w:t xml:space="preserve">energies through the fast fission continuum, with the fast and</w:t>
      </w:r>
      <w:r>
        <w:t xml:space="preserve"> </w:t>
      </w:r>
      <w:r>
        <w:t xml:space="preserve">epi-thermal components dominating the integrated flux. The</w:t>
      </w:r>
      <w:r>
        <w:t xml:space="preserve"> </w:t>
      </w:r>
      <w:r>
        <w:t xml:space="preserve">addition of the Cd filter has a minor effect on the spectral</w:t>
      </w:r>
      <w:r>
        <w:t xml:space="preserve"> </w:t>
      </w:r>
      <w:r>
        <w:t xml:space="preserve">shape above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 eV and does not appreciably alter the</w:t>
      </w:r>
      <w:r>
        <w:t xml:space="preserve"> </w:t>
      </w:r>
      <w:r>
        <w:t xml:space="preserve">fast-neutron component.</w:t>
      </w:r>
    </w:p>
    <w:bookmarkStart w:id="47" w:name="fig:fbf_spectrum_ch4"/>
    <w:p>
      <w:pPr>
        <w:pStyle w:val="CaptionedFigure"/>
      </w:pPr>
      <w:r>
        <w:drawing>
          <wp:inline>
            <wp:extent cx="4000500" cy="2897659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5_mhy_neutron_spectrum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9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Neutron energy spectrum at the OSURR FBF determined by</w:t>
      </w:r>
      <w:r>
        <w:t xml:space="preserve"> </w:t>
      </w:r>
      <w:r>
        <w:t xml:space="preserve">SAND-II and STAYSL unfolding of Cu, Au, and Ni activation</w:t>
      </w:r>
      <w:r>
        <w:t xml:space="preserve"> </w:t>
      </w:r>
      <w:r>
        <w:t xml:space="preserve">wire measurements. The same spectrum applies to both the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solar-cell neutron experiments</w:t>
      </w:r>
      <w:r>
        <w:t xml:space="preserve"> </w:t>
      </w:r>
      <w:r>
        <w:t xml:space="preserve">described in this chapter and the MHyPbCl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fast-neutron</w:t>
      </w:r>
      <w:r>
        <w:t xml:space="preserve"> </w:t>
      </w:r>
      <w:r>
        <w:t xml:space="preserve">detection experiments described in</w:t>
      </w:r>
      <w:r>
        <w:t xml:space="preserve"> </w:t>
      </w:r>
      <w:r>
        <w:t xml:space="preserve">Chapter </w:t>
      </w:r>
      <w:hyperlink w:anchor="ch:MHyPbCl3">
        <w:r>
          <w:rPr>
            <w:rStyle w:val="Hyperlink"/>
          </w:rPr>
          <w:t xml:space="preserve">[ch:MHyPbCl3]</w:t>
        </w:r>
      </w:hyperlink>
      <w:r>
        <w:t xml:space="preserve">.</w:t>
      </w:r>
    </w:p>
    <w:bookmarkEnd w:id="47"/>
    <w:bookmarkEnd w:id="48"/>
    <w:bookmarkStart w:id="50" w:name="sec:neutron_dc"/>
    <w:p>
      <w:pPr>
        <w:pStyle w:val="Heading3"/>
      </w:pPr>
      <w:r>
        <w:t xml:space="preserve">Steady-State Reactor Measurements</w:t>
      </w:r>
    </w:p>
    <w:p>
      <w:pPr>
        <w:pStyle w:val="FirstParagraph"/>
      </w:pPr>
      <w:r>
        <w:t xml:space="preserve">Table </w:t>
      </w:r>
      <w:hyperlink w:anchor="tab:neutron_steady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summarizes the short-circuit current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measured under each condition, referenced to reactor</w:t>
      </w:r>
      <w:r>
        <w:t xml:space="preserve"> </w:t>
      </w:r>
      <w:r>
        <w:t xml:space="preserve">power levels of 0 kW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(reactor shutdown) and</w:t>
      </w:r>
      <w:r>
        <w:t xml:space="preserve"> </w:t>
      </w:r>
      <w:r>
        <w:t xml:space="preserve">450 kW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(operating power).</w:t>
      </w:r>
    </w:p>
    <w:bookmarkStart w:id="49" w:name="tab:neutron_steady"/>
    <w:p>
      <w:pPr>
        <w:pStyle w:val="TableCaption"/>
      </w:pPr>
      <w:r>
        <w:t xml:space="preserve">Steady-state short-circuit current of the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module at OSU NRL FBF.</w:t>
      </w:r>
      <w:r>
        <w:t xml:space="preserve"> </w:t>
      </w:r>
      <w:r>
        <w:t xml:space="preserve">Uncertainties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t>σ</m:t>
        </m:r>
      </m:oMath>
      <w:r>
        <w:t xml:space="preserve"> </w:t>
      </w:r>
      <w:r>
        <w:t xml:space="preserve">over the measurement interval.</w:t>
      </w:r>
      <w:r>
        <w:t xml:space="preserve"> </w:t>
      </w:r>
      <w:r>
        <w:t xml:space="preserve">“Gamma filter closed”</w:t>
      </w:r>
      <w:r>
        <w:t xml:space="preserve"> </w:t>
      </w:r>
      <w:r>
        <w:t xml:space="preserve">and</w:t>
      </w:r>
      <w:r>
        <w:t xml:space="preserve"> </w:t>
      </w:r>
      <w:r>
        <w:t xml:space="preserve">“gamma filter open”</w:t>
      </w:r>
      <w:r>
        <w:t xml:space="preserve"> </w:t>
      </w:r>
      <w:r>
        <w:t xml:space="preserve">refer to the</w:t>
      </w:r>
      <w:r>
        <w:t xml:space="preserve"> </w:t>
      </w:r>
      <w:r>
        <w:t xml:space="preserve">polyethylene/lead shielding assembly that preferentially</w:t>
      </w:r>
      <w:r>
        <w:t xml:space="preserve"> </w:t>
      </w:r>
      <w:r>
        <w:t xml:space="preserve">attenuates the reactor gamma flux while transmitting fast</w:t>
      </w:r>
      <w:r>
        <w:t xml:space="preserve"> </w:t>
      </w:r>
      <w:r>
        <w:t xml:space="preserve">neutrons.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eady-state short-circuit current of the Cs_{0.1}FA_{0.9}PbI_3 module at OSU NRL FBF. Uncertainties are \pm 1\sigma over the measurement interval. “Gamma filter closed” and “gamma filter open” refer to the polyethylene/lead shielding assembly that preferentially attenuates the reactor gamma flux while transmitting fast neutr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Reactor Power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C</m:t>
                  </m:r>
                </m:sub>
              </m:sSub>
            </m:oMath>
            <w:r>
              <w:t xml:space="preserve"> </w:t>
            </w:r>
            <w:r>
              <w:t xml:space="preserve">(pA)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(reactor off)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kW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51.29</m:t>
              </m:r>
              <m:r>
                <m:rPr>
                  <m:sty m:val="p"/>
                </m:rPr>
                <m:t>±</m:t>
              </m:r>
              <m:r>
                <m:t>6.60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(reactor on)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 kW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57.50</m:t>
              </m:r>
              <m:r>
                <m:rPr>
                  <m:sty m:val="p"/>
                </m:rPr>
                <m:t>±</m:t>
              </m:r>
              <m:r>
                <m:t>7.39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 filter 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 kW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57.62</m:t>
              </m:r>
              <m:r>
                <m:rPr>
                  <m:sty m:val="p"/>
                </m:rPr>
                <m:t>±</m:t>
              </m:r>
              <m:r>
                <m:t>7.93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 filter 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450 kW</w:t>
            </w:r>
            <m:oMath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59.77</m:t>
              </m:r>
              <m:r>
                <m:rPr>
                  <m:sty m:val="p"/>
                </m:rPr>
                <m:t>±</m:t>
              </m:r>
              <m:r>
                <m:t>8.62</m:t>
              </m:r>
            </m:oMath>
          </w:p>
        </w:tc>
      </w:tr>
    </w:tbl>
    <w:bookmarkEnd w:id="49"/>
    <w:p>
      <w:pPr>
        <w:pStyle w:val="BodyText"/>
      </w:pPr>
      <w:r>
        <w:t xml:space="preserve">The data in Table </w:t>
      </w:r>
      <w:hyperlink w:anchor="tab:neutron_steady">
        <w:r>
          <w:rPr>
            <w:rStyle w:val="Hyperlink"/>
          </w:rPr>
          <w:t xml:space="preserve">1.2</w:t>
        </w:r>
      </w:hyperlink>
      <w:r>
        <w:t xml:space="preserve"> </w:t>
      </w:r>
      <w:r>
        <w:t xml:space="preserve">reveal a slight but</w:t>
      </w:r>
      <w:r>
        <w:t xml:space="preserve"> </w:t>
      </w:r>
      <w:r>
        <w:t xml:space="preserve">statistically marginal increase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upon opening the gamma</w:t>
      </w:r>
      <w:r>
        <w:t xml:space="preserve"> </w:t>
      </w:r>
      <w:r>
        <w:t xml:space="preserve">filter (from</w:t>
      </w:r>
      <w:r>
        <w:t xml:space="preserve"> </w:t>
      </w:r>
      <m:oMath>
        <m:r>
          <m:t>57.62</m:t>
        </m:r>
        <m:r>
          <m:rPr>
            <m:sty m:val="p"/>
          </m:rPr>
          <m:t>±</m:t>
        </m:r>
        <m:r>
          <m:t>7.93</m:t>
        </m:r>
      </m:oMath>
      <w:r>
        <w:t xml:space="preserve"> pA to</w:t>
      </w:r>
      <w:r>
        <w:t xml:space="preserve"> </w:t>
      </w:r>
      <m:oMath>
        <m:r>
          <m:t>59.77</m:t>
        </m:r>
        <m:r>
          <m:rPr>
            <m:sty m:val="p"/>
          </m:rPr>
          <m:t>±</m:t>
        </m:r>
        <m:r>
          <m:t>8.62</m:t>
        </m:r>
      </m:oMath>
      <w:r>
        <w:t xml:space="preserve"> pA). The</w:t>
      </w:r>
      <w:r>
        <w:t xml:space="preserve"> </w:t>
      </w:r>
      <w:r>
        <w:t xml:space="preserve">difference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2.2 pA represents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0.26</w:t>
      </w:r>
      <m:oMath>
        <m:r>
          <m:t>σ</m:t>
        </m:r>
      </m:oMath>
      <w:r>
        <w:t xml:space="preserve"> </w:t>
      </w:r>
      <w:r>
        <w:t xml:space="preserve">effect</w:t>
      </w:r>
      <w:r>
        <w:t xml:space="preserve"> </w:t>
      </w:r>
      <w:r>
        <w:t xml:space="preserve">relative to the combined quadrature uncertainty, which is not</w:t>
      </w:r>
      <w:r>
        <w:t xml:space="preserve"> </w:t>
      </w:r>
      <w:r>
        <w:t xml:space="preserve">statistically significant at the 95% confidence level. The result is</w:t>
      </w:r>
      <w:r>
        <w:t xml:space="preserve"> </w:t>
      </w:r>
      <w:r>
        <w:t xml:space="preserve">therefore classified as inconclusive: a neutron-induced contribution</w:t>
      </w:r>
      <w:r>
        <w:t xml:space="preserve"> </w:t>
      </w:r>
      <w:r>
        <w:t xml:space="preserve">cannot be ruled out, but the signal-to-noise ratio of a single</w:t>
      </w:r>
      <w:r>
        <w:t xml:space="preserve"> </w:t>
      </w:r>
      <w:r>
        <w:t xml:space="preserve">8 mm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–63.7 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module is insufficient to resolve it above the</w:t>
      </w:r>
      <w:r>
        <w:t xml:space="preserve"> </w:t>
      </w:r>
      <w:r>
        <w:t xml:space="preserve">fluctuating gamma and ambient backgrounds present at the FBF port.</w:t>
      </w:r>
    </w:p>
    <w:p>
      <w:pPr>
        <w:pStyle w:val="BodyText"/>
      </w:pPr>
      <w:r>
        <w:t xml:space="preserve">These results motivate the use of a larger-area array for future</w:t>
      </w:r>
      <w:r>
        <w:t xml:space="preserve"> </w:t>
      </w:r>
      <w:r>
        <w:t xml:space="preserve">neutron sensing experiments. Scaling the active area by a factor of</w:t>
      </w:r>
      <w:r>
        <w:t xml:space="preserve"> </w:t>
      </w:r>
      <w:r>
        <w:t xml:space="preserve">ten to twenty, combined with the differential signal extraction method</w:t>
      </w:r>
      <w:r>
        <w:t xml:space="preserve"> </w:t>
      </w:r>
      <w:r>
        <w:t xml:space="preserve">described by Panaccione et al. </w:t>
      </w:r>
      <w:r>
        <w:t xml:space="preserve">, is expected</w:t>
      </w:r>
      <w:r>
        <w:t xml:space="preserve"> </w:t>
      </w:r>
      <w:r>
        <w:t xml:space="preserve">to raise the neutron-to-background ratio above the detection threshold.</w:t>
      </w:r>
    </w:p>
    <w:bookmarkEnd w:id="50"/>
    <w:bookmarkStart w:id="51" w:name="chopped-beam-transient-measurements"/>
    <w:p>
      <w:pPr>
        <w:pStyle w:val="Heading3"/>
      </w:pPr>
      <w:r>
        <w:t xml:space="preserve">Chopped-Beam Transient Measurements</w:t>
      </w:r>
    </w:p>
    <w:p>
      <w:pPr>
        <w:pStyle w:val="FirstParagraph"/>
      </w:pPr>
      <w:r>
        <w:t xml:space="preserve">In an attempt to resolve a time-modulated neutron signal against the</w:t>
      </w:r>
      <w:r>
        <w:t xml:space="preserve"> </w:t>
      </w:r>
      <w:r>
        <w:t xml:space="preserve">steady-state gamma background, the reactor beam was mechanically</w:t>
      </w:r>
      <w:r>
        <w:t xml:space="preserve"> </w:t>
      </w:r>
      <w:r>
        <w:t xml:space="preserve">chopped at frequencies between 1 Hz and 100 Hz using a borated</w:t>
      </w:r>
      <w:r>
        <w:t xml:space="preserve"> </w:t>
      </w:r>
      <w:r>
        <w:t xml:space="preserve">polyethylene blade. Synchronous detection (lock-in analysis) of the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transient was implemented in software. No neutron-induced</w:t>
      </w:r>
      <w:r>
        <w:t xml:space="preserve"> </w:t>
      </w:r>
      <w:r>
        <w:t xml:space="preserve">current component was detected above the noise floor under any chopping</w:t>
      </w:r>
      <w:r>
        <w:t xml:space="preserve"> </w:t>
      </w:r>
      <w:r>
        <w:t xml:space="preserve">frequency in this configuration, consistent with the steady-state</w:t>
      </w:r>
      <w:r>
        <w:t xml:space="preserve"> </w:t>
      </w:r>
      <w:r>
        <w:t xml:space="preserve">analysis: the signal magnitude is simply too small relative to the</w:t>
      </w:r>
      <w:r>
        <w:t xml:space="preserve"> </w:t>
      </w:r>
      <w:r>
        <w:t xml:space="preserve">electronic noise of the current measurement system at the flux levels</w:t>
      </w:r>
      <w:r>
        <w:t xml:space="preserve"> </w:t>
      </w:r>
      <w:r>
        <w:t xml:space="preserve">available from the 450 kW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 </w:t>
      </w:r>
      <w:r>
        <w:t xml:space="preserve">reactor at the FBF port.</w:t>
      </w:r>
    </w:p>
    <w:bookmarkEnd w:id="51"/>
    <w:bookmarkEnd w:id="52"/>
    <w:bookmarkStart w:id="53" w:name="sec:ch4_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chapter has demonstrated that photovoltaic-architecture</w:t>
      </w:r>
      <w:r>
        <w:t xml:space="preserve"> </w:t>
      </w:r>
      <w:r>
        <w:t xml:space="preserve">Cs</w:t>
      </w:r>
      <m:oMath>
        <m:sSub>
          <m:e>
            <m:r>
              <m:t>​</m:t>
            </m:r>
          </m:e>
          <m:sub>
            <m:r>
              <m:t>0.1</m:t>
            </m:r>
          </m:sub>
        </m:sSub>
      </m:oMath>
      <w:r>
        <w:t xml:space="preserve">FA</w:t>
      </w:r>
      <m:oMath>
        <m:sSub>
          <m:e>
            <m:r>
              <m:t>​</m:t>
            </m:r>
          </m:e>
          <m:sub>
            <m:r>
              <m:t>0.9</m:t>
            </m:r>
          </m:sub>
        </m:sSub>
      </m:oMath>
      <w:r>
        <w:t xml:space="preserve">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perovskite solar cells can serve as</w:t>
      </w:r>
      <w:r>
        <w:t xml:space="preserve"> </w:t>
      </w:r>
      <w:r>
        <w:t xml:space="preserve">sensitive current-mode monitors for a broad spectrum of ionizing</w:t>
      </w:r>
      <w:r>
        <w:t xml:space="preserve"> </w:t>
      </w:r>
      <w:r>
        <w:t xml:space="preserve">radiation. The key results are as follows.</w:t>
      </w:r>
    </w:p>
    <w:p>
      <w:pPr>
        <w:pStyle w:val="BodyText"/>
      </w:pPr>
      <w:r>
        <w:t xml:space="preserve">Temporally, the device bandwidth is limited by the measurement</w:t>
      </w:r>
      <w:r>
        <w:t xml:space="preserve"> </w:t>
      </w:r>
      <w:r>
        <w:t xml:space="preserve">electronics rather than the intrinsic perovskite photoresponse:</w:t>
      </w:r>
      <w:r>
        <w:t xml:space="preserve"> </w:t>
      </w:r>
      <w:r>
        <w:t xml:space="preserve">rise times of 33–84 ns were recorded depending on the amplifier</w:t>
      </w:r>
      <w:r>
        <w:t xml:space="preserve"> </w:t>
      </w:r>
      <w:r>
        <w:t xml:space="preserve">configuration, and the actual carrier lifetime in the film is</w:t>
      </w:r>
      <w:r>
        <w:t xml:space="preserve"> </w:t>
      </w:r>
      <w:r>
        <w:t xml:space="preserve">substantially shorter than the measured system rise time.</w:t>
      </w:r>
    </w:p>
    <w:p>
      <w:pPr>
        <w:pStyle w:val="BodyText"/>
      </w:pPr>
      <w:r>
        <w:t xml:space="preserve">Under X-ray irradiation (Amptek Mini-X, up to 50 kV), the module</w:t>
      </w:r>
      <w:r>
        <w:t xml:space="preserve"> </w:t>
      </w:r>
      <w:r>
        <w:t xml:space="preserve">produces a measurable short-circuit current proportional to the</w:t>
      </w:r>
      <w:r>
        <w:t xml:space="preserve"> </w:t>
      </w:r>
      <w:r>
        <w:t xml:space="preserve">beam intensity, with the characteristic slow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decline</w:t>
      </w:r>
      <w:r>
        <w:t xml:space="preserve"> </w:t>
      </w:r>
      <w:r>
        <w:t xml:space="preserve">associated with ion-migration field screening under the device’s</w:t>
      </w:r>
      <w:r>
        <w:t xml:space="preserve"> </w:t>
      </w:r>
      <w:r>
        <w:t xml:space="preserve">built-in field </w:t>
      </w:r>
      <w:r>
        <w:t xml:space="preserve">.</w:t>
      </w:r>
    </w:p>
    <w:p>
      <w:pPr>
        <w:pStyle w:val="BodyText"/>
      </w:pPr>
      <w:r>
        <w:t xml:space="preserve">Under</w:t>
      </w:r>
      <w:r>
        <w:t xml:space="preserve"> </w:t>
      </w:r>
      <m:oMath>
        <m:sSup>
          <m:e>
            <m:r>
              <m:t>​</m:t>
            </m:r>
          </m:e>
          <m:sup>
            <m:r>
              <m:t>137</m:t>
            </m:r>
          </m:sup>
        </m:sSup>
      </m:oMath>
      <w:r>
        <w:t xml:space="preserve">Cs gamma irradiation at 44.16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 induced current density of 2.19 nA cm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was measured,</w:t>
      </w:r>
      <w:r>
        <w:t xml:space="preserve"> </w:t>
      </w:r>
      <w:r>
        <w:t xml:space="preserve">and a distinct step response was observed upon insertion and</w:t>
      </w:r>
      <w:r>
        <w:t xml:space="preserve"> </w:t>
      </w:r>
      <w:r>
        <w:t xml:space="preserve">withdrawal. Long-term (six-day) continuous irradiation revealed a</w:t>
      </w:r>
      <w:r>
        <w:t xml:space="preserve"> </w:t>
      </w:r>
      <w:r>
        <w:t xml:space="preserve">linear decline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0.74 nA rad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attributable to</w:t>
      </w:r>
      <w:r>
        <w:t xml:space="preserve"> </w:t>
      </w:r>
      <w:r>
        <w:t xml:space="preserve">cumulative defect creation and glass darkening 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60</m:t>
            </m:r>
          </m:sup>
        </m:sSup>
      </m:oMath>
      <w:r>
        <w:t xml:space="preserve">Co measurement at 355.61 rad hr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yielded</w:t>
      </w:r>
      <w:r>
        <w:t xml:space="preserve"> </w:t>
      </w:r>
      <w:r>
        <w:t xml:space="preserve">3.56 nA cm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and an equivalent linear degradation trend over</w:t>
      </w:r>
      <w:r>
        <w:t xml:space="preserve"> </w:t>
      </w:r>
      <w:r>
        <w:t xml:space="preserve">sixteen days, confirming the scalability of the current-mode detection</w:t>
      </w:r>
      <w:r>
        <w:t xml:space="preserve"> </w:t>
      </w:r>
      <w:r>
        <w:t xml:space="preserve">approach across a dose-rate range spanning nearly an order of magnitude.</w:t>
      </w:r>
    </w:p>
    <w:p>
      <w:pPr>
        <w:pStyle w:val="BodyText"/>
      </w:pPr>
      <w:r>
        <w:t xml:space="preserve">Neutron response at the OSU NRL FBF was statistically inconclusive</w:t>
      </w:r>
      <w:r>
        <w:t xml:space="preserve"> </w:t>
      </w:r>
      <w:r>
        <w:t xml:space="preserve">for a single module at 450 kW</w:t>
      </w:r>
      <m:oMath>
        <m:sSub>
          <m:e>
            <m:r>
              <m:t>​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</m:oMath>
      <w:r>
        <w:t xml:space="preserve">; the signal-to-noise</w:t>
      </w:r>
      <w:r>
        <w:t xml:space="preserve"> </w:t>
      </w:r>
      <w:r>
        <w:t xml:space="preserve">analysis indicates that scaling the detector array area by a factor</w:t>
      </w:r>
      <w:r>
        <w:t xml:space="preserve"> </w:t>
      </w:r>
      <w:r>
        <w:t xml:space="preserve">of ten to twenty is necessary to resolve the neutron-induced current</w:t>
      </w:r>
      <w:r>
        <w:t xml:space="preserve"> </w:t>
      </w:r>
      <w:r>
        <w:t xml:space="preserve">above the combined gamma and electronic noise backgrounds.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3" Target="media/rId13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2026-03-30T19:06:30Z</dcterms:created>
  <dcterms:modified xsi:type="dcterms:W3CDTF">2026-03-30T19:06:30Z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bibfile.bib</vt:lpwstr>
  </property>
</Properties>
</file>