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Σύμβαση Επεξεργασίας Δεδομένων</w:t>
      </w:r>
    </w:p>
    <w:p>
      <w:pPr>
        <w:jc w:val="center"/>
      </w:pPr>
      <w:r>
        <w:rPr>
          <w:i/>
          <w:color w:val="1EA7E1"/>
          <w:sz w:val="26"/>
        </w:rPr>
        <w:t>Data Processing Agreement (Άρθρο 28 GDPR)</w:t>
      </w:r>
    </w:p>
    <w:p/>
    <w:p>
      <w:pPr>
        <w:ind w:left="283"/>
      </w:pPr>
      <w:r>
        <w:rPr>
          <w:b/>
          <w:color w:val="C73030"/>
          <w:sz w:val="22"/>
        </w:rPr>
        <w:t xml:space="preserve">⚠ DRAFT — </w:t>
      </w:r>
      <w:r>
        <w:rPr>
          <w:sz w:val="22"/>
        </w:rPr>
        <w:t>Το παρόν είναι πρότυπο draft. Απαιτείται νομική αναθεώρηση από δικηγόρο εξειδικευμένο σε GDPR πριν την υπογραφή με πραγματικό πελάτη.</w:t>
      </w:r>
    </w:p>
    <w:p>
      <w:pPr>
        <w:spacing w:before="360" w:after="120"/>
      </w:pPr>
      <w:r>
        <w:rPr>
          <w:b/>
          <w:color w:val="0B2545"/>
          <w:sz w:val="30"/>
        </w:rPr>
        <w:t>Συμβαλλόμενα μέρη</w:t>
      </w:r>
    </w:p>
    <w:p>
      <w:pPr>
        <w:spacing w:after="80"/>
      </w:pPr>
      <w:r>
        <w:rPr>
          <w:sz w:val="22"/>
        </w:rPr>
        <w:t>Η παρούσα Σύμβαση Επεξεργασίας Δεδομένων («DPA») καταρτίζεται μεταξύ:</w:t>
      </w:r>
    </w:p>
    <w:p>
      <w:pPr>
        <w:pStyle w:val="ListBullet"/>
        <w:spacing w:after="40"/>
      </w:pPr>
      <w:r>
        <w:t>της «Kalypsis», εταιρείας με έδρα [ΔΙΕΥΘΥΝΣΗ], ΑΦΜ [ΑΦΜ], εκπροσωπούμενη νόμιμα από [ΟΝΟΜΑ], η οποία στο εξής θα αναφέρεται ως «Εκτελών την Επεξεργασία»,</w:t>
      </w:r>
    </w:p>
    <w:p>
      <w:pPr>
        <w:pStyle w:val="ListBullet"/>
        <w:spacing w:after="40"/>
      </w:pPr>
      <w:r>
        <w:t>και του Γραφείου [ΕΠΩΝΥΜΙΑ ΠΕΛΑΤΗ], με έδρα [ΔΙΕΥΘΥΝΣΗ], ΑΦΜ [ΑΦΜ], εκπροσωπούμενου από [ΟΝΟΜΑ], στο εξής «Υπεύθυνος Επεξεργασίας».</w:t>
      </w:r>
    </w:p>
    <w:p>
      <w:pPr>
        <w:spacing w:after="80"/>
      </w:pPr>
      <w:r>
        <w:rPr>
          <w:sz w:val="22"/>
        </w:rPr>
        <w:t>Η παρούσα Σύμβαση συνιστά συμπλήρωμα στη Σύμβαση Παροχής Υπηρεσιών («MSA») που έχει υπογραφεί μεταξύ των μερών.</w:t>
      </w:r>
    </w:p>
    <w:p>
      <w:pPr>
        <w:spacing w:before="360" w:after="120"/>
      </w:pPr>
      <w:r>
        <w:rPr>
          <w:b/>
          <w:color w:val="0B2545"/>
          <w:sz w:val="30"/>
        </w:rPr>
        <w:t>1. Αντικείμενο και διάρκεια της επεξεργασίας</w:t>
      </w:r>
    </w:p>
    <w:p>
      <w:pPr>
        <w:spacing w:before="240" w:after="80"/>
      </w:pPr>
      <w:r>
        <w:rPr>
          <w:b/>
          <w:color w:val="0B2545"/>
          <w:sz w:val="24"/>
        </w:rPr>
        <w:t>1.1 Αντικείμενο</w:t>
      </w:r>
    </w:p>
    <w:p>
      <w:pPr>
        <w:spacing w:after="80"/>
      </w:pPr>
      <w:r>
        <w:rPr>
          <w:sz w:val="22"/>
        </w:rPr>
        <w:t>Ο Εκτελών επεξεργάζεται προσωπικά δεδομένα για λογαριασμό του Υπεύθυνου, στο πλαίσιο της παροχής της πλατφόρμας διαχείρισης ασφαλιστικού γραφείου Kalypsis (η «Υπηρεσία»).</w:t>
      </w:r>
    </w:p>
    <w:p>
      <w:pPr>
        <w:spacing w:before="240" w:after="80"/>
      </w:pPr>
      <w:r>
        <w:rPr>
          <w:b/>
          <w:color w:val="0B2545"/>
          <w:sz w:val="24"/>
        </w:rPr>
        <w:t>1.2 Διάρκεια</w:t>
      </w:r>
    </w:p>
    <w:p>
      <w:pPr>
        <w:spacing w:after="80"/>
      </w:pPr>
      <w:r>
        <w:rPr>
          <w:sz w:val="22"/>
        </w:rPr>
        <w:t>Η παρούσα ισχύει για όσο διαρκεί η MSA και για όσο ο Εκτελών κατέχει προσωπικά δεδομένα του Υπεύθυνου. Οι υποχρεώσεις εμπιστευτικότητας παραμένουν ισχυρές και μετά τη λήξη.</w:t>
      </w:r>
    </w:p>
    <w:p>
      <w:pPr>
        <w:spacing w:before="360" w:after="120"/>
      </w:pPr>
      <w:r>
        <w:rPr>
          <w:b/>
          <w:color w:val="0B2545"/>
          <w:sz w:val="30"/>
        </w:rPr>
        <w:t>2. Φύση, σκοπός και είδος δεδομένων</w:t>
      </w:r>
    </w:p>
    <w:p>
      <w:pPr>
        <w:spacing w:before="240" w:after="80"/>
      </w:pPr>
      <w:r>
        <w:rPr>
          <w:b/>
          <w:color w:val="0B2545"/>
          <w:sz w:val="24"/>
        </w:rPr>
        <w:t>2.1 Φύση της επεξεργασίας</w:t>
      </w:r>
    </w:p>
    <w:p>
      <w:pPr>
        <w:spacing w:after="80"/>
      </w:pPr>
      <w:r>
        <w:rPr>
          <w:sz w:val="22"/>
        </w:rPr>
        <w:t>Αποθήκευση, ανάκτηση, δημιουργία αντιγράφων ασφαλείας, ανάλυση, εξαγωγή και διαγραφή προσωπικών δεδομένων που εισάγει ο Υπεύθυνος στην Υπηρεσία.</w:t>
      </w:r>
    </w:p>
    <w:p>
      <w:pPr>
        <w:spacing w:before="240" w:after="80"/>
      </w:pPr>
      <w:r>
        <w:rPr>
          <w:b/>
          <w:color w:val="0B2545"/>
          <w:sz w:val="24"/>
        </w:rPr>
        <w:t>2.2 Σκοπός</w:t>
      </w:r>
    </w:p>
    <w:p>
      <w:pPr>
        <w:spacing w:after="80"/>
      </w:pPr>
      <w:r>
        <w:rPr>
          <w:sz w:val="22"/>
        </w:rPr>
        <w:t>Ο σκοπός καθορίζεται αποκλειστικά από τον Υπεύθυνο και είναι η διαχείριση των πελατών, συμβολαίων, ζημιών, οικονομικών κινήσεων και σχετικών δραστηριοτήτων του ασφαλιστικού του γραφείου.</w:t>
      </w:r>
    </w:p>
    <w:p>
      <w:pPr>
        <w:spacing w:before="240" w:after="80"/>
      </w:pPr>
      <w:r>
        <w:rPr>
          <w:b/>
          <w:color w:val="0B2545"/>
          <w:sz w:val="24"/>
        </w:rPr>
        <w:t>2.3 Κατηγορίες υποκειμένων</w:t>
      </w:r>
    </w:p>
    <w:p>
      <w:pPr>
        <w:pStyle w:val="ListBullet"/>
        <w:spacing w:after="40"/>
      </w:pPr>
      <w:r>
        <w:t>Πελάτες του Υπεύθυνου (φυσικά και νομικά πρόσωπα)</w:t>
      </w:r>
    </w:p>
    <w:p>
      <w:pPr>
        <w:pStyle w:val="ListBullet"/>
        <w:spacing w:after="40"/>
      </w:pPr>
      <w:r>
        <w:t>Δικαιούχοι ασφαλιστηρίων και οικογενειακά μέλη τους</w:t>
      </w:r>
    </w:p>
    <w:p>
      <w:pPr>
        <w:pStyle w:val="ListBullet"/>
        <w:spacing w:after="40"/>
      </w:pPr>
      <w:r>
        <w:t>Συνεργάτες/παραγωγοί του Υπεύθυνου</w:t>
      </w:r>
    </w:p>
    <w:p>
      <w:pPr>
        <w:pStyle w:val="ListBullet"/>
        <w:spacing w:after="40"/>
      </w:pPr>
      <w:r>
        <w:t>Πάροχοι υπηρεσιών (γκαράζ, εκτιμητές κ.λπ.) που καταγράφονται σε ζημιές</w:t>
      </w:r>
    </w:p>
    <w:p>
      <w:pPr>
        <w:spacing w:before="240" w:after="80"/>
      </w:pPr>
      <w:r>
        <w:rPr>
          <w:b/>
          <w:color w:val="0B2545"/>
          <w:sz w:val="24"/>
        </w:rPr>
        <w:t>2.4 Κατηγορίες δεδομένων</w:t>
      </w:r>
    </w:p>
    <w:p>
      <w:pPr>
        <w:pStyle w:val="ListBullet"/>
        <w:spacing w:after="40"/>
      </w:pPr>
      <w:r>
        <w:t>Στοιχεία ταυτότητας (όνομα, ΑΦΜ, ΑΔΤ, διεύθυνση, τηλέφωνο, email)</w:t>
      </w:r>
    </w:p>
    <w:p>
      <w:pPr>
        <w:pStyle w:val="ListBullet"/>
        <w:spacing w:after="40"/>
      </w:pPr>
      <w:r>
        <w:t>Οικονομικά δεδομένα (ασφάλιστρα, εισπράξεις, προμήθειες)</w:t>
      </w:r>
    </w:p>
    <w:p>
      <w:pPr>
        <w:pStyle w:val="ListBullet"/>
        <w:spacing w:after="40"/>
      </w:pPr>
      <w:r>
        <w:t>Δεδομένα ασφαλιστικών συμβολαίων και αντικειμένων (οχήματα, ακίνητα, κ.λπ.)</w:t>
      </w:r>
    </w:p>
    <w:p>
      <w:pPr>
        <w:pStyle w:val="ListBullet"/>
        <w:spacing w:after="40"/>
      </w:pPr>
      <w:r>
        <w:t>Δεδομένα ζημιών (περιστατικά, ποσά, αποφάσεις)</w:t>
      </w:r>
    </w:p>
    <w:p>
      <w:pPr>
        <w:pStyle w:val="ListBullet"/>
        <w:spacing w:after="40"/>
      </w:pPr>
      <w:r>
        <w:t>Ειδικές κατηγορίες δεδομένων (Άρθρο 9 GDPR) όπου προβλέπεται από συμβόλαια υγείας/ζωής — εφαρμόζονται πρόσθετα μέτρα ασφαλείας.</w:t>
      </w:r>
    </w:p>
    <w:p>
      <w:pPr>
        <w:spacing w:before="360" w:after="120"/>
      </w:pPr>
      <w:r>
        <w:rPr>
          <w:b/>
          <w:color w:val="0B2545"/>
          <w:sz w:val="30"/>
        </w:rPr>
        <w:t>3. Υποχρεώσεις του Εκτελούντος</w:t>
      </w:r>
    </w:p>
    <w:p>
      <w:pPr>
        <w:spacing w:after="80"/>
      </w:pPr>
      <w:r>
        <w:rPr>
          <w:sz w:val="22"/>
        </w:rPr>
        <w:t>Ο Εκτελών:</w:t>
      </w:r>
    </w:p>
    <w:p>
      <w:pPr>
        <w:spacing w:after="80"/>
      </w:pPr>
      <w:r>
        <w:rPr>
          <w:sz w:val="22"/>
        </w:rPr>
        <w:t>α) επεξεργάζεται τα δεδομένα μόνο σύμφωνα με τεκμηριωμένες εντολές του Υπεύθυνου, εκτός εάν απαιτείται από την ενωσιακή ή εθνική νομοθεσία,</w:t>
      </w:r>
    </w:p>
    <w:p>
      <w:pPr>
        <w:spacing w:after="80"/>
      </w:pPr>
      <w:r>
        <w:rPr>
          <w:sz w:val="22"/>
        </w:rPr>
        <w:t>β) διασφαλίζει τη δέσμευση εμπιστευτικότητας του προσωπικού του,</w:t>
      </w:r>
    </w:p>
    <w:p>
      <w:pPr>
        <w:spacing w:after="80"/>
      </w:pPr>
      <w:r>
        <w:rPr>
          <w:sz w:val="22"/>
        </w:rPr>
        <w:t>γ) εφαρμόζει τα τεχνικά και οργανωτικά μέτρα ασφαλείας που αναφέρονται στο Παράρτημα Α',</w:t>
      </w:r>
    </w:p>
    <w:p>
      <w:pPr>
        <w:spacing w:after="80"/>
      </w:pPr>
      <w:r>
        <w:rPr>
          <w:sz w:val="22"/>
        </w:rPr>
        <w:t>δ) συνεργάζεται με τον Υπεύθυνο για να επιτραπεί η ανταπόκριση σε αιτήματα υποκειμένων (Άρθρα 12-22 GDPR),</w:t>
      </w:r>
    </w:p>
    <w:p>
      <w:pPr>
        <w:spacing w:after="80"/>
      </w:pPr>
      <w:r>
        <w:rPr>
          <w:sz w:val="22"/>
        </w:rPr>
        <w:t>ε) διαγράφει ή επιστρέφει όλα τα δεδομένα μετά τη λύση της σύμβασης, εκτός αν η νομοθεσία απαιτεί διατήρηση,</w:t>
      </w:r>
    </w:p>
    <w:p>
      <w:pPr>
        <w:spacing w:after="80"/>
      </w:pPr>
      <w:r>
        <w:rPr>
          <w:sz w:val="22"/>
        </w:rPr>
        <w:t>στ) διαθέτει τις πληροφορίες που απαιτούνται για να αποδείξει τη συμμόρφωση με το Άρθρο 28 GDPR,</w:t>
      </w:r>
    </w:p>
    <w:p>
      <w:pPr>
        <w:spacing w:after="80"/>
      </w:pPr>
      <w:r>
        <w:rPr>
          <w:sz w:val="22"/>
        </w:rPr>
        <w:t>ζ) ενημερώνει τον Υπεύθυνο εντός 24 ωρών για κάθε παραβίαση δεδομένων που τον αφορά.</w:t>
      </w:r>
    </w:p>
    <w:p>
      <w:pPr>
        <w:spacing w:before="360" w:after="120"/>
      </w:pPr>
      <w:r>
        <w:rPr>
          <w:b/>
          <w:color w:val="0B2545"/>
          <w:sz w:val="30"/>
        </w:rPr>
        <w:t>4. Υπο-εκτελούντες</w:t>
      </w:r>
    </w:p>
    <w:p>
      <w:pPr>
        <w:spacing w:after="80"/>
      </w:pPr>
      <w:r>
        <w:rPr>
          <w:sz w:val="22"/>
        </w:rPr>
        <w:t>Ο Υπεύθυνος παρέχει γενική εξουσιοδότηση στον Εκτελούντα να αναθέτει τμήματα της επεξεργασίας στους ακόλουθους υπο-εκτελούντες, οι οποίοι δεσμεύονται με ισοδύναμες υποχρεώσεις:</w:t>
      </w:r>
    </w:p>
    <w:p>
      <w:pPr>
        <w:pStyle w:val="ListBullet"/>
        <w:spacing w:after="40"/>
      </w:pPr>
      <w:r>
        <w:t>GitHub Inc. — φιλοξενία κώδικα (private repo, ΗΠΑ, EU-U.S. Data Privacy Framework)</w:t>
      </w:r>
    </w:p>
    <w:p>
      <w:pPr>
        <w:pStyle w:val="ListBullet"/>
        <w:spacing w:after="40"/>
      </w:pPr>
      <w:r>
        <w:t>Cloudflare Inc. — CDN, DNS, WAF (ΗΠΑ, SCCs applied)</w:t>
      </w:r>
    </w:p>
    <w:p>
      <w:pPr>
        <w:pStyle w:val="ListBullet"/>
        <w:spacing w:after="40"/>
      </w:pPr>
      <w:r>
        <w:t>Brevo (Sendinblue SAS) — email delivery (Γαλλία, EU)</w:t>
      </w:r>
    </w:p>
    <w:p>
      <w:pPr>
        <w:pStyle w:val="ListBullet"/>
        <w:spacing w:after="40"/>
      </w:pPr>
      <w:r>
        <w:t>[Coolify host provider] — φιλοξενία server (Ελλάδα)</w:t>
      </w:r>
    </w:p>
    <w:p>
      <w:pPr>
        <w:pStyle w:val="ListBullet"/>
        <w:spacing w:after="40"/>
      </w:pPr>
      <w:r>
        <w:t>Backblaze B2 — off-site backups (ΗΠΑ, SCCs applied) — προαιρετικά</w:t>
      </w:r>
    </w:p>
    <w:p>
      <w:pPr>
        <w:spacing w:after="80"/>
      </w:pPr>
      <w:r>
        <w:rPr>
          <w:sz w:val="22"/>
        </w:rPr>
        <w:t>Ο Εκτελών ενημερώνει τον Υπεύθυνο για κάθε αλλαγή υπο-εκτελούντα με 30 ημέρες προειδοποίηση. Ο Υπεύθυνος έχει δικαίωμα εναντίωσης εντός της περιόδου αυτής.</w:t>
      </w:r>
    </w:p>
    <w:p>
      <w:pPr>
        <w:spacing w:before="360" w:after="120"/>
      </w:pPr>
      <w:r>
        <w:rPr>
          <w:b/>
          <w:color w:val="0B2545"/>
          <w:sz w:val="30"/>
        </w:rPr>
        <w:t>5. Παραβίαση δεδομένων</w:t>
      </w:r>
    </w:p>
    <w:p>
      <w:pPr>
        <w:spacing w:after="80"/>
      </w:pPr>
      <w:r>
        <w:rPr>
          <w:sz w:val="22"/>
        </w:rPr>
        <w:t>Σε περίπτωση παραβίασης προσωπικών δεδομένων, ο Εκτελών ειδοποιεί τον Υπεύθυνο εντός εικοσιτεσσάρων (24) ωρών από τη διαπίστωσή της, παρέχοντας:</w:t>
      </w:r>
    </w:p>
    <w:p>
      <w:pPr>
        <w:pStyle w:val="ListBullet"/>
        <w:spacing w:after="40"/>
      </w:pPr>
      <w:r>
        <w:t>Τη φύση της παραβίασης</w:t>
      </w:r>
    </w:p>
    <w:p>
      <w:pPr>
        <w:pStyle w:val="ListBullet"/>
        <w:spacing w:after="40"/>
      </w:pPr>
      <w:r>
        <w:t>Τις κατηγορίες και τον κατά προσέγγιση αριθμό υποκειμένων</w:t>
      </w:r>
    </w:p>
    <w:p>
      <w:pPr>
        <w:pStyle w:val="ListBullet"/>
        <w:spacing w:after="40"/>
      </w:pPr>
      <w:r>
        <w:t>Τις πιθανές συνέπειες</w:t>
      </w:r>
    </w:p>
    <w:p>
      <w:pPr>
        <w:pStyle w:val="ListBullet"/>
        <w:spacing w:after="40"/>
      </w:pPr>
      <w:r>
        <w:t>Τα μέτρα που ελήφθησαν ή προτείνονται</w:t>
      </w:r>
    </w:p>
    <w:p>
      <w:pPr>
        <w:spacing w:after="80"/>
      </w:pPr>
      <w:r>
        <w:rPr>
          <w:sz w:val="22"/>
        </w:rPr>
        <w:t>Ο Υπεύθυνος αναλαμβάνει τη γνωστοποίηση προς την Αρχή Προστασίας Δεδομένων Προσωπικού Χαρακτήρα (ΑΠΔΠΧ) εντός 72 ωρών, σύμφωνα με το Άρθρο 33 GDPR.</w:t>
      </w:r>
    </w:p>
    <w:p>
      <w:pPr>
        <w:spacing w:before="360" w:after="120"/>
      </w:pPr>
      <w:r>
        <w:rPr>
          <w:b/>
          <w:color w:val="0B2545"/>
          <w:sz w:val="30"/>
        </w:rPr>
        <w:t>6. Δικαίωμα ελέγχου</w:t>
      </w:r>
    </w:p>
    <w:p>
      <w:pPr>
        <w:spacing w:after="80"/>
      </w:pPr>
      <w:r>
        <w:rPr>
          <w:sz w:val="22"/>
        </w:rPr>
        <w:t>Ο Υπεύθυνος έχει δικαίωμα να διενεργεί έλεγχο (audit) της συμμόρφωσης του Εκτελούντος, με εύλογη ειδοποίηση 30 ημερών και όχι συχνότερα από μία φορά ανά έτος, εκτός αν υπάρχει σοβαρό συμβάν. Ο Εκτελών μπορεί να προσκομίσει πιστοποιήσεις (ISO 27001, SOC 2) ως εναλλακτικό απόδειξης.</w:t>
      </w:r>
    </w:p>
    <w:p>
      <w:pPr>
        <w:spacing w:before="360" w:after="120"/>
      </w:pPr>
      <w:r>
        <w:rPr>
          <w:b/>
          <w:color w:val="0B2545"/>
          <w:sz w:val="30"/>
        </w:rPr>
        <w:t>7. Επιστροφή/διαγραφή δεδομένων</w:t>
      </w:r>
    </w:p>
    <w:p>
      <w:pPr>
        <w:spacing w:after="80"/>
      </w:pPr>
      <w:r>
        <w:rPr>
          <w:sz w:val="22"/>
        </w:rPr>
        <w:t>Μετά τη λήξη της MSA, ο Εκτελών εντός 30 ημερών επιστρέφει στα δεδομένα σε αναγνώσιμο ηλεκτρονικό μορφότυπο ή τα διαγράφει οριστικά, κατ' επιλογή του Υπεύθυνου. Παρέχει έγγραφη βεβαίωση διαγραφής.</w:t>
      </w:r>
    </w:p>
    <w:p>
      <w:pPr>
        <w:spacing w:before="360" w:after="120"/>
      </w:pPr>
      <w:r>
        <w:rPr>
          <w:b/>
          <w:color w:val="0B2545"/>
          <w:sz w:val="30"/>
        </w:rPr>
        <w:t>8. Ευθύνη</w:t>
      </w:r>
    </w:p>
    <w:p>
      <w:pPr>
        <w:spacing w:after="80"/>
      </w:pPr>
      <w:r>
        <w:rPr>
          <w:sz w:val="22"/>
        </w:rPr>
        <w:t>Κάθε μέρος ευθύνεται για ζημίες που προκαλεί με υπαιτιότητά του κατά παράβαση GDPR. Η συνολική ευθύνη του Εκτελούντος περιορίζεται στο δωδεκαπλάσιο της ετήσιας συνδρομής, εκτός δόλου ή βαρειάς αμέλειας. Ρήτρες αποζημίωσης πελατών από ασφαλιστική εταιρεία Cyber Liability του Εκτελούντος περιγράφονται στο Παράρτημα Β'.</w:t>
      </w:r>
    </w:p>
    <w:p>
      <w:pPr>
        <w:spacing w:before="360" w:after="120"/>
      </w:pPr>
      <w:r>
        <w:rPr>
          <w:b/>
          <w:color w:val="0B2545"/>
          <w:sz w:val="30"/>
        </w:rPr>
        <w:t>9. Εφαρμοστέο δίκαιο</w:t>
      </w:r>
    </w:p>
    <w:p>
      <w:pPr>
        <w:spacing w:after="80"/>
      </w:pPr>
      <w:r>
        <w:rPr>
          <w:sz w:val="22"/>
        </w:rPr>
        <w:t>Ελληνικό δίκαιο. Δικαστήρια Αθηνών.</w:t>
      </w:r>
    </w:p>
    <w:p>
      <w:pPr>
        <w:spacing w:before="360" w:after="120"/>
      </w:pPr>
      <w:r>
        <w:rPr>
          <w:b/>
          <w:color w:val="0B2545"/>
          <w:sz w:val="30"/>
        </w:rPr>
        <w:t>Παράρτημα Α' — Τεχνικά και Οργανωτικά Μέτρα (Άρθρο 32)</w:t>
      </w:r>
    </w:p>
    <w:p>
      <w:pPr>
        <w:pStyle w:val="ListBullet"/>
        <w:spacing w:after="40"/>
      </w:pPr>
      <w:r>
        <w:t>Κρυπτογράφηση δεδομένων in transit (TLS 1.2+) και at rest (AES-256)</w:t>
      </w:r>
    </w:p>
    <w:p>
      <w:pPr>
        <w:pStyle w:val="ListBullet"/>
        <w:spacing w:after="40"/>
      </w:pPr>
      <w:r>
        <w:t>Αυθεντικοποίηση 2FA για διαχειριστικούς λογαριασμούς</w:t>
      </w:r>
    </w:p>
    <w:p>
      <w:pPr>
        <w:pStyle w:val="ListBullet"/>
        <w:spacing w:after="40"/>
      </w:pPr>
      <w:r>
        <w:t>Έλεγχος πρόσβασης βάσει ρόλων (RBAC)</w:t>
      </w:r>
    </w:p>
    <w:p>
      <w:pPr>
        <w:pStyle w:val="ListBullet"/>
        <w:spacing w:after="40"/>
      </w:pPr>
      <w:r>
        <w:t>Καταγραφή δραστηριοτήτων (audit logs) 12μηνο retention</w:t>
      </w:r>
    </w:p>
    <w:p>
      <w:pPr>
        <w:pStyle w:val="ListBullet"/>
        <w:spacing w:after="40"/>
      </w:pPr>
      <w:r>
        <w:t>Αντίγραφα ασφαλείας εκτός τοποθεσίας, κρυπτογραφημένα</w:t>
      </w:r>
    </w:p>
    <w:p>
      <w:pPr>
        <w:pStyle w:val="ListBullet"/>
        <w:spacing w:after="40"/>
      </w:pPr>
      <w:r>
        <w:t>Δοκιμές διείσδυσης τουλάχιστον 1 φορά ετησίως</w:t>
      </w:r>
    </w:p>
    <w:p>
      <w:pPr>
        <w:pStyle w:val="ListBullet"/>
        <w:spacing w:after="40"/>
      </w:pPr>
      <w:r>
        <w:t>Πολιτική ενημέρωσης εξαρτήσεων (CVE monitoring)</w:t>
      </w:r>
    </w:p>
    <w:p>
      <w:pPr>
        <w:pStyle w:val="ListBullet"/>
        <w:spacing w:after="40"/>
      </w:pPr>
      <w:r>
        <w:t>Πολιτική Data Breach Response 72 ωρών</w:t>
      </w:r>
    </w:p>
    <w:p>
      <w:pPr>
        <w:pStyle w:val="ListBullet"/>
        <w:spacing w:after="40"/>
      </w:pPr>
      <w:r>
        <w:t>Εκπαίδευση προσωπικού GDPR</w:t>
      </w:r>
    </w:p>
    <w:p>
      <w:pPr>
        <w:spacing w:before="360" w:after="120"/>
      </w:pPr>
      <w:r>
        <w:rPr>
          <w:b/>
          <w:color w:val="0B2545"/>
          <w:sz w:val="30"/>
        </w:rPr>
        <w:t>Παράρτημα Β' — Ασφάλιση Cyber Liability</w:t>
      </w:r>
    </w:p>
    <w:p>
      <w:pPr>
        <w:spacing w:after="80"/>
      </w:pPr>
      <w:r>
        <w:rPr>
          <w:sz w:val="22"/>
        </w:rPr>
        <w:t>Ο Εκτελών διατηρεί ασφαλιστήριο συμβόλαιο Cyber Liability με κάλυψη τουλάχιστον €[XXX.000]. Πιστοποιητικό διαθέσιμο κατόπιν αιτήματος.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Για την Kalypsis</w:t>
            </w:r>
          </w:p>
          <w:p/>
          <w:p>
            <w:r>
              <w:t>Όνομα: ______________________________</w:t>
            </w:r>
          </w:p>
          <w:p>
            <w:r>
              <w:t>Ιδιότητα: ______________________________</w:t>
            </w:r>
          </w:p>
          <w:p>
            <w:r>
              <w:t>Ημερομηνία: ___/___/______</w:t>
            </w:r>
          </w:p>
          <w:p>
            <w:r>
              <w:t>Υπογραφή: ______________________________</w:t>
            </w:r>
          </w:p>
        </w:tc>
        <w:tc>
          <w:tcPr>
            <w:tcW w:type="dxa" w:w="4759"/>
          </w:tcPr>
          <w:p>
            <w:r>
              <w:rPr>
                <w:b/>
              </w:rPr>
              <w:t>Για το Γραφείο (Πελάτης)</w:t>
            </w:r>
          </w:p>
          <w:p/>
          <w:p>
            <w:r>
              <w:t>Όνομα: ______________________________</w:t>
            </w:r>
          </w:p>
          <w:p>
            <w:r>
              <w:t>Ιδιότητα: ______________________________</w:t>
            </w:r>
          </w:p>
          <w:p>
            <w:r>
              <w:t>Ημερομηνία: ___/___/______</w:t>
            </w:r>
          </w:p>
          <w:p>
            <w:r>
              <w:t>Υπογραφή: ______________________________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