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Data Breach Response Plan</w:t>
      </w:r>
    </w:p>
    <w:p>
      <w:pPr>
        <w:jc w:val="center"/>
      </w:pPr>
      <w:r>
        <w:rPr>
          <w:i/>
          <w:color w:val="1EA7E1"/>
          <w:sz w:val="26"/>
        </w:rPr>
        <w:t>Διαδικασία 72 ωρών — Kalypsis Platform</w:t>
      </w:r>
    </w:p>
    <w:p/>
    <w:p>
      <w:pPr>
        <w:ind w:left="283"/>
      </w:pPr>
      <w:r>
        <w:rPr>
          <w:b/>
          <w:color w:val="C73030"/>
          <w:sz w:val="22"/>
        </w:rPr>
        <w:t xml:space="preserve">⚠ DRAFT — </w:t>
      </w:r>
      <w:r>
        <w:rPr>
          <w:sz w:val="22"/>
        </w:rPr>
        <w:t>Εσωτερικό έγγραφο. Να ενημερώνεται τουλάχιστον 1 φορά ετησίως.</w:t>
      </w:r>
    </w:p>
    <w:p>
      <w:pPr>
        <w:spacing w:before="360" w:after="120"/>
      </w:pPr>
      <w:r>
        <w:rPr>
          <w:b/>
          <w:color w:val="0B2545"/>
          <w:sz w:val="30"/>
        </w:rPr>
        <w:t>1. Στόχος</w:t>
      </w:r>
    </w:p>
    <w:p>
      <w:pPr>
        <w:spacing w:after="80"/>
      </w:pPr>
      <w:r>
        <w:rPr>
          <w:sz w:val="22"/>
        </w:rPr>
        <w:t>Η παρούσα διαδικασία διασφαλίζει ταχεία, δομημένη και συμμορφούμενη με GDPR απόκριση σε περιστατικά παραβίασης προσωπικών δεδομένων.</w:t>
      </w:r>
    </w:p>
    <w:p>
      <w:pPr>
        <w:spacing w:before="360" w:after="120"/>
      </w:pPr>
      <w:r>
        <w:rPr>
          <w:b/>
          <w:color w:val="0B2545"/>
          <w:sz w:val="30"/>
        </w:rPr>
        <w:t>2. Ρόλοι</w:t>
      </w:r>
    </w:p>
    <w:p>
      <w:pPr>
        <w:pStyle w:val="ListBullet"/>
        <w:spacing w:after="40"/>
      </w:pPr>
      <w:r>
        <w:t>Data Breach Coordinator (DBC): [ΟΝΟΜΑ, τηλ., email]</w:t>
      </w:r>
    </w:p>
    <w:p>
      <w:pPr>
        <w:pStyle w:val="ListBullet"/>
        <w:spacing w:after="40"/>
      </w:pPr>
      <w:r>
        <w:t>DPO / Εξωτερικός Νομικός Σύμβουλος: [ΟΝΟΜΑ]</w:t>
      </w:r>
    </w:p>
    <w:p>
      <w:pPr>
        <w:pStyle w:val="ListBullet"/>
        <w:spacing w:after="40"/>
      </w:pPr>
      <w:r>
        <w:t>Cyber Insurance broker: [ΟΝΟΜΑ, τηλ. 24ωρη]</w:t>
      </w:r>
    </w:p>
    <w:p>
      <w:pPr>
        <w:pStyle w:val="ListBullet"/>
        <w:spacing w:after="40"/>
      </w:pPr>
      <w:r>
        <w:t>Technical Lead: [ΟΝΟΜΑ]</w:t>
      </w:r>
    </w:p>
    <w:p>
      <w:pPr>
        <w:spacing w:before="360" w:after="120"/>
      </w:pPr>
      <w:r>
        <w:rPr>
          <w:b/>
          <w:color w:val="0B2545"/>
          <w:sz w:val="30"/>
        </w:rPr>
        <w:t>3. Timeline απόκρισης</w:t>
      </w:r>
    </w:p>
    <w:p>
      <w:pPr>
        <w:spacing w:before="240" w:after="80"/>
      </w:pPr>
      <w:r>
        <w:rPr>
          <w:b/>
          <w:color w:val="0B2545"/>
          <w:sz w:val="24"/>
        </w:rPr>
        <w:t>T + 0 ώρες — Ανίχνευση</w:t>
      </w:r>
    </w:p>
    <w:p>
      <w:pPr>
        <w:pStyle w:val="ListBullet"/>
        <w:spacing w:after="40"/>
      </w:pPr>
      <w:r>
        <w:t>Οποιοσδήποτε εργαζόμενος αναφέρει στον DBC</w:t>
      </w:r>
    </w:p>
    <w:p>
      <w:pPr>
        <w:pStyle w:val="ListBullet"/>
        <w:spacing w:after="40"/>
      </w:pPr>
      <w:r>
        <w:t>DBC ενεργοποιεί το playbook</w:t>
      </w:r>
    </w:p>
    <w:p>
      <w:pPr>
        <w:pStyle w:val="ListBullet"/>
        <w:spacing w:after="40"/>
      </w:pPr>
      <w:r>
        <w:t>Δημιουργία εμπιστευτικού incident channel</w:t>
      </w:r>
    </w:p>
    <w:p>
      <w:pPr>
        <w:spacing w:before="240" w:after="80"/>
      </w:pPr>
      <w:r>
        <w:rPr>
          <w:b/>
          <w:color w:val="0B2545"/>
          <w:sz w:val="24"/>
        </w:rPr>
        <w:t>T + 4 ώρες — Περιορισμός</w:t>
      </w:r>
    </w:p>
    <w:p>
      <w:pPr>
        <w:pStyle w:val="ListBullet"/>
        <w:spacing w:after="40"/>
      </w:pPr>
      <w:r>
        <w:t>Απομόνωση συστημάτων που επηρεάζονται</w:t>
      </w:r>
    </w:p>
    <w:p>
      <w:pPr>
        <w:pStyle w:val="ListBullet"/>
        <w:spacing w:after="40"/>
      </w:pPr>
      <w:r>
        <w:t>Λήψη forensic snapshots</w:t>
      </w:r>
    </w:p>
    <w:p>
      <w:pPr>
        <w:pStyle w:val="ListBullet"/>
        <w:spacing w:after="40"/>
      </w:pPr>
      <w:r>
        <w:t>Έναρξη log analysis</w:t>
      </w:r>
    </w:p>
    <w:p>
      <w:pPr>
        <w:spacing w:before="240" w:after="80"/>
      </w:pPr>
      <w:r>
        <w:rPr>
          <w:b/>
          <w:color w:val="0B2545"/>
          <w:sz w:val="24"/>
        </w:rPr>
        <w:t>T + 24 ώρες — Ειδοποίηση Υπευθύνων Επεξεργασίας</w:t>
      </w:r>
    </w:p>
    <w:p>
      <w:pPr>
        <w:pStyle w:val="ListBullet"/>
        <w:spacing w:after="40"/>
      </w:pPr>
      <w:r>
        <w:t>Email στο DPO κάθε γραφείου (τα «γραφεία» είναι οι Controllers)</w:t>
      </w:r>
    </w:p>
    <w:p>
      <w:pPr>
        <w:pStyle w:val="ListBullet"/>
        <w:spacing w:after="40"/>
      </w:pPr>
      <w:r>
        <w:t>Περιεχόμενο: φύση, κατηγορίες, ποσότητα, συνέπειες, μέτρα</w:t>
      </w:r>
    </w:p>
    <w:p>
      <w:pPr>
        <w:pStyle w:val="ListBullet"/>
        <w:spacing w:after="40"/>
      </w:pPr>
      <w:r>
        <w:t>Ενημέρωση cyber insurance</w:t>
      </w:r>
    </w:p>
    <w:p>
      <w:pPr>
        <w:spacing w:before="240" w:after="80"/>
      </w:pPr>
      <w:r>
        <w:rPr>
          <w:b/>
          <w:color w:val="0B2545"/>
          <w:sz w:val="24"/>
        </w:rPr>
        <w:t>T + 72 ώρες — Γνωστοποίηση προς ΑΠΔΠΧ</w:t>
      </w:r>
    </w:p>
    <w:p>
      <w:pPr>
        <w:spacing w:after="80"/>
      </w:pPr>
      <w:r>
        <w:rPr>
          <w:sz w:val="22"/>
        </w:rPr>
        <w:t>Ο κάθε Υπεύθυνος Επεξεργασίας (γραφείο) υποβάλλει τη δήλωση παραβίασης στην ΑΠΔΠΧ. Ο Πάροχος παρέχει όλη την τεχνική τεκμηρίωση.</w:t>
      </w:r>
    </w:p>
    <w:p>
      <w:pPr>
        <w:spacing w:before="240" w:after="80"/>
      </w:pPr>
      <w:r>
        <w:rPr>
          <w:b/>
          <w:color w:val="0B2545"/>
          <w:sz w:val="24"/>
        </w:rPr>
        <w:t>Post-incident (μετά τη λύση)</w:t>
      </w:r>
    </w:p>
    <w:p>
      <w:pPr>
        <w:pStyle w:val="ListBullet"/>
        <w:spacing w:after="40"/>
      </w:pPr>
      <w:r>
        <w:t>Root cause analysis (RCA)</w:t>
      </w:r>
    </w:p>
    <w:p>
      <w:pPr>
        <w:pStyle w:val="ListBullet"/>
        <w:spacing w:after="40"/>
      </w:pPr>
      <w:r>
        <w:t>Corrective actions και εφαρμογή</w:t>
      </w:r>
    </w:p>
    <w:p>
      <w:pPr>
        <w:pStyle w:val="ListBullet"/>
        <w:spacing w:after="40"/>
      </w:pPr>
      <w:r>
        <w:t>Ενημέρωση διαδικασιών ασφαλείας</w:t>
      </w:r>
    </w:p>
    <w:p>
      <w:pPr>
        <w:pStyle w:val="ListBullet"/>
        <w:spacing w:after="40"/>
      </w:pPr>
      <w:r>
        <w:t>Retrospective και lessons learned</w:t>
      </w:r>
    </w:p>
    <w:p>
      <w:pPr>
        <w:spacing w:before="360" w:after="120"/>
      </w:pPr>
      <w:r>
        <w:rPr>
          <w:b/>
          <w:color w:val="0B2545"/>
          <w:sz w:val="30"/>
        </w:rPr>
        <w:t>4. Template ειδοποίησης προς γραφεία</w:t>
      </w:r>
    </w:p>
    <w:p>
      <w:pPr>
        <w:spacing w:after="80"/>
      </w:pPr>
      <w:r>
        <w:rPr>
          <w:sz w:val="22"/>
        </w:rPr>
        <w:t>"Αγαπητέ [Γραφείο], στις [ΗΜΕΡΟΜΗΝΙΑ, ΩΡΑ] εντοπίστηκε περιστατικό ασφάλειας στην πλατφόρμα Kalypsis. Επηρεαζόμενα δεδομένα: [ΠΕΡΙΓΡΑΦΗ]. Πιθανή έκταση: [Ν] υποκείμενα. Μέτρα που έχουν ληφθεί: [ΛΙΣΤΑ]. Παρακαλούμε προχωρήστε στη γνωστοποίηση προς ΑΠΔΠΧ εντός 72 ωρών από την παρούσα ενημέρωση. Είμαστε στη διάθεσή σας."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