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Σύμβαση Παροχής Υπηρεσιών</w:t>
      </w:r>
    </w:p>
    <w:p>
      <w:pPr>
        <w:jc w:val="center"/>
      </w:pPr>
      <w:r>
        <w:rPr>
          <w:i/>
          <w:color w:val="1EA7E1"/>
          <w:sz w:val="26"/>
        </w:rPr>
        <w:t>Master Service Agreement — Kalypsis SaaS</w:t>
      </w:r>
    </w:p>
    <w:p/>
    <w:p>
      <w:pPr>
        <w:ind w:left="283"/>
      </w:pPr>
      <w:r>
        <w:rPr>
          <w:b/>
          <w:color w:val="C73030"/>
          <w:sz w:val="22"/>
        </w:rPr>
        <w:t xml:space="preserve">⚠ DRAFT — </w:t>
      </w:r>
      <w:r>
        <w:rPr>
          <w:sz w:val="22"/>
        </w:rPr>
        <w:t>Το παρόν είναι πρότυπο draft. Απαιτείται νομική αναθεώρηση από δικηγόρο πριν την υπογραφή με πραγματικό πελάτη.</w:t>
      </w:r>
    </w:p>
    <w:p>
      <w:pPr>
        <w:spacing w:before="360" w:after="120"/>
      </w:pPr>
      <w:r>
        <w:rPr>
          <w:b/>
          <w:color w:val="0B2545"/>
          <w:sz w:val="30"/>
        </w:rPr>
        <w:t>Συμβαλλόμενα μέρη</w:t>
      </w:r>
    </w:p>
    <w:p>
      <w:pPr>
        <w:pStyle w:val="ListBullet"/>
        <w:spacing w:after="40"/>
      </w:pPr>
      <w:r>
        <w:t>«Kalypsis» — [ΕΠΩΝΥΜΙΑ], [ΔΙΕΥΘΥΝΣΗ], ΑΦΜ [ΑΦΜ] («Πάροχος»)</w:t>
      </w:r>
    </w:p>
    <w:p>
      <w:pPr>
        <w:pStyle w:val="ListBullet"/>
        <w:spacing w:after="40"/>
      </w:pPr>
      <w:r>
        <w:t>«Γραφείο» — [ΕΠΩΝΥΜΙΑ], [ΔΙΕΥΘΥΝΣΗ], ΑΦΜ [ΑΦΜ] («Πελάτης»)</w:t>
      </w:r>
    </w:p>
    <w:p>
      <w:pPr>
        <w:spacing w:before="360" w:after="120"/>
      </w:pPr>
      <w:r>
        <w:rPr>
          <w:b/>
          <w:color w:val="0B2545"/>
          <w:sz w:val="30"/>
        </w:rPr>
        <w:t>1. Αντικείμενο</w:t>
      </w:r>
    </w:p>
    <w:p>
      <w:pPr>
        <w:spacing w:after="80"/>
      </w:pPr>
      <w:r>
        <w:rPr>
          <w:sz w:val="22"/>
        </w:rPr>
        <w:t>Ο Πάροχος παραχωρεί στον Πελάτη μη αποκλειστικό, μη μεταβιβάσιμο δικαίωμα χρήσης της online πλατφόρμας Kalypsis («Υπηρεσία»), υπό τους παρόντες όρους.</w:t>
      </w:r>
    </w:p>
    <w:p>
      <w:pPr>
        <w:spacing w:before="360" w:after="120"/>
      </w:pPr>
      <w:r>
        <w:rPr>
          <w:b/>
          <w:color w:val="0B2545"/>
          <w:sz w:val="30"/>
        </w:rPr>
        <w:t>2. Πακέτο συνδρομής</w:t>
      </w:r>
    </w:p>
    <w:p>
      <w:pPr>
        <w:spacing w:after="80"/>
      </w:pPr>
      <w:r>
        <w:rPr>
          <w:sz w:val="22"/>
        </w:rPr>
        <w:t>Πακέτο: [BackOffice / Premium / Enterprise]. Μηνιαία συνδρομή: €[ΠΟΣΟ]. Αριθμός χρηστών: [N]. Πρόσθετες premium λειτουργίες: [ΛΙΣΤΑ].</w:t>
      </w:r>
    </w:p>
    <w:p>
      <w:pPr>
        <w:spacing w:before="360" w:after="120"/>
      </w:pPr>
      <w:r>
        <w:rPr>
          <w:b/>
          <w:color w:val="0B2545"/>
          <w:sz w:val="30"/>
        </w:rPr>
        <w:t>3. Διάρκεια και λύση</w:t>
      </w:r>
    </w:p>
    <w:p>
      <w:pPr>
        <w:spacing w:after="80"/>
      </w:pPr>
      <w:r>
        <w:rPr>
          <w:sz w:val="22"/>
        </w:rPr>
        <w:t>Διάρκεια: 12 μήνες με αυτόματη ανανέωση. Καταγγελία με 30 ημέρες γραπτή προειδοποίηση χωρίς αιτία. Καταγγελία με σοβαρό λόγο άμεσα.</w:t>
      </w:r>
    </w:p>
    <w:p>
      <w:pPr>
        <w:spacing w:before="360" w:after="120"/>
      </w:pPr>
      <w:r>
        <w:rPr>
          <w:b/>
          <w:color w:val="0B2545"/>
          <w:sz w:val="30"/>
        </w:rPr>
        <w:t>4. Πληρωμές</w:t>
      </w:r>
    </w:p>
    <w:p>
      <w:pPr>
        <w:spacing w:after="80"/>
      </w:pPr>
      <w:r>
        <w:rPr>
          <w:sz w:val="22"/>
        </w:rPr>
        <w:t>Μηνιαία τιμολόγηση. Πληρωμή εντός 15 ημερών. Καθυστέρηση επιφέρει τόκο υπερημερίας νόμιμο και δικαίωμα του Παρόχου να αναστείλει την πρόσβαση.</w:t>
      </w:r>
    </w:p>
    <w:p>
      <w:pPr>
        <w:spacing w:before="360" w:after="120"/>
      </w:pPr>
      <w:r>
        <w:rPr>
          <w:b/>
          <w:color w:val="0B2545"/>
          <w:sz w:val="30"/>
        </w:rPr>
        <w:t>5. SLA (Service Level Agreement)</w:t>
      </w:r>
    </w:p>
    <w:p>
      <w:pPr>
        <w:pStyle w:val="ListBullet"/>
        <w:spacing w:after="40"/>
      </w:pPr>
      <w:r>
        <w:t>Στόχος διαθεσιμότητας: 99.5% μηνιαία (εξαιρούνται προγραμματισμένες συντηρήσεις)</w:t>
      </w:r>
    </w:p>
    <w:p>
      <w:pPr>
        <w:pStyle w:val="ListBullet"/>
        <w:spacing w:after="40"/>
      </w:pPr>
      <w:r>
        <w:t>Χρόνος απόκρισης υποστήριξης: 24 ώρες εργάσιμες</w:t>
      </w:r>
    </w:p>
    <w:p>
      <w:pPr>
        <w:pStyle w:val="ListBullet"/>
        <w:spacing w:after="40"/>
      </w:pPr>
      <w:r>
        <w:t>Χρόνος αποκατάστασης (RTO): 24 ώρες</w:t>
      </w:r>
    </w:p>
    <w:p>
      <w:pPr>
        <w:pStyle w:val="ListBullet"/>
        <w:spacing w:after="40"/>
      </w:pPr>
      <w:r>
        <w:t>Χρόνος ανάκτησης δεδομένων (RPO): 24 ώρες</w:t>
      </w:r>
    </w:p>
    <w:p>
      <w:pPr>
        <w:pStyle w:val="ListBullet"/>
        <w:spacing w:after="40"/>
      </w:pPr>
      <w:r>
        <w:t>Ποινική ρήτρα αν υποδιάσταση: πίστωση αναλογική του χρόνου αδυναμίας πρόσβασης, μέγιστο 30% της μηνιαίας χρέωσης.</w:t>
      </w:r>
    </w:p>
    <w:p>
      <w:pPr>
        <w:spacing w:before="360" w:after="120"/>
      </w:pPr>
      <w:r>
        <w:rPr>
          <w:b/>
          <w:color w:val="0B2545"/>
          <w:sz w:val="30"/>
        </w:rPr>
        <w:t>6. Υποχρεώσεις του Πελάτη</w:t>
      </w:r>
    </w:p>
    <w:p>
      <w:pPr>
        <w:pStyle w:val="ListBullet"/>
        <w:spacing w:after="40"/>
      </w:pPr>
      <w:r>
        <w:t>Νόμιμη χρήση της Υπηρεσίας</w:t>
      </w:r>
    </w:p>
    <w:p>
      <w:pPr>
        <w:pStyle w:val="ListBullet"/>
        <w:spacing w:after="40"/>
      </w:pPr>
      <w:r>
        <w:t>Ευθύνη για την ακρίβεια των δεδομένων που εισάγει</w:t>
      </w:r>
    </w:p>
    <w:p>
      <w:pPr>
        <w:pStyle w:val="ListBullet"/>
        <w:spacing w:after="40"/>
      </w:pPr>
      <w:r>
        <w:t>Ευθύνη για τους λογαριασμούς χρηστών του και τους κωδικούς</w:t>
      </w:r>
    </w:p>
    <w:p>
      <w:pPr>
        <w:pStyle w:val="ListBullet"/>
        <w:spacing w:after="40"/>
      </w:pPr>
      <w:r>
        <w:t>Τήρηση πνευματικών δικαιωμάτων τρίτων (βλ. Παράρτημα Copyright)</w:t>
      </w:r>
    </w:p>
    <w:p>
      <w:pPr>
        <w:pStyle w:val="ListBullet"/>
        <w:spacing w:after="40"/>
      </w:pPr>
      <w:r>
        <w:t>Ενημέρωση των υποκειμένων δεδομένων σύμφωνα με GDPR</w:t>
      </w:r>
    </w:p>
    <w:p>
      <w:pPr>
        <w:spacing w:before="360" w:after="120"/>
      </w:pPr>
      <w:r>
        <w:rPr>
          <w:b/>
          <w:color w:val="0B2545"/>
          <w:sz w:val="30"/>
        </w:rPr>
        <w:t>7. Κυριότητα δεδομένων</w:t>
      </w:r>
    </w:p>
    <w:p>
      <w:pPr>
        <w:spacing w:after="80"/>
      </w:pPr>
      <w:r>
        <w:rPr>
          <w:sz w:val="22"/>
        </w:rPr>
        <w:t>Τα δεδομένα του Πελάτη ανήκουν αποκλειστικά στον Πελάτη. Ο Πάροχος διατηρεί δικαιώματα μόνο επί του κώδικα, της Υπηρεσίας και anonymized στατιστικών.</w:t>
      </w:r>
    </w:p>
    <w:p>
      <w:pPr>
        <w:spacing w:before="360" w:after="120"/>
      </w:pPr>
      <w:r>
        <w:rPr>
          <w:b/>
          <w:color w:val="0B2545"/>
          <w:sz w:val="30"/>
        </w:rPr>
        <w:t>8. Ευθύνη</w:t>
      </w:r>
    </w:p>
    <w:p>
      <w:pPr>
        <w:spacing w:after="80"/>
      </w:pPr>
      <w:r>
        <w:rPr>
          <w:sz w:val="22"/>
        </w:rPr>
        <w:t>Η συνολική ευθύνη του Παρόχου από την παρούσα περιορίζεται στο δωδεκαπλάσιο της ετήσιας συνδρομής, εκτός δόλου ή βαρειάς αμέλειας. Δεν καλύπτονται έμμεσες ή αποθετικές ζημίες, απώλεια κερδών, φήμης ή δεδομένων που ήταν διαθέσιμα από άλλες πηγές.</w:t>
      </w:r>
    </w:p>
    <w:p>
      <w:pPr>
        <w:spacing w:before="360" w:after="120"/>
      </w:pPr>
      <w:r>
        <w:rPr>
          <w:b/>
          <w:color w:val="0B2545"/>
          <w:sz w:val="30"/>
        </w:rPr>
        <w:t>9. Εμπιστευτικότητα</w:t>
      </w:r>
    </w:p>
    <w:p>
      <w:pPr>
        <w:spacing w:after="80"/>
      </w:pPr>
      <w:r>
        <w:rPr>
          <w:sz w:val="22"/>
        </w:rPr>
        <w:t>Αμοιβαία υποχρέωση εμπιστευτικότητας για κάθε πληροφορία που ανταλλάσσεται στο πλαίσιο της παρούσας. Διάρκεια 5 έτη από τη λύση.</w:t>
      </w:r>
    </w:p>
    <w:p>
      <w:pPr>
        <w:spacing w:before="360" w:after="120"/>
      </w:pPr>
      <w:r>
        <w:rPr>
          <w:b/>
          <w:color w:val="0B2545"/>
          <w:sz w:val="30"/>
        </w:rPr>
        <w:t>10. Ανωτέρα βία</w:t>
      </w:r>
    </w:p>
    <w:p>
      <w:pPr>
        <w:spacing w:after="80"/>
      </w:pPr>
      <w:r>
        <w:rPr>
          <w:sz w:val="22"/>
        </w:rPr>
        <w:t>Κανένα μέρος δεν ευθύνεται για μη εκπλήρωση που οφείλεται σε γεγονότα ανωτέρας βίας (φυσικές καταστροφές, πανδημίες, cyber-attacks τρίτων, διακοπές διαδικτύου κ.λπ.).</w:t>
      </w:r>
    </w:p>
    <w:p>
      <w:pPr>
        <w:spacing w:before="360" w:after="120"/>
      </w:pPr>
      <w:r>
        <w:rPr>
          <w:b/>
          <w:color w:val="0B2545"/>
          <w:sz w:val="30"/>
        </w:rPr>
        <w:t>11. Εφαρμοστέο δίκαιο και δικαιοδοσία</w:t>
      </w:r>
    </w:p>
    <w:p>
      <w:pPr>
        <w:spacing w:after="80"/>
      </w:pPr>
      <w:r>
        <w:rPr>
          <w:sz w:val="22"/>
        </w:rPr>
        <w:t>Ελληνικό δίκαιο. Δικαστήρια Αθηνών.</w:t>
      </w:r>
    </w:p>
    <w:p>
      <w:pPr>
        <w:spacing w:before="360" w:after="120"/>
      </w:pPr>
      <w:r>
        <w:rPr>
          <w:b/>
          <w:color w:val="0B2545"/>
          <w:sz w:val="30"/>
        </w:rPr>
        <w:t>12. Παραρτήματα</w:t>
      </w:r>
    </w:p>
    <w:p>
      <w:pPr>
        <w:pStyle w:val="ListBullet"/>
        <w:spacing w:after="40"/>
      </w:pPr>
      <w:r>
        <w:t>Παράρτημα Α' — Πίνακας τιμολόγησης</w:t>
      </w:r>
    </w:p>
    <w:p>
      <w:pPr>
        <w:pStyle w:val="ListBullet"/>
        <w:spacing w:after="40"/>
      </w:pPr>
      <w:r>
        <w:t>Παράρτημα Β' — Data Processing Agreement (DPA) — αναπόσπαστο μέρος</w:t>
      </w:r>
    </w:p>
    <w:p>
      <w:pPr>
        <w:pStyle w:val="ListBullet"/>
        <w:spacing w:after="40"/>
      </w:pPr>
      <w:r>
        <w:t>Παράρτημα Γ' — Παράρτημα Πνευματικών Δικαιωμάτων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Για την Kalypsis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  <w:tc>
          <w:tcPr>
            <w:tcW w:type="dxa" w:w="4759"/>
          </w:tcPr>
          <w:p>
            <w:r>
              <w:rPr>
                <w:b/>
              </w:rPr>
              <w:t>Για το Γραφείο (Πελάτης)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