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Sub-Processors Register</w:t>
      </w:r>
    </w:p>
    <w:p>
      <w:pPr>
        <w:jc w:val="center"/>
      </w:pPr>
      <w:r>
        <w:rPr>
          <w:i/>
          <w:color w:val="1EA7E1"/>
          <w:sz w:val="26"/>
        </w:rPr>
        <w:t>Πίνακας Υπο-Εκτελούντων της Επεξεργασίας</w:t>
      </w:r>
    </w:p>
    <w:p/>
    <w:p>
      <w:pPr>
        <w:ind w:left="283"/>
      </w:pPr>
      <w:r>
        <w:rPr>
          <w:b/>
          <w:color w:val="C73030"/>
          <w:sz w:val="22"/>
        </w:rPr>
        <w:t xml:space="preserve">⚠ DRAFT — </w:t>
      </w:r>
      <w:r>
        <w:rPr>
          <w:sz w:val="22"/>
        </w:rPr>
        <w:t>Ενημέρωση απαιτείται με κάθε αλλαγή provider. Δημοσιοποιείται στο /trust ή αντίστοιχη σελίδα.</w:t>
      </w:r>
    </w:p>
    <w:p>
      <w:pPr>
        <w:spacing w:before="360" w:after="120"/>
      </w:pPr>
      <w:r>
        <w:rPr>
          <w:b/>
          <w:color w:val="0B2545"/>
          <w:sz w:val="30"/>
        </w:rPr>
        <w:t>Ενεργοί Υπο-Εκτελούντες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color w:val="0B2545"/>
              </w:rPr>
              <w:t>Provider</w:t>
            </w:r>
          </w:p>
        </w:tc>
        <w:tc>
          <w:tcPr>
            <w:tcW w:type="dxa" w:w="1904"/>
          </w:tcPr>
          <w:p>
            <w:r>
              <w:rPr>
                <w:b/>
                <w:color w:val="0B2545"/>
              </w:rPr>
              <w:t>Ρόλος</w:t>
            </w:r>
          </w:p>
        </w:tc>
        <w:tc>
          <w:tcPr>
            <w:tcW w:type="dxa" w:w="1904"/>
          </w:tcPr>
          <w:p>
            <w:r>
              <w:rPr>
                <w:b/>
                <w:color w:val="0B2545"/>
              </w:rPr>
              <w:t>Τοποθεσία</w:t>
            </w:r>
          </w:p>
        </w:tc>
        <w:tc>
          <w:tcPr>
            <w:tcW w:type="dxa" w:w="1904"/>
          </w:tcPr>
          <w:p>
            <w:r>
              <w:rPr>
                <w:b/>
                <w:color w:val="0B2545"/>
              </w:rPr>
              <w:t>Δεδομένα</w:t>
            </w:r>
          </w:p>
        </w:tc>
        <w:tc>
          <w:tcPr>
            <w:tcW w:type="dxa" w:w="1904"/>
          </w:tcPr>
          <w:p>
            <w:r>
              <w:rPr>
                <w:b/>
                <w:color w:val="0B2545"/>
              </w:rPr>
              <w:t>Νομική βάση διαβίβασης</w:t>
            </w:r>
          </w:p>
        </w:tc>
      </w:tr>
      <w:tr>
        <w:tc>
          <w:tcPr>
            <w:tcW w:type="dxa" w:w="1904"/>
          </w:tcPr>
          <w:p>
            <w:r>
              <w:t>GitHub Inc.</w:t>
            </w:r>
          </w:p>
        </w:tc>
        <w:tc>
          <w:tcPr>
            <w:tcW w:type="dxa" w:w="1904"/>
          </w:tcPr>
          <w:p>
            <w:r>
              <w:t>Source code hosting (private repo)</w:t>
            </w:r>
          </w:p>
        </w:tc>
        <w:tc>
          <w:tcPr>
            <w:tcW w:type="dxa" w:w="1904"/>
          </w:tcPr>
          <w:p>
            <w:r>
              <w:t>ΗΠΑ</w:t>
            </w:r>
          </w:p>
        </w:tc>
        <w:tc>
          <w:tcPr>
            <w:tcW w:type="dxa" w:w="1904"/>
          </w:tcPr>
          <w:p>
            <w:r>
              <w:t>Κώδικας, δομή DB</w:t>
            </w:r>
          </w:p>
        </w:tc>
        <w:tc>
          <w:tcPr>
            <w:tcW w:type="dxa" w:w="1904"/>
          </w:tcPr>
          <w:p>
            <w:r>
              <w:t>EU-U.S. Data Privacy Framework</w:t>
            </w:r>
          </w:p>
        </w:tc>
      </w:tr>
      <w:tr>
        <w:tc>
          <w:tcPr>
            <w:tcW w:type="dxa" w:w="1904"/>
          </w:tcPr>
          <w:p>
            <w:r>
              <w:t>Cloudflare Inc.</w:t>
            </w:r>
          </w:p>
        </w:tc>
        <w:tc>
          <w:tcPr>
            <w:tcW w:type="dxa" w:w="1904"/>
          </w:tcPr>
          <w:p>
            <w:r>
              <w:t>CDN, DNS, WAF, SSL</w:t>
            </w:r>
          </w:p>
        </w:tc>
        <w:tc>
          <w:tcPr>
            <w:tcW w:type="dxa" w:w="1904"/>
          </w:tcPr>
          <w:p>
            <w:r>
              <w:t>ΗΠΑ (proxy EU edges)</w:t>
            </w:r>
          </w:p>
        </w:tc>
        <w:tc>
          <w:tcPr>
            <w:tcW w:type="dxa" w:w="1904"/>
          </w:tcPr>
          <w:p>
            <w:r>
              <w:t>IP, browser fingerprint, request logs</w:t>
            </w:r>
          </w:p>
        </w:tc>
        <w:tc>
          <w:tcPr>
            <w:tcW w:type="dxa" w:w="1904"/>
          </w:tcPr>
          <w:p>
            <w:r>
              <w:t>SCCs (2021/914)</w:t>
            </w:r>
          </w:p>
        </w:tc>
      </w:tr>
      <w:tr>
        <w:tc>
          <w:tcPr>
            <w:tcW w:type="dxa" w:w="1904"/>
          </w:tcPr>
          <w:p>
            <w:r>
              <w:t>Brevo (Sendinblue SAS)</w:t>
            </w:r>
          </w:p>
        </w:tc>
        <w:tc>
          <w:tcPr>
            <w:tcW w:type="dxa" w:w="1904"/>
          </w:tcPr>
          <w:p>
            <w:r>
              <w:t>Transactional email</w:t>
            </w:r>
          </w:p>
        </w:tc>
        <w:tc>
          <w:tcPr>
            <w:tcW w:type="dxa" w:w="1904"/>
          </w:tcPr>
          <w:p>
            <w:r>
              <w:t>Γαλλία</w:t>
            </w:r>
          </w:p>
        </w:tc>
        <w:tc>
          <w:tcPr>
            <w:tcW w:type="dxa" w:w="1904"/>
          </w:tcPr>
          <w:p>
            <w:r>
              <w:t>Email, όνομα, subject/body</w:t>
            </w:r>
          </w:p>
        </w:tc>
        <w:tc>
          <w:tcPr>
            <w:tcW w:type="dxa" w:w="1904"/>
          </w:tcPr>
          <w:p>
            <w:r>
              <w:t>Εντός ΕΕ</w:t>
            </w:r>
          </w:p>
        </w:tc>
      </w:tr>
      <w:tr>
        <w:tc>
          <w:tcPr>
            <w:tcW w:type="dxa" w:w="1904"/>
          </w:tcPr>
          <w:p>
            <w:r>
              <w:t>[Coolify Host]</w:t>
            </w:r>
          </w:p>
        </w:tc>
        <w:tc>
          <w:tcPr>
            <w:tcW w:type="dxa" w:w="1904"/>
          </w:tcPr>
          <w:p>
            <w:r>
              <w:t>Application hosting</w:t>
            </w:r>
          </w:p>
        </w:tc>
        <w:tc>
          <w:tcPr>
            <w:tcW w:type="dxa" w:w="1904"/>
          </w:tcPr>
          <w:p>
            <w:r>
              <w:t>Ελλάδα</w:t>
            </w:r>
          </w:p>
        </w:tc>
        <w:tc>
          <w:tcPr>
            <w:tcW w:type="dxa" w:w="1904"/>
          </w:tcPr>
          <w:p>
            <w:r>
              <w:t>Όλα τα δεδομένα εφαρμογής</w:t>
            </w:r>
          </w:p>
        </w:tc>
        <w:tc>
          <w:tcPr>
            <w:tcW w:type="dxa" w:w="1904"/>
          </w:tcPr>
          <w:p>
            <w:r>
              <w:t>Εντός ΕΕ</w:t>
            </w:r>
          </w:p>
        </w:tc>
      </w:tr>
      <w:tr>
        <w:tc>
          <w:tcPr>
            <w:tcW w:type="dxa" w:w="1904"/>
          </w:tcPr>
          <w:p>
            <w:r>
              <w:t>Backblaze B2 (προαιρετικό)</w:t>
            </w:r>
          </w:p>
        </w:tc>
        <w:tc>
          <w:tcPr>
            <w:tcW w:type="dxa" w:w="1904"/>
          </w:tcPr>
          <w:p>
            <w:r>
              <w:t>Off-site backups</w:t>
            </w:r>
          </w:p>
        </w:tc>
        <w:tc>
          <w:tcPr>
            <w:tcW w:type="dxa" w:w="1904"/>
          </w:tcPr>
          <w:p>
            <w:r>
              <w:t>ΗΠΑ</w:t>
            </w:r>
          </w:p>
        </w:tc>
        <w:tc>
          <w:tcPr>
            <w:tcW w:type="dxa" w:w="1904"/>
          </w:tcPr>
          <w:p>
            <w:r>
              <w:t>Encrypted backup archives</w:t>
            </w:r>
          </w:p>
        </w:tc>
        <w:tc>
          <w:tcPr>
            <w:tcW w:type="dxa" w:w="1904"/>
          </w:tcPr>
          <w:p>
            <w:r>
              <w:t>SCCs (2021/914)</w:t>
            </w:r>
          </w:p>
        </w:tc>
      </w:tr>
    </w:tbl>
    <w:p>
      <w:pPr>
        <w:spacing w:before="360" w:after="120"/>
      </w:pPr>
      <w:r>
        <w:rPr>
          <w:b/>
          <w:color w:val="0B2545"/>
          <w:sz w:val="30"/>
        </w:rPr>
        <w:t>Πολιτική ενημέρωσης</w:t>
      </w:r>
    </w:p>
    <w:p>
      <w:pPr>
        <w:pStyle w:val="ListBullet"/>
        <w:spacing w:after="40"/>
      </w:pPr>
      <w:r>
        <w:t>Ο Πάροχος ενημερώνει τον Υπεύθυνο για νέο ή αλλαγή υπο-εκτελούντα με 30 ημέρες προειδοποίηση.</w:t>
      </w:r>
    </w:p>
    <w:p>
      <w:pPr>
        <w:pStyle w:val="ListBullet"/>
        <w:spacing w:after="40"/>
      </w:pPr>
      <w:r>
        <w:t>Ο Υπεύθυνος έχει δικαίωμα εναντίωσης εντός της περιόδου.</w:t>
      </w:r>
    </w:p>
    <w:p>
      <w:pPr>
        <w:pStyle w:val="ListBullet"/>
        <w:spacing w:after="40"/>
      </w:pPr>
      <w:r>
        <w:t>Εντός 24 ωρών από τη γνωστοποίηση παραβίασης από υπο-εκτελούντα, ενημερώνεται ο Υπεύθυνος.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