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ЗАГРУЖЕННОСТИ САМОЛЕТОВ</w:t>
      </w:r>
    </w:p>
    <w:p>
      <w:pPr>
        <w:jc w:val="center"/>
      </w:pPr>
      <w:r>
        <w:rPr>
          <w:sz w:val="24"/>
        </w:rPr>
        <w:t>Период: 2026-02-05 - 2026-05-06</w:t>
      </w:r>
    </w:p>
    <w:p/>
    <w:p>
      <w:r>
        <w:rPr>
          <w:b/>
        </w:rPr>
        <w:t>Дата формирования: 16.05.2026 13:52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Модель самолета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Количество рейсов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Всего пассажиров</w:t>
            </w:r>
          </w:p>
        </w:tc>
      </w:tr>
      <w:tr>
        <w:tc>
          <w:tcPr>
            <w:tcW w:type="dxa" w:w="2880"/>
          </w:tcPr>
          <w:p>
            <w:r>
              <w:t>Boeing 777-300ER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rPr>
          <w:b/>
        </w:rPr>
        <w:t>Всего выполнено рейсов: 1</w:t>
      </w:r>
    </w:p>
    <w:p/>
    <w:p>
      <w:r>
        <w:rPr>
          <w:b/>
        </w:rPr>
        <w:t>Всего перевезено пассажиров: 1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