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32.png" ContentType="image/png"/>
  <Override PartName="/word/media/rId135.png" ContentType="image/png"/>
  <Override PartName="/word/media/rId30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1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</w:t>
      </w:r>
    </w:p>
    <w:p>
      <w:pPr>
        <w:pStyle w:val="Author"/>
      </w:pPr>
      <w:r>
        <w:t xml:space="preserve">Коровкин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понятием подпрограмм в Ассемблере и научиться использовать подпрограммы на практике. Ознакомиться с отладчиком gdb и научиться использовать его</w:t>
      </w:r>
    </w:p>
    <w:p>
      <w:pPr>
        <w:pStyle w:val="SourceCode"/>
      </w:pPr>
      <w:r>
        <w:rPr>
          <w:rStyle w:val="VerbatimChar"/>
        </w:rPr>
        <w:t xml:space="preserve">                                               |</w:t>
      </w:r>
    </w:p>
    <w:bookmarkEnd w:id="20"/>
    <w:bookmarkStart w:id="1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Сперва создадим рабочую директорию и первый файл: с которым мы будем работать.(рис.1)</w:t>
      </w:r>
    </w:p>
    <w:p>
      <w:pPr>
        <w:pStyle w:val="CaptionedFigure"/>
      </w:pPr>
      <w:r>
        <w:drawing>
          <wp:inline>
            <wp:extent cx="5334000" cy="454504"/>
            <wp:effectExtent b="0" l="0" r="0" t="0"/>
            <wp:docPr descr="Создание рабочей директории и файла lab9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lab9-1.asm</w:t>
      </w:r>
    </w:p>
    <w:p>
      <w:pPr>
        <w:pStyle w:val="BodyText"/>
      </w:pPr>
      <w:r>
        <w:t xml:space="preserve">Далее подключим in_out.asm, перенеся его из папки прошлой лабораторной работы.(рис.2)</w:t>
      </w:r>
    </w:p>
    <w:p>
      <w:pPr>
        <w:pStyle w:val="CaptionedFigure"/>
      </w:pPr>
      <w:r>
        <w:drawing>
          <wp:inline>
            <wp:extent cx="5334000" cy="1457845"/>
            <wp:effectExtent b="0" l="0" r="0" t="0"/>
            <wp:docPr descr="Копирование файла in_out.asm в рабочую папку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папку</w:t>
      </w:r>
    </w:p>
    <w:p>
      <w:pPr>
        <w:pStyle w:val="BodyText"/>
      </w:pPr>
      <w:r>
        <w:t xml:space="preserve">Откроем файл и вставим код из первого листинга.(рис.3)</w:t>
      </w:r>
    </w:p>
    <w:p>
      <w:pPr>
        <w:pStyle w:val="CaptionedFigure"/>
      </w:pPr>
      <w:r>
        <w:drawing>
          <wp:inline>
            <wp:extent cx="5334000" cy="1457845"/>
            <wp:effectExtent b="0" l="0" r="0" t="0"/>
            <wp:docPr descr="Вставляем код из первого листинг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Вставляем код из первого листинга</w:t>
      </w:r>
    </w:p>
    <w:p>
      <w:pPr>
        <w:pStyle w:val="BodyText"/>
      </w:pPr>
      <w:r>
        <w:t xml:space="preserve">Теперь соберем файл и запустим его.(рис.4)</w:t>
      </w:r>
    </w:p>
    <w:p>
      <w:pPr>
        <w:pStyle w:val="CaptionedFigure"/>
      </w:pPr>
      <w:r>
        <w:drawing>
          <wp:inline>
            <wp:extent cx="5334000" cy="1000641"/>
            <wp:effectExtent b="0" l="0" r="0" t="0"/>
            <wp:docPr descr="Запуск файл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Затем изменим файл, чтобы в подпрограмме была ещё одна подпрограмма, вычисляющая значение g(x), которая будет передавать значение в первую подпрограмму, которая бы уже вычислила значение f(g(x)).(рис.5)</w:t>
      </w:r>
    </w:p>
    <w:p>
      <w:pPr>
        <w:pStyle w:val="CaptionedFigure"/>
      </w:pPr>
      <w:r>
        <w:drawing>
          <wp:inline>
            <wp:extent cx="5334000" cy="1000641"/>
            <wp:effectExtent b="0" l="0" r="0" t="0"/>
            <wp:docPr descr="Изменение кода файла lab9-1.asm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кода файла lab9-1.asm</w:t>
      </w:r>
    </w:p>
    <w:p>
      <w:pPr>
        <w:pStyle w:val="BodyText"/>
      </w:pPr>
      <w:r>
        <w:t xml:space="preserve">Запустим программу еще раз.(рис.6)</w:t>
      </w:r>
    </w:p>
    <w:p>
      <w:pPr>
        <w:pStyle w:val="CaptionedFigure"/>
      </w:pPr>
      <w:r>
        <w:drawing>
          <wp:inline>
            <wp:extent cx="5334000" cy="1364511"/>
            <wp:effectExtent b="0" l="0" r="0" t="0"/>
            <wp:docPr descr="Повторный запуск файла lab9-1.asm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запуск файла lab9-1.asm</w:t>
      </w:r>
    </w:p>
    <w:p>
      <w:pPr>
        <w:pStyle w:val="BodyText"/>
      </w:pPr>
      <w:r>
        <w:t xml:space="preserve">Все работает верно.</w:t>
      </w:r>
    </w:p>
    <w:p>
      <w:pPr>
        <w:pStyle w:val="BodyText"/>
      </w:pPr>
      <w:r>
        <w:t xml:space="preserve">Теперь создадим второй файл.(рис.7)</w:t>
      </w:r>
    </w:p>
    <w:p>
      <w:pPr>
        <w:pStyle w:val="CaptionedFigure"/>
      </w:pPr>
      <w:r>
        <w:drawing>
          <wp:inline>
            <wp:extent cx="5334000" cy="206744"/>
            <wp:effectExtent b="0" l="0" r="0" t="0"/>
            <wp:docPr descr="Создание второго файл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</w:t>
      </w:r>
    </w:p>
    <w:p>
      <w:pPr>
        <w:pStyle w:val="BodyText"/>
      </w:pPr>
      <w:r>
        <w:t xml:space="preserve">Вставим туда код из листинга.(рис.8)</w:t>
      </w:r>
    </w:p>
    <w:p>
      <w:pPr>
        <w:pStyle w:val="CaptionedFigure"/>
      </w:pPr>
      <w:r>
        <w:drawing>
          <wp:inline>
            <wp:extent cx="5334000" cy="2472660"/>
            <wp:effectExtent b="0" l="0" r="0" t="0"/>
            <wp:docPr descr="Изменение файла lab9-2.asm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lab9-2.asm</w:t>
      </w:r>
    </w:p>
    <w:p>
      <w:pPr>
        <w:pStyle w:val="BodyText"/>
      </w:pPr>
      <w:r>
        <w:t xml:space="preserve">Запустим файл.(рис.9)</w:t>
      </w:r>
    </w:p>
    <w:p>
      <w:pPr>
        <w:pStyle w:val="CaptionedFigure"/>
      </w:pPr>
      <w:r>
        <w:drawing>
          <wp:inline>
            <wp:extent cx="5334000" cy="678120"/>
            <wp:effectExtent b="0" l="0" r="0" t="0"/>
            <wp:docPr descr="Запуск файла lab9-2.asm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lab9-2.asm</w:t>
      </w:r>
    </w:p>
    <w:p>
      <w:pPr>
        <w:pStyle w:val="BodyText"/>
      </w:pPr>
      <w:r>
        <w:t xml:space="preserve">Теперь загрузим программу в gdb.(рис.10)</w:t>
      </w:r>
    </w:p>
    <w:p>
      <w:pPr>
        <w:pStyle w:val="CaptionedFigure"/>
      </w:pPr>
      <w:r>
        <w:drawing>
          <wp:inline>
            <wp:extent cx="5334000" cy="1993013"/>
            <wp:effectExtent b="0" l="0" r="0" t="0"/>
            <wp:docPr descr="Загрузка программы в gdb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3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программы в gdb</w:t>
      </w:r>
    </w:p>
    <w:p>
      <w:pPr>
        <w:pStyle w:val="BodyText"/>
      </w:pPr>
      <w:r>
        <w:t xml:space="preserve">Запустим ее в отладчике.(рис.11)</w:t>
      </w:r>
    </w:p>
    <w:p>
      <w:pPr>
        <w:pStyle w:val="CaptionedFigure"/>
      </w:pPr>
      <w:r>
        <w:drawing>
          <wp:inline>
            <wp:extent cx="5334000" cy="1811079"/>
            <wp:effectExtent b="0" l="0" r="0" t="0"/>
            <wp:docPr descr="Запуск программы в отладчике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pStyle w:val="BodyText"/>
      </w:pPr>
      <w:r>
        <w:t xml:space="preserve">После запуска создадим брейкпоинт на метке _start с помощью команды break.(рис.12)</w:t>
      </w:r>
    </w:p>
    <w:p>
      <w:pPr>
        <w:pStyle w:val="CaptionedFigure"/>
      </w:pPr>
      <w:r>
        <w:drawing>
          <wp:inline>
            <wp:extent cx="5334000" cy="1388962"/>
            <wp:effectExtent b="0" l="0" r="0" t="0"/>
            <wp:docPr descr="Создание брейкпоинт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</w:t>
      </w:r>
    </w:p>
    <w:p>
      <w:pPr>
        <w:pStyle w:val="BodyText"/>
      </w:pPr>
      <w:r>
        <w:t xml:space="preserve">С помощью команды disassemble дизассемблируем метку.(рис.13)</w:t>
      </w:r>
    </w:p>
    <w:p>
      <w:pPr>
        <w:pStyle w:val="CaptionedFigure"/>
      </w:pPr>
      <w:r>
        <w:drawing>
          <wp:inline>
            <wp:extent cx="5334000" cy="2932253"/>
            <wp:effectExtent b="0" l="0" r="0" t="0"/>
            <wp:docPr descr="Дизассемблирование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2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Дизассемблирование</w:t>
      </w:r>
    </w:p>
    <w:p>
      <w:pPr>
        <w:pStyle w:val="BodyText"/>
      </w:pPr>
      <w:r>
        <w:t xml:space="preserve">При помощи следующей команды переключаем синтаксис вывода на intel(рис.14)</w:t>
      </w:r>
    </w:p>
    <w:p>
      <w:pPr>
        <w:pStyle w:val="CaptionedFigure"/>
      </w:pPr>
      <w:r>
        <w:drawing>
          <wp:inline>
            <wp:extent cx="5334000" cy="356886"/>
            <wp:effectExtent b="0" l="0" r="0" t="0"/>
            <wp:docPr descr="Переключение синтаксис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синтаксиса</w:t>
      </w:r>
    </w:p>
    <w:p>
      <w:pPr>
        <w:pStyle w:val="BodyText"/>
      </w:pPr>
      <w:r>
        <w:t xml:space="preserve">Дизассемблиурем программу еще раз(рис.15)</w:t>
      </w:r>
    </w:p>
    <w:p>
      <w:pPr>
        <w:pStyle w:val="CaptionedFigure"/>
      </w:pPr>
      <w:r>
        <w:drawing>
          <wp:inline>
            <wp:extent cx="5334000" cy="2970835"/>
            <wp:effectExtent b="0" l="0" r="0" t="0"/>
            <wp:docPr descr="Повторное дизассемблирование программы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Повторное дизассемблирование программы</w:t>
      </w:r>
    </w:p>
    <w:p>
      <w:pPr>
        <w:pStyle w:val="BodyText"/>
      </w:pPr>
      <w:r>
        <w:t xml:space="preserve">Теперь включаем графическое отображение кода.(рис.16)</w:t>
      </w:r>
    </w:p>
    <w:p>
      <w:pPr>
        <w:pStyle w:val="CaptionedFigure"/>
      </w:pPr>
      <w:r>
        <w:drawing>
          <wp:inline>
            <wp:extent cx="5334000" cy="2970835"/>
            <wp:effectExtent b="0" l="0" r="0" t="0"/>
            <wp:docPr descr="Графическое отображение кода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Графическое отображение кода</w:t>
      </w:r>
    </w:p>
    <w:p>
      <w:pPr>
        <w:pStyle w:val="BodyText"/>
      </w:pPr>
      <w:r>
        <w:t xml:space="preserve">Включаем графическое отображение значений регистров.(рис.17)</w:t>
      </w:r>
    </w:p>
    <w:p>
      <w:pPr>
        <w:pStyle w:val="CaptionedFigure"/>
      </w:pPr>
      <w:r>
        <w:drawing>
          <wp:inline>
            <wp:extent cx="5334000" cy="2970835"/>
            <wp:effectExtent b="0" l="0" r="0" t="0"/>
            <wp:docPr descr="Графическое отображение регистров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Графическое отображение регистров</w:t>
      </w:r>
    </w:p>
    <w:p>
      <w:pPr>
        <w:pStyle w:val="BodyText"/>
      </w:pPr>
      <w:r>
        <w:t xml:space="preserve">Выведем отображение информации о имеющихся брейкпоинтах.(рис.18)</w:t>
      </w:r>
    </w:p>
    <w:p>
      <w:pPr>
        <w:pStyle w:val="CaptionedFigure"/>
      </w:pPr>
      <w:r>
        <w:drawing>
          <wp:inline>
            <wp:extent cx="5334000" cy="906683"/>
            <wp:effectExtent b="0" l="0" r="0" t="0"/>
            <wp:docPr descr="Отображение информации о брейкпоинтах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информации о брейкпоинтах</w:t>
      </w:r>
    </w:p>
    <w:p>
      <w:pPr>
        <w:pStyle w:val="BodyText"/>
      </w:pPr>
      <w:r>
        <w:t xml:space="preserve">А теперь создадим брейкпоинт самостоятельно.(рис.19)</w:t>
      </w:r>
    </w:p>
    <w:p>
      <w:pPr>
        <w:pStyle w:val="CaptionedFigure"/>
      </w:pPr>
      <w:r>
        <w:drawing>
          <wp:inline>
            <wp:extent cx="5334000" cy="906683"/>
            <wp:effectExtent b="0" l="0" r="0" t="0"/>
            <wp:docPr descr="Создание брейкпоинта по адресу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 по адресу</w:t>
      </w:r>
    </w:p>
    <w:p>
      <w:pPr>
        <w:pStyle w:val="BodyText"/>
      </w:pPr>
      <w:r>
        <w:t xml:space="preserve">Выведем информацию о брейкпоинтах еще раз.(рис.20)</w:t>
      </w:r>
    </w:p>
    <w:p>
      <w:pPr>
        <w:pStyle w:val="CaptionedFigure"/>
      </w:pPr>
      <w:r>
        <w:drawing>
          <wp:inline>
            <wp:extent cx="5334000" cy="916329"/>
            <wp:effectExtent b="0" l="0" r="0" t="0"/>
            <wp:docPr descr="Повторных вывод информации о брейкпоинтах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6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Повторных вывод информации о брейкпоинтах</w:t>
      </w:r>
    </w:p>
    <w:p>
      <w:pPr>
        <w:pStyle w:val="BodyText"/>
      </w:pPr>
      <w:r>
        <w:t xml:space="preserve">Воспользуемся командой si для построчного выполнения кода. Задействуем ее 5 раз.(рис.21-22)</w:t>
      </w:r>
    </w:p>
    <w:p>
      <w:pPr>
        <w:pStyle w:val="CaptionedFigure"/>
      </w:pPr>
      <w:r>
        <w:drawing>
          <wp:inline>
            <wp:extent cx="5334000" cy="1331088"/>
            <wp:effectExtent b="0" l="0" r="0" t="0"/>
            <wp:docPr descr="Построчное выполнение кода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1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Построчное выполнение кода</w:t>
      </w:r>
    </w:p>
    <w:p>
      <w:pPr>
        <w:pStyle w:val="CaptionedFigure"/>
      </w:pPr>
      <w:r>
        <w:drawing>
          <wp:inline>
            <wp:extent cx="5334000" cy="1331088"/>
            <wp:effectExtent b="0" l="0" r="0" t="0"/>
            <wp:docPr descr="Построчное выполнение кода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1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Построчное выполнение кода</w:t>
      </w:r>
    </w:p>
    <w:p>
      <w:pPr>
        <w:pStyle w:val="BodyText"/>
      </w:pPr>
      <w:r>
        <w:t xml:space="preserve">Как видим, поменялись значения регистров eax, ecx, edx и ebx. Теперь выведем информацию о значениях регистров(рис.23)</w:t>
      </w:r>
    </w:p>
    <w:p>
      <w:pPr>
        <w:pStyle w:val="CaptionedFigure"/>
      </w:pPr>
      <w:r>
        <w:drawing>
          <wp:inline>
            <wp:extent cx="5334000" cy="1331088"/>
            <wp:effectExtent b="0" l="0" r="0" t="0"/>
            <wp:docPr descr="Изменение значений регистров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1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</w:t>
      </w:r>
    </w:p>
    <w:p>
      <w:pPr>
        <w:pStyle w:val="BodyText"/>
      </w:pPr>
      <w:r>
        <w:t xml:space="preserve">Теперь выведем значение переменной по имени и по адресу.(рис.24-25)</w:t>
      </w:r>
    </w:p>
    <w:p>
      <w:pPr>
        <w:pStyle w:val="CaptionedFigure"/>
      </w:pPr>
      <w:r>
        <w:drawing>
          <wp:inline>
            <wp:extent cx="5334000" cy="511215"/>
            <wp:effectExtent b="0" l="0" r="0" t="0"/>
            <wp:docPr descr="Вывод значения переменной по имени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переменной по имени</w:t>
      </w:r>
    </w:p>
    <w:p>
      <w:pPr>
        <w:pStyle w:val="CaptionedFigure"/>
      </w:pPr>
      <w:r>
        <w:drawing>
          <wp:inline>
            <wp:extent cx="5334000" cy="511215"/>
            <wp:effectExtent b="0" l="0" r="0" t="0"/>
            <wp:docPr descr="Вывод значения переменной по адресу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переменной по адресу</w:t>
      </w:r>
    </w:p>
    <w:p>
      <w:pPr>
        <w:pStyle w:val="BodyText"/>
      </w:pPr>
      <w:r>
        <w:t xml:space="preserve">После этого изменим первый символ переменной.(рис.26)</w:t>
      </w:r>
    </w:p>
    <w:p>
      <w:pPr>
        <w:pStyle w:val="CaptionedFigure"/>
      </w:pPr>
      <w:r>
        <w:drawing>
          <wp:inline>
            <wp:extent cx="5334000" cy="1321443"/>
            <wp:effectExtent b="0" l="0" r="0" t="0"/>
            <wp:docPr descr="Изменение первого символа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1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</w:t>
      </w:r>
    </w:p>
    <w:p>
      <w:pPr>
        <w:pStyle w:val="BodyText"/>
      </w:pPr>
      <w:r>
        <w:t xml:space="preserve">А затем изменим несколько символов переменной, обращаясь по адресу.(рис.27)</w:t>
      </w:r>
    </w:p>
    <w:p>
      <w:pPr>
        <w:pStyle w:val="CaptionedFigure"/>
      </w:pPr>
      <w:r>
        <w:drawing>
          <wp:inline>
            <wp:extent cx="5334000" cy="868101"/>
            <wp:effectExtent b="0" l="0" r="0" t="0"/>
            <wp:docPr descr="Изменение нескольких символов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8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нескольких символов</w:t>
      </w:r>
    </w:p>
    <w:p>
      <w:pPr>
        <w:pStyle w:val="BodyText"/>
      </w:pPr>
      <w:r>
        <w:t xml:space="preserve">Теперь предстоит вывести значение регистра в изначальном, двоичном и шестнадцатиричном виде(рис.28)</w:t>
      </w:r>
    </w:p>
    <w:p>
      <w:pPr>
        <w:pStyle w:val="CaptionedFigure"/>
      </w:pPr>
      <w:r>
        <w:drawing>
          <wp:inline>
            <wp:extent cx="5334000" cy="1205696"/>
            <wp:effectExtent b="0" l="0" r="0" t="0"/>
            <wp:docPr descr="Вывод значения регистра в разном виде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5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в разном виде</w:t>
      </w:r>
    </w:p>
    <w:p>
      <w:pPr>
        <w:pStyle w:val="BodyText"/>
      </w:pPr>
      <w:r>
        <w:t xml:space="preserve">Изменим значение регистра.(рис.29)</w:t>
      </w:r>
    </w:p>
    <w:p>
      <w:pPr>
        <w:pStyle w:val="CaptionedFigure"/>
      </w:pPr>
      <w:r>
        <w:drawing>
          <wp:inline>
            <wp:extent cx="5334000" cy="1205696"/>
            <wp:effectExtent b="0" l="0" r="0" t="0"/>
            <wp:docPr descr="Изменение значения регистра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5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</w:t>
      </w:r>
    </w:p>
    <w:p>
      <w:pPr>
        <w:pStyle w:val="BodyText"/>
      </w:pPr>
      <w:r>
        <w:t xml:space="preserve">Нетрудно заметить, что в регистр записались разные значения, так как в одном случае мы записываем туда число - в другом строку.</w:t>
      </w:r>
    </w:p>
    <w:p>
      <w:pPr>
        <w:pStyle w:val="BodyText"/>
      </w:pPr>
      <w:r>
        <w:t xml:space="preserve">Завершаем работу программы с помощью continue и выходим из отладчика.(рис.30)</w:t>
      </w:r>
    </w:p>
    <w:p>
      <w:pPr>
        <w:pStyle w:val="CaptionedFigure"/>
      </w:pPr>
      <w:r>
        <w:drawing>
          <wp:inline>
            <wp:extent cx="5115524" cy="1854377"/>
            <wp:effectExtent b="0" l="0" r="0" t="0"/>
            <wp:docPr descr="Завершение работы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24" cy="185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</w:t>
      </w:r>
    </w:p>
    <w:p>
      <w:pPr>
        <w:pStyle w:val="BodyText"/>
      </w:pPr>
      <w:r>
        <w:t xml:space="preserve">Теперь скопируем файл из предыдущей лабораторной работы.(рис.21)</w:t>
      </w:r>
    </w:p>
    <w:p>
      <w:pPr>
        <w:pStyle w:val="CaptionedFigure"/>
      </w:pPr>
      <w:r>
        <w:drawing>
          <wp:inline>
            <wp:extent cx="5334000" cy="320208"/>
            <wp:effectExtent b="0" l="0" r="0" t="0"/>
            <wp:docPr descr="Копирование предыдущей лабораторной работы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предыдущей лабораторной работы</w:t>
      </w:r>
    </w:p>
    <w:p>
      <w:pPr>
        <w:pStyle w:val="BodyText"/>
      </w:pPr>
      <w:r>
        <w:t xml:space="preserve">Мы так же соберем его и загрузим в gdb.(рис.32)</w:t>
      </w:r>
    </w:p>
    <w:p>
      <w:pPr>
        <w:pStyle w:val="CaptionedFigure"/>
      </w:pPr>
      <w:r>
        <w:drawing>
          <wp:inline>
            <wp:extent cx="5334000" cy="917944"/>
            <wp:effectExtent b="0" l="0" r="0" t="0"/>
            <wp:docPr descr="Загрузка файла предыдущей работы в gdb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7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предыдущей работы в gdb</w:t>
      </w:r>
    </w:p>
    <w:p>
      <w:pPr>
        <w:pStyle w:val="BodyText"/>
      </w:pPr>
      <w:r>
        <w:t xml:space="preserve">Теперь создаем брейкпоинт и запускаем программу.(рис.33)</w:t>
      </w:r>
    </w:p>
    <w:p>
      <w:pPr>
        <w:pStyle w:val="CaptionedFigure"/>
      </w:pPr>
      <w:r>
        <w:drawing>
          <wp:inline>
            <wp:extent cx="5334000" cy="2100520"/>
            <wp:effectExtent b="0" l="0" r="0" t="0"/>
            <wp:docPr descr="Запуск программы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Затем выведем значение регистра esp, где хранятся данные о стеке.(рис.34)</w:t>
      </w:r>
    </w:p>
    <w:p>
      <w:pPr>
        <w:pStyle w:val="CaptionedFigure"/>
      </w:pPr>
      <w:r>
        <w:drawing>
          <wp:inline>
            <wp:extent cx="5334000" cy="496186"/>
            <wp:effectExtent b="0" l="0" r="0" t="0"/>
            <wp:docPr descr="Вывод значения регистр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</w:t>
      </w:r>
    </w:p>
    <w:p>
      <w:pPr>
        <w:pStyle w:val="BodyText"/>
      </w:pPr>
      <w:r>
        <w:t xml:space="preserve">Теперь нужно вывести значение всех элементов стека.(рис.35)</w:t>
      </w:r>
    </w:p>
    <w:p>
      <w:pPr>
        <w:pStyle w:val="CaptionedFigure"/>
      </w:pPr>
      <w:r>
        <w:drawing>
          <wp:inline>
            <wp:extent cx="5334000" cy="1662223"/>
            <wp:effectExtent b="0" l="0" r="0" t="0"/>
            <wp:docPr descr="Вывод значений всех элементов стека" title="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2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значений всех элементов стека</w:t>
      </w:r>
    </w:p>
    <w:p>
      <w:pPr>
        <w:pStyle w:val="BodyText"/>
      </w:pPr>
      <w:r>
        <w:t xml:space="preserve">Можно заметить, что для вывода каждого элемента нужно менять значения адреса с шагом на 4. Это связано с тем, что под каждый элемент выделяется 4 байта.</w:t>
      </w:r>
    </w:p>
    <w:p>
      <w:pPr>
        <w:pStyle w:val="BodyText"/>
      </w:pPr>
      <w:r>
        <w:t xml:space="preserve">#Выполнение самостоятельной работы</w:t>
      </w:r>
    </w:p>
    <w:p>
      <w:pPr>
        <w:pStyle w:val="BodyText"/>
      </w:pPr>
      <w:r>
        <w:t xml:space="preserve">Первым делом копируем файл задания из прошлой лабораторной работы.(рис.36)</w:t>
      </w:r>
    </w:p>
    <w:p>
      <w:pPr>
        <w:pStyle w:val="CaptionedFigure"/>
      </w:pPr>
      <w:r>
        <w:drawing>
          <wp:inline>
            <wp:extent cx="5334000" cy="3928139"/>
            <wp:effectExtent b="0" l="0" r="0" t="0"/>
            <wp:docPr descr="Копируем файл из предыдущей работы" title="" id="127" name="Picture"/>
            <a:graphic>
              <a:graphicData uri="http://schemas.openxmlformats.org/drawingml/2006/picture">
                <pic:pic>
                  <pic:nvPicPr>
                    <pic:cNvPr descr="image/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файл из предыдущей работы</w:t>
      </w:r>
    </w:p>
    <w:p>
      <w:pPr>
        <w:pStyle w:val="BodyText"/>
      </w:pPr>
      <w:r>
        <w:t xml:space="preserve">Его код выглядит так.(рис.37)</w:t>
      </w:r>
    </w:p>
    <w:p>
      <w:pPr>
        <w:pStyle w:val="CaptionedFigure"/>
      </w:pPr>
      <w:r>
        <w:drawing>
          <wp:inline>
            <wp:extent cx="5089946" cy="5000425"/>
            <wp:effectExtent b="0" l="0" r="0" t="0"/>
            <wp:docPr descr="Код в файле" title="" id="130" name="Picture"/>
            <a:graphic>
              <a:graphicData uri="http://schemas.openxmlformats.org/drawingml/2006/picture">
                <pic:pic>
                  <pic:nvPicPr>
                    <pic:cNvPr descr="image/xxx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6" cy="500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 файле</w:t>
      </w:r>
    </w:p>
    <w:p>
      <w:pPr>
        <w:pStyle w:val="BodyText"/>
      </w:pPr>
      <w:r>
        <w:t xml:space="preserve">Теперь соберем код и проверим.(рис.38)</w:t>
      </w:r>
    </w:p>
    <w:p>
      <w:pPr>
        <w:pStyle w:val="CaptionedFigure"/>
      </w:pPr>
      <w:r>
        <w:drawing>
          <wp:inline>
            <wp:extent cx="5334000" cy="1058530"/>
            <wp:effectExtent b="0" l="0" r="0" t="0"/>
            <wp:docPr descr="Запуск кода" title="" id="133" name="Picture"/>
            <a:graphic>
              <a:graphicData uri="http://schemas.openxmlformats.org/drawingml/2006/picture">
                <pic:pic>
                  <pic:nvPicPr>
                    <pic:cNvPr descr="image/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кода</w:t>
      </w:r>
    </w:p>
    <w:p>
      <w:pPr>
        <w:pStyle w:val="BodyText"/>
      </w:pPr>
      <w:r>
        <w:t xml:space="preserve">Создадим второй файл.(рис.39)</w:t>
      </w:r>
    </w:p>
    <w:p>
      <w:pPr>
        <w:pStyle w:val="CaptionedFigure"/>
      </w:pPr>
      <w:r>
        <w:drawing>
          <wp:inline>
            <wp:extent cx="5334000" cy="305981"/>
            <wp:effectExtent b="0" l="0" r="0" t="0"/>
            <wp:docPr descr="Второй файл" title="" id="136" name="Picture"/>
            <a:graphic>
              <a:graphicData uri="http://schemas.openxmlformats.org/drawingml/2006/picture">
                <pic:pic>
                  <pic:nvPicPr>
                    <pic:cNvPr descr="image/3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файл</w:t>
      </w:r>
    </w:p>
    <w:p>
      <w:pPr>
        <w:pStyle w:val="BodyText"/>
      </w:pPr>
      <w:r>
        <w:t xml:space="preserve">Вставляем в него код из листинга.(рис.40)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Вставляем код из листинга" title="" id="139" name="Picture"/>
            <a:graphic>
              <a:graphicData uri="http://schemas.openxmlformats.org/drawingml/2006/picture">
                <pic:pic>
                  <pic:nvPicPr>
                    <pic:cNvPr descr="image/4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Вставляем код из листинга</w:t>
      </w:r>
    </w:p>
    <w:p>
      <w:pPr>
        <w:pStyle w:val="BodyText"/>
      </w:pPr>
      <w:r>
        <w:t xml:space="preserve">Запускаем файл.(рис.41)</w:t>
      </w:r>
    </w:p>
    <w:p>
      <w:pPr>
        <w:pStyle w:val="CaptionedFigure"/>
      </w:pPr>
      <w:r>
        <w:drawing>
          <wp:inline>
            <wp:extent cx="5334000" cy="826976"/>
            <wp:effectExtent b="0" l="0" r="0" t="0"/>
            <wp:docPr descr="Запуск второго файла" title="" id="142" name="Picture"/>
            <a:graphic>
              <a:graphicData uri="http://schemas.openxmlformats.org/drawingml/2006/picture">
                <pic:pic>
                  <pic:nvPicPr>
                    <pic:cNvPr descr="image/4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второго файла</w:t>
      </w:r>
    </w:p>
    <w:p>
      <w:pPr>
        <w:pStyle w:val="BodyText"/>
      </w:pPr>
      <w:r>
        <w:t xml:space="preserve">Вставим наш файл в gdb(рис.42)</w:t>
      </w:r>
    </w:p>
    <w:p>
      <w:pPr>
        <w:pStyle w:val="CaptionedFigure"/>
      </w:pPr>
      <w:r>
        <w:drawing>
          <wp:inline>
            <wp:extent cx="5334000" cy="2007508"/>
            <wp:effectExtent b="0" l="0" r="0" t="0"/>
            <wp:docPr descr="Вставляем файл в gdb" title="" id="145" name="Picture"/>
            <a:graphic>
              <a:graphicData uri="http://schemas.openxmlformats.org/drawingml/2006/picture">
                <pic:pic>
                  <pic:nvPicPr>
                    <pic:cNvPr descr="image/42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Вставляем файл в gdb</w:t>
      </w:r>
    </w:p>
    <w:p>
      <w:pPr>
        <w:pStyle w:val="BodyText"/>
      </w:pPr>
      <w:r>
        <w:t xml:space="preserve">Переключаем на синтаксис и включаем графическое отображение.(рис.43)</w:t>
      </w:r>
    </w:p>
    <w:p>
      <w:pPr>
        <w:pStyle w:val="CaptionedFigure"/>
      </w:pPr>
      <w:r>
        <w:drawing>
          <wp:inline>
            <wp:extent cx="5334000" cy="2007508"/>
            <wp:effectExtent b="0" l="0" r="0" t="0"/>
            <wp:docPr descr="Переключение синтаксиса и включение графического отображения" title="" id="148" name="Picture"/>
            <a:graphic>
              <a:graphicData uri="http://schemas.openxmlformats.org/drawingml/2006/picture">
                <pic:pic>
                  <pic:nvPicPr>
                    <pic:cNvPr descr="image/44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синтаксиса и включение графического отображения</w:t>
      </w:r>
    </w:p>
    <w:p>
      <w:pPr>
        <w:pStyle w:val="BodyText"/>
      </w:pPr>
      <w:r>
        <w:t xml:space="preserve">Затем устанавливаем брейкпоинт(рис.44)</w:t>
      </w:r>
      <w:r>
        <w:t xml:space="preserve"> </w:t>
      </w:r>
      <w:r>
        <w:drawing>
          <wp:inline>
            <wp:extent cx="5334000" cy="456251"/>
            <wp:effectExtent b="0" l="0" r="0" t="0"/>
            <wp:docPr descr="Устанавливаем брейкпоинт" title="" id="151" name="Picture"/>
            <a:graphic>
              <a:graphicData uri="http://schemas.openxmlformats.org/drawingml/2006/picture">
                <pic:pic>
                  <pic:nvPicPr>
                    <pic:cNvPr descr="image/45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Начинаем выполнение кода.(рис.45-46)</w:t>
      </w:r>
    </w:p>
    <w:p>
      <w:pPr>
        <w:pStyle w:val="CaptionedFigure"/>
      </w:pPr>
      <w:r>
        <w:drawing>
          <wp:inline>
            <wp:extent cx="5334000" cy="3633424"/>
            <wp:effectExtent b="0" l="0" r="0" t="0"/>
            <wp:docPr descr="Выполнение кода" title="" id="154" name="Picture"/>
            <a:graphic>
              <a:graphicData uri="http://schemas.openxmlformats.org/drawingml/2006/picture">
                <pic:pic>
                  <pic:nvPicPr>
                    <pic:cNvPr descr="image/46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кода</w:t>
      </w:r>
    </w:p>
    <w:p>
      <w:pPr>
        <w:pStyle w:val="CaptionedFigure"/>
      </w:pPr>
      <w:r>
        <w:drawing>
          <wp:inline>
            <wp:extent cx="5334000" cy="3633424"/>
            <wp:effectExtent b="0" l="0" r="0" t="0"/>
            <wp:docPr descr="Выполнение кода" title="" id="157" name="Picture"/>
            <a:graphic>
              <a:graphicData uri="http://schemas.openxmlformats.org/drawingml/2006/picture">
                <pic:pic>
                  <pic:nvPicPr>
                    <pic:cNvPr descr="image/47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кода</w:t>
      </w:r>
    </w:p>
    <w:p>
      <w:pPr>
        <w:pStyle w:val="BodyText"/>
      </w:pPr>
      <w:r>
        <w:t xml:space="preserve">Нетрудно заметить,что мы должны были умножить значение регистра ebx, но сделали это с eax.</w:t>
      </w:r>
    </w:p>
    <w:p>
      <w:pPr>
        <w:pStyle w:val="BodyText"/>
      </w:pPr>
      <w:r>
        <w:t xml:space="preserve">Отредактируем код и запустим снова.(рис.47)</w:t>
      </w:r>
    </w:p>
    <w:p>
      <w:pPr>
        <w:pStyle w:val="CaptionedFigure"/>
      </w:pPr>
      <w:r>
        <w:drawing>
          <wp:inline>
            <wp:extent cx="5334000" cy="3633424"/>
            <wp:effectExtent b="0" l="0" r="0" t="0"/>
            <wp:docPr descr="Повторный запуск" title="" id="159" name="Picture"/>
            <a:graphic>
              <a:graphicData uri="http://schemas.openxmlformats.org/drawingml/2006/picture">
                <pic:pic>
                  <pic:nvPicPr>
                    <pic:cNvPr descr="image/47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запуск</w:t>
      </w:r>
    </w:p>
    <w:p>
      <w:pPr>
        <w:pStyle w:val="BodyText"/>
      </w:pPr>
      <w:r>
        <w:t xml:space="preserve">Все вывелось верно. Работа сделана правильно.</w:t>
      </w:r>
    </w:p>
    <w:bookmarkEnd w:id="161"/>
    <w:bookmarkStart w:id="1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мы научились использовать подпрограммы, узнали как пользоваться отладчиком и изучили его функции.</w:t>
      </w:r>
    </w:p>
    <w:bookmarkEnd w:id="1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129" Target="media/rId1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Коровкин Никита Михайлович</dc:creator>
  <dc:language>ru-RU</dc:language>
  <cp:keywords/>
  <dcterms:created xsi:type="dcterms:W3CDTF">2024-12-01T00:22:09Z</dcterms:created>
  <dcterms:modified xsi:type="dcterms:W3CDTF">2024-12-01T00:22:09Z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Понятие подпрограммы. Отладчик GDB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