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5.png" ContentType="image/png"/>
  <Override PartName="/word/media/rId28.png" ContentType="image/png"/>
  <Override PartName="/word/media/rId31.png" ContentType="image/png"/>
  <Override PartName="/word/media/rId34.png" ContentType="image/png"/>
  <Override PartName="/word/media/rId37.png" ContentType="image/png"/>
  <Override PartName="/word/media/rId4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№11</w:t>
      </w:r>
    </w:p>
    <w:p>
      <w:pPr>
        <w:pStyle w:val="Subtitle"/>
      </w:pPr>
      <w:r>
        <w:t xml:space="preserve">Отчет</w:t>
      </w:r>
    </w:p>
    <w:p>
      <w:pPr>
        <w:pStyle w:val="Author"/>
      </w:pPr>
      <w:r>
        <w:t xml:space="preserve">Коровкин</w:t>
      </w:r>
      <w:r>
        <w:t xml:space="preserve"> </w:t>
      </w:r>
      <w:r>
        <w:t xml:space="preserve">Никита</w:t>
      </w:r>
      <w:r>
        <w:t xml:space="preserve"> </w:t>
      </w:r>
      <w:r>
        <w:t xml:space="preserve">Михайлович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Познакомиться с операционной системой Linux. Получить практические навыки работы с редактором Emacs</w:t>
      </w:r>
      <w:r>
        <w:t xml:space="preserve"> </w:t>
      </w:r>
      <w:r>
        <w:t xml:space="preserve">[</w:t>
      </w:r>
      <w:r>
        <w:rPr>
          <w:bCs/>
          <w:b/>
        </w:rPr>
        <w:t xml:space="preserve">tuis?</w:t>
      </w:r>
      <w:r>
        <w:t xml:space="preserve">]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FirstParagraph"/>
      </w:pPr>
      <w:r>
        <w:t xml:space="preserve">Ознакомиться с теоретическим материалом. Ознакомиться с редактором emacs. Выполнить упражнения. Ответить на контрольные вопросы.</w:t>
      </w:r>
    </w:p>
    <w:bookmarkEnd w:id="21"/>
    <w:bookmarkStart w:id="43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Откроем Emacs и создадим при помощии него новый файл(рис. 1).</w:t>
      </w:r>
    </w:p>
    <w:p>
      <w:pPr>
        <w:pStyle w:val="CaptionedFigure"/>
      </w:pPr>
      <w:r>
        <w:drawing>
          <wp:inline>
            <wp:extent cx="5334000" cy="1114471"/>
            <wp:effectExtent b="0" l="0" r="0" t="0"/>
            <wp:docPr descr="Создание файла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144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Создание файла</w:t>
      </w:r>
    </w:p>
    <w:p>
      <w:pPr>
        <w:pStyle w:val="BodyText"/>
      </w:pPr>
      <w:r>
        <w:t xml:space="preserve">Вставим туда код из предложенного файла(рис. 2).</w:t>
      </w:r>
    </w:p>
    <w:p>
      <w:pPr>
        <w:pStyle w:val="CaptionedFigure"/>
      </w:pPr>
      <w:r>
        <w:drawing>
          <wp:inline>
            <wp:extent cx="5334000" cy="1114471"/>
            <wp:effectExtent b="0" l="0" r="0" t="0"/>
            <wp:docPr descr="Вписываем код" title="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144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Вписываем код</w:t>
      </w:r>
    </w:p>
    <w:p>
      <w:pPr>
        <w:pStyle w:val="BodyText"/>
      </w:pPr>
      <w:r>
        <w:t xml:space="preserve">При помощи комбинации клавиш C-space выделяем всю область.(рис. 3).</w:t>
      </w:r>
    </w:p>
    <w:p>
      <w:pPr>
        <w:pStyle w:val="CaptionedFigure"/>
      </w:pPr>
      <w:r>
        <w:drawing>
          <wp:inline>
            <wp:extent cx="5334000" cy="1114471"/>
            <wp:effectExtent b="0" l="0" r="0" t="0"/>
            <wp:docPr descr="Выделяем" title="" id="29" name="Picture"/>
            <a:graphic>
              <a:graphicData uri="http://schemas.openxmlformats.org/drawingml/2006/picture">
                <pic:pic>
                  <pic:nvPicPr>
                    <pic:cNvPr descr="image/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144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Выделяем</w:t>
      </w:r>
    </w:p>
    <w:p>
      <w:pPr>
        <w:pStyle w:val="BodyText"/>
      </w:pPr>
      <w:r>
        <w:t xml:space="preserve">Перемещаем курсор с помощью других комбинаций.</w:t>
      </w:r>
      <w:r>
        <w:t xml:space="preserve"> </w:t>
      </w:r>
      <w:r>
        <w:t xml:space="preserve">затем скопируем, вырежем и вставим часть текста.(рис. 4).</w:t>
      </w:r>
    </w:p>
    <w:p>
      <w:pPr>
        <w:pStyle w:val="CaptionedFigure"/>
      </w:pPr>
      <w:r>
        <w:drawing>
          <wp:inline>
            <wp:extent cx="5334000" cy="1114471"/>
            <wp:effectExtent b="0" l="0" r="0" t="0"/>
            <wp:docPr descr="коипруем,вырезаем" title="" id="32" name="Picture"/>
            <a:graphic>
              <a:graphicData uri="http://schemas.openxmlformats.org/drawingml/2006/picture">
                <pic:pic>
                  <pic:nvPicPr>
                    <pic:cNvPr descr="image/4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144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коипруем,вырезаем</w:t>
      </w:r>
    </w:p>
    <w:p>
      <w:pPr>
        <w:pStyle w:val="BodyText"/>
      </w:pPr>
      <w:r>
        <w:t xml:space="preserve">Уберем изменения(рис. 5).</w:t>
      </w:r>
    </w:p>
    <w:p>
      <w:pPr>
        <w:pStyle w:val="CaptionedFigure"/>
      </w:pPr>
      <w:r>
        <w:drawing>
          <wp:inline>
            <wp:extent cx="5334000" cy="1114471"/>
            <wp:effectExtent b="0" l="0" r="0" t="0"/>
            <wp:docPr descr="убираем все" title="" id="35" name="Picture"/>
            <a:graphic>
              <a:graphicData uri="http://schemas.openxmlformats.org/drawingml/2006/picture">
                <pic:pic>
                  <pic:nvPicPr>
                    <pic:cNvPr descr="image/5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144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убираем все</w:t>
      </w:r>
    </w:p>
    <w:p>
      <w:pPr>
        <w:pStyle w:val="BodyText"/>
      </w:pPr>
      <w:r>
        <w:t xml:space="preserve">Откроем список буферов(рис. 6).</w:t>
      </w:r>
    </w:p>
    <w:p>
      <w:pPr>
        <w:pStyle w:val="CaptionedFigure"/>
      </w:pPr>
      <w:r>
        <w:drawing>
          <wp:inline>
            <wp:extent cx="5334000" cy="1114471"/>
            <wp:effectExtent b="0" l="0" r="0" t="0"/>
            <wp:docPr descr="откроем список буферов" title="" id="38" name="Picture"/>
            <a:graphic>
              <a:graphicData uri="http://schemas.openxmlformats.org/drawingml/2006/picture">
                <pic:pic>
                  <pic:nvPicPr>
                    <pic:cNvPr descr="image/6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144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откроем список буферов</w:t>
      </w:r>
    </w:p>
    <w:p>
      <w:pPr>
        <w:pStyle w:val="BodyText"/>
      </w:pPr>
      <w:r>
        <w:t xml:space="preserve">Воспользуемся поиском(рис. 7).</w:t>
      </w:r>
    </w:p>
    <w:p>
      <w:pPr>
        <w:pStyle w:val="CaptionedFigure"/>
      </w:pPr>
      <w:r>
        <w:drawing>
          <wp:inline>
            <wp:extent cx="5334000" cy="1114471"/>
            <wp:effectExtent b="0" l="0" r="0" t="0"/>
            <wp:docPr descr="используем поиск" title="" id="41" name="Picture"/>
            <a:graphic>
              <a:graphicData uri="http://schemas.openxmlformats.org/drawingml/2006/picture">
                <pic:pic>
                  <pic:nvPicPr>
                    <pic:cNvPr descr="image/7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144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используем поиск</w:t>
      </w:r>
    </w:p>
    <w:bookmarkEnd w:id="43"/>
    <w:bookmarkStart w:id="44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результате выполнения лабораторной работы нами были получены навыки работы с текстовым редактором emacs</w:t>
      </w:r>
    </w:p>
    <w:bookmarkEnd w:id="44"/>
    <w:bookmarkStart w:id="46" w:name="список-литературы"/>
    <w:p>
      <w:pPr>
        <w:pStyle w:val="Heading1"/>
      </w:pPr>
      <w:r>
        <w:t xml:space="preserve">Список литературы</w:t>
      </w:r>
    </w:p>
    <w:bookmarkStart w:id="45" w:name="refs"/>
    <w:bookmarkEnd w:id="45"/>
    <w:bookmarkEnd w:id="4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40" Target="media/rId4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№11</dc:title>
  <dc:creator>Коровкин Никита Михайлович</dc:creator>
  <dc:language>ru-RU</dc:language>
  <cp:keywords/>
  <dcterms:created xsi:type="dcterms:W3CDTF">2025-04-24T14:41:12Z</dcterms:created>
  <dcterms:modified xsi:type="dcterms:W3CDTF">2025-04-24T14:41:12Z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PT Serif</vt:lpwstr>
  </property>
  <property fmtid="{D5CDD505-2E9C-101B-9397-08002B2CF9AE}" pid="59" name="mainfontoptions">
    <vt:lpwstr>Ligatures=TeX</vt:lpwstr>
  </property>
  <property fmtid="{D5CDD505-2E9C-101B-9397-08002B2CF9AE}" pid="60" name="monofont">
    <vt:lpwstr>PT Mono</vt:lpwstr>
  </property>
  <property fmtid="{D5CDD505-2E9C-101B-9397-08002B2CF9AE}" pid="61" name="monofontoptions">
    <vt:lpwstr>Scale=MatchLowercase,Scale=0.9</vt:lpwstr>
  </property>
  <property fmtid="{D5CDD505-2E9C-101B-9397-08002B2CF9AE}" pid="62" name="nameInLink">
    <vt:lpwstr>False</vt:lpwstr>
  </property>
  <property fmtid="{D5CDD505-2E9C-101B-9397-08002B2CF9AE}" pid="63" name="numberSections">
    <vt:lpwstr>False</vt:lpwstr>
  </property>
  <property fmtid="{D5CDD505-2E9C-101B-9397-08002B2CF9AE}" pid="64" name="pairDelim">
    <vt:lpwstr>, </vt:lpwstr>
  </property>
  <property fmtid="{D5CDD505-2E9C-101B-9397-08002B2CF9AE}" pid="65" name="papersize">
    <vt:lpwstr>a4</vt:lpwstr>
  </property>
  <property fmtid="{D5CDD505-2E9C-101B-9397-08002B2CF9AE}" pid="66" name="polyglossia-lang">
    <vt:lpwstr/>
  </property>
  <property fmtid="{D5CDD505-2E9C-101B-9397-08002B2CF9AE}" pid="67" name="polyglossia-otherlangs">
    <vt:lpwstr/>
  </property>
  <property fmtid="{D5CDD505-2E9C-101B-9397-08002B2CF9AE}" pid="68" name="rangeDelim">
    <vt:lpwstr>-</vt:lpwstr>
  </property>
  <property fmtid="{D5CDD505-2E9C-101B-9397-08002B2CF9AE}" pid="69" name="refDelim">
    <vt:lpwstr>, </vt:lpwstr>
  </property>
  <property fmtid="{D5CDD505-2E9C-101B-9397-08002B2CF9AE}" pid="70" name="refIndexTemplate">
    <vt:lpwstr>isuf</vt:lpwstr>
  </property>
  <property fmtid="{D5CDD505-2E9C-101B-9397-08002B2CF9AE}" pid="71" name="romanfont">
    <vt:lpwstr>PT Serif</vt:lpwstr>
  </property>
  <property fmtid="{D5CDD505-2E9C-101B-9397-08002B2CF9AE}" pid="72" name="romanfontoptions">
    <vt:lpwstr>Ligatures=TeX</vt:lpwstr>
  </property>
  <property fmtid="{D5CDD505-2E9C-101B-9397-08002B2CF9AE}" pid="73" name="sansfont">
    <vt:lpwstr>PT Sans</vt:lpwstr>
  </property>
  <property fmtid="{D5CDD505-2E9C-101B-9397-08002B2CF9AE}" pid="74" name="sansfontoptions">
    <vt:lpwstr>Ligatures=TeX,Scale=MatchLowercase</vt:lpwstr>
  </property>
  <property fmtid="{D5CDD505-2E9C-101B-9397-08002B2CF9AE}" pid="75" name="secHeaderDelim">
    <vt:lpwstr> </vt:lpwstr>
  </property>
  <property fmtid="{D5CDD505-2E9C-101B-9397-08002B2CF9AE}" pid="76" name="secHeaderTemplate">
    <vt:lpwstr>isecHeaderDelim[n]t</vt:lpwstr>
  </property>
  <property fmtid="{D5CDD505-2E9C-101B-9397-08002B2CF9AE}" pid="77" name="secLabels">
    <vt:lpwstr>arabic</vt:lpwstr>
  </property>
  <property fmtid="{D5CDD505-2E9C-101B-9397-08002B2CF9AE}" pid="78" name="secPrefix">
    <vt:lpwstr/>
  </property>
  <property fmtid="{D5CDD505-2E9C-101B-9397-08002B2CF9AE}" pid="79" name="secPrefixTemplate">
    <vt:lpwstr>p i</vt:lpwstr>
  </property>
  <property fmtid="{D5CDD505-2E9C-101B-9397-08002B2CF9AE}" pid="80" name="sectionsDepth">
    <vt:lpwstr>0</vt:lpwstr>
  </property>
  <property fmtid="{D5CDD505-2E9C-101B-9397-08002B2CF9AE}" pid="81" name="subfigGrid">
    <vt:lpwstr>False</vt:lpwstr>
  </property>
  <property fmtid="{D5CDD505-2E9C-101B-9397-08002B2CF9AE}" pid="82" name="subfigLabels">
    <vt:lpwstr>alpha a</vt:lpwstr>
  </property>
  <property fmtid="{D5CDD505-2E9C-101B-9397-08002B2CF9AE}" pid="83" name="subfigureChildTemplate">
    <vt:lpwstr>i</vt:lpwstr>
  </property>
  <property fmtid="{D5CDD505-2E9C-101B-9397-08002B2CF9AE}" pid="84" name="subfigureRefIndexTemplate">
    <vt:lpwstr>isuf (s)</vt:lpwstr>
  </property>
  <property fmtid="{D5CDD505-2E9C-101B-9397-08002B2CF9AE}" pid="85" name="subfigureTemplate">
    <vt:lpwstr>figureTitle ititleDelim t. ccs</vt:lpwstr>
  </property>
  <property fmtid="{D5CDD505-2E9C-101B-9397-08002B2CF9AE}" pid="86" name="subtitle">
    <vt:lpwstr>Отчет</vt:lpwstr>
  </property>
  <property fmtid="{D5CDD505-2E9C-101B-9397-08002B2CF9AE}" pid="87" name="tableEqns">
    <vt:lpwstr>False</vt:lpwstr>
  </property>
  <property fmtid="{D5CDD505-2E9C-101B-9397-08002B2CF9AE}" pid="88" name="tableTemplate">
    <vt:lpwstr>tableTitle ititleDelim t</vt:lpwstr>
  </property>
  <property fmtid="{D5CDD505-2E9C-101B-9397-08002B2CF9AE}" pid="89" name="tableTitle">
    <vt:lpwstr>Таблица</vt:lpwstr>
  </property>
  <property fmtid="{D5CDD505-2E9C-101B-9397-08002B2CF9AE}" pid="90" name="tblLabels">
    <vt:lpwstr>arabic</vt:lpwstr>
  </property>
  <property fmtid="{D5CDD505-2E9C-101B-9397-08002B2CF9AE}" pid="91" name="tblPrefix">
    <vt:lpwstr/>
  </property>
  <property fmtid="{D5CDD505-2E9C-101B-9397-08002B2CF9AE}" pid="92" name="tblPrefixTemplate">
    <vt:lpwstr>p i</vt:lpwstr>
  </property>
  <property fmtid="{D5CDD505-2E9C-101B-9397-08002B2CF9AE}" pid="93" name="titleDelim">
    <vt:lpwstr>:</vt:lpwstr>
  </property>
  <property fmtid="{D5CDD505-2E9C-101B-9397-08002B2CF9AE}" pid="94" name="toc">
    <vt:lpwstr>True</vt:lpwstr>
  </property>
  <property fmtid="{D5CDD505-2E9C-101B-9397-08002B2CF9AE}" pid="95" name="toc-depth">
    <vt:lpwstr>2</vt:lpwstr>
  </property>
  <property fmtid="{D5CDD505-2E9C-101B-9397-08002B2CF9AE}" pid="96" name="toc-title">
    <vt:lpwstr>Содержание</vt:lpwstr>
  </property>
</Properties>
</file>