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пользователей, закрепление знаний о коллективном доступе в ОС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учетные записи пользователей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в группу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Отработать вход в систему под разными пользователями одновременно.</w:t>
      </w:r>
    </w:p>
    <w:p>
      <w:pPr>
        <w:numPr>
          <w:ilvl w:val="0"/>
          <w:numId w:val="1001"/>
        </w:numPr>
        <w:pStyle w:val="Compact"/>
      </w:pPr>
      <w:r>
        <w:t xml:space="preserve">Проанализировать членство в группах через команды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Изучить работу команды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Отработать изменение прав доступа для группы на домашнюю директорию и поддиректории.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Сначала, используя права администратора (root), создаем двух пользователей: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. Для каждого из них устанавливаем пароли, чтобы иметь возможность авторизоваться в системе под их учетными записями 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).</w:t>
      </w:r>
    </w:p>
    <w:p>
      <w:pPr>
        <w:pStyle w:val="CaptionedFigure"/>
      </w:pPr>
      <w:r>
        <w:drawing>
          <wp:inline>
            <wp:extent cx="3733800" cy="1294101"/>
            <wp:effectExtent b="0" l="0" r="0" t="0"/>
            <wp:docPr descr="Создание пользователей guest и guest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4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пользователей guest и guest2</w:t>
      </w:r>
    </w:p>
    <w:p>
      <w:pPr>
        <w:pStyle w:val="BodyText"/>
      </w:pPr>
      <w:r>
        <w:t xml:space="preserve">Для настройки коллективного доступа добавляем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в группу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 Это позволит нам в дальнейшем тестировать права доступа внутри одной группы 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).</w:t>
      </w:r>
    </w:p>
    <w:p>
      <w:pPr>
        <w:pStyle w:val="CaptionedFigure"/>
      </w:pPr>
      <w:r>
        <w:drawing>
          <wp:inline>
            <wp:extent cx="3733800" cy="779802"/>
            <wp:effectExtent b="0" l="0" r="0" t="0"/>
            <wp:docPr descr="Добавление guest2 в группу пользователя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guest2 в группу пользователя guest</w:t>
      </w:r>
    </w:p>
    <w:p>
      <w:pPr>
        <w:pStyle w:val="BodyText"/>
      </w:pPr>
      <w:r>
        <w:t xml:space="preserve">Открываем две консоли (или два окна терминала) и входим в систему под обоими пользователями одновременно. Проверяем текущее местоположение с помощью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— каждый пользователь оказывается в своей домашней директории 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).</w:t>
      </w:r>
    </w:p>
    <w:p>
      <w:pPr>
        <w:pStyle w:val="CaptionedFigure"/>
      </w:pPr>
      <w:r>
        <w:drawing>
          <wp:inline>
            <wp:extent cx="3733800" cy="1343846"/>
            <wp:effectExtent b="0" l="0" r="0" t="0"/>
            <wp:docPr descr="Одновременный вход под разными пользователям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Одновременный вход под разными пользователями</w:t>
      </w:r>
    </w:p>
    <w:p>
      <w:pPr>
        <w:pStyle w:val="BodyText"/>
      </w:pPr>
      <w:r>
        <w:t xml:space="preserve">Проводим сравнительный анализ команд для проверки групп. Используем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с различными флагами (</w:t>
      </w:r>
      <w:r>
        <w:rPr>
          <w:rStyle w:val="VerbatimChar"/>
        </w:rPr>
        <w:t xml:space="preserve">-Gn</w:t>
      </w:r>
      <w:r>
        <w:t xml:space="preserve">,</w:t>
      </w:r>
      <w:r>
        <w:t xml:space="preserve"> </w:t>
      </w:r>
      <w:r>
        <w:rPr>
          <w:rStyle w:val="VerbatimChar"/>
        </w:rPr>
        <w:t xml:space="preserve">-G</w:t>
      </w:r>
      <w:r>
        <w:t xml:space="preserve">). Убеждаемся, что для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в списке групп теперь значится и группа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).</w:t>
      </w:r>
    </w:p>
    <w:p>
      <w:pPr>
        <w:pStyle w:val="CaptionedFigure"/>
      </w:pPr>
      <w:r>
        <w:drawing>
          <wp:inline>
            <wp:extent cx="3733800" cy="1485801"/>
            <wp:effectExtent b="0" l="0" r="0" t="0"/>
            <wp:docPr descr="Анализ принадлежности к группам через id и groups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Анализ принадлежности к группам через id и groups</w:t>
      </w:r>
    </w:p>
    <w:p>
      <w:pPr>
        <w:pStyle w:val="BodyText"/>
      </w:pPr>
      <w:r>
        <w:t xml:space="preserve">Проверяем системный файл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 Находим в нем записи о созданных пользователях и убеждаемся, что изменения, внесенные через</w:t>
      </w:r>
      <w:r>
        <w:t xml:space="preserve"> </w:t>
      </w:r>
      <w:r>
        <w:rPr>
          <w:rStyle w:val="VerbatimChar"/>
        </w:rPr>
        <w:t xml:space="preserve">gpasswd</w:t>
      </w:r>
      <w:r>
        <w:t xml:space="preserve">, корректно отображаются в конфигурации системы 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).</w:t>
      </w:r>
    </w:p>
    <w:p>
      <w:pPr>
        <w:pStyle w:val="CaptionedFigure"/>
      </w:pPr>
      <w:r>
        <w:drawing>
          <wp:inline>
            <wp:extent cx="3733800" cy="578560"/>
            <wp:effectExtent b="0" l="0" r="0" t="0"/>
            <wp:docPr descr="Просмотр содержимого файла /etc/group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содержимого файла /etc/group</w:t>
      </w:r>
    </w:p>
    <w:p>
      <w:pPr>
        <w:pStyle w:val="BodyText"/>
      </w:pPr>
      <w:r>
        <w:t xml:space="preserve">От имени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выполняем команду</w:t>
      </w:r>
      <w:r>
        <w:t xml:space="preserve"> </w:t>
      </w:r>
      <w:r>
        <w:rPr>
          <w:rStyle w:val="VerbatimChar"/>
        </w:rPr>
        <w:t xml:space="preserve">newgrp guest</w:t>
      </w:r>
      <w:r>
        <w:t xml:space="preserve">. Эта команда позволяет временно сменить основную группу пользователя на указанную, что влияет на права создаваемых в этой сессии файлов 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).</w:t>
      </w:r>
    </w:p>
    <w:p>
      <w:pPr>
        <w:pStyle w:val="CaptionedFigure"/>
      </w:pPr>
      <w:r>
        <w:drawing>
          <wp:inline>
            <wp:extent cx="3733800" cy="1678112"/>
            <wp:effectExtent b="0" l="0" r="0" t="0"/>
            <wp:docPr descr="Использование команды newgrp для смены текущей группы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Использование команды newgrp для смены текущей группы</w:t>
      </w:r>
    </w:p>
    <w:p>
      <w:pPr>
        <w:pStyle w:val="BodyText"/>
      </w:pPr>
      <w:r>
        <w:t xml:space="preserve">Теперь 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расширяем права на его домашнюю директорию, разрешая группе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(в которой состоит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) чтение, запись и выполнение. Проверяем изменения командой</w:t>
      </w:r>
      <w:r>
        <w:t xml:space="preserve"> </w:t>
      </w:r>
      <w:r>
        <w:rPr>
          <w:rStyle w:val="VerbatimChar"/>
        </w:rPr>
        <w:t xml:space="preserve">ls -ld</w:t>
      </w:r>
      <w:r>
        <w:t xml:space="preserve"> </w:t>
      </w:r>
      <w:r>
        <w:t xml:space="preserve">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).</w:t>
      </w:r>
    </w:p>
    <w:p>
      <w:pPr>
        <w:pStyle w:val="CaptionedFigure"/>
      </w:pPr>
      <w:r>
        <w:drawing>
          <wp:inline>
            <wp:extent cx="3733800" cy="1051872"/>
            <wp:effectExtent b="0" l="0" r="0" t="0"/>
            <wp:docPr descr="Изменение прав доступа домашней директории для группы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прав доступа домашней директории для группы</w:t>
      </w:r>
    </w:p>
    <w:p>
      <w:pPr>
        <w:pStyle w:val="BodyText"/>
      </w:pPr>
      <w:r>
        <w:t xml:space="preserve">В завершение, от имени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создаем (если не была создана ранее) поддиректорию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и снимаем с нее абсолютно все атрибуты доступа. Это демонстрирует, как запрет на уровне владельца влияет на доступ даже для участников группы с расширенными правами 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).</w:t>
      </w:r>
    </w:p>
    <w:p>
      <w:pPr>
        <w:pStyle w:val="CaptionedFigure"/>
      </w:pPr>
      <w:r>
        <w:drawing>
          <wp:inline>
            <wp:extent cx="3733800" cy="682452"/>
            <wp:effectExtent b="0" l="0" r="0" t="0"/>
            <wp:docPr descr="Установка атрибутов 000 на поддиректорию dirl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2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 атрибутов 000 на поддиректорию dirl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изучены механизмы группового взаимодействия в ОС Linux. Мы научились управлять составом групп, переключаться между ними в рамках активной сессии и настраивать права доступа так, чтобы разрешать или ограничивать совместную работу пользователей над файлами в общих директориях.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Коровкин Никита Михайлович</dc:creator>
  <dc:language>ru-RU</dc:language>
  <cp:keywords/>
  <dcterms:created xsi:type="dcterms:W3CDTF">2026-03-15T13:03:19Z</dcterms:created>
  <dcterms:modified xsi:type="dcterms:W3CDTF">2026-03-15T13:03:19Z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