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методы кодирования и модуляции сигналов с помощью высокоуровневого языка программирования Octave, определить спектр и параметры сигналов, продемонстрировать принцип аналоговой амплитудной модуляции и исследовать свойство самосинхронизации различных способов кодирования.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В ходе выполнения лабораторной работы необходимо:</w:t>
      </w:r>
    </w:p>
    <w:p>
      <w:pPr>
        <w:pStyle w:val="BodyText"/>
      </w:pPr>
      <w:r>
        <w:t xml:space="preserve">построить график функции y = sin(x) + 1/3 sin(3x) + 1/5 sin(5x) на интервале [-10; 10];</w:t>
      </w:r>
    </w:p>
    <w:p>
      <w:pPr>
        <w:pStyle w:val="BodyText"/>
      </w:pPr>
      <w:r>
        <w:t xml:space="preserve">добавить на один график функцию y = cos(x) + 1/3 cos(3x) + 1/5 cos(5x);</w:t>
      </w:r>
    </w:p>
    <w:p>
      <w:pPr>
        <w:pStyle w:val="BodyText"/>
      </w:pPr>
      <w:r>
        <w:t xml:space="preserve">получить графики меандра при различном количестве гармоник и повторить построение через синусы;</w:t>
      </w:r>
    </w:p>
    <w:p>
      <w:pPr>
        <w:pStyle w:val="BodyText"/>
      </w:pPr>
      <w:r>
        <w:t xml:space="preserve">определить спектры двух синусоидальных сигналов с частотами 10 и 40 Гц;</w:t>
      </w:r>
    </w:p>
    <w:p>
      <w:pPr>
        <w:pStyle w:val="BodyText"/>
      </w:pPr>
      <w:r>
        <w:t xml:space="preserve">скорректировать спектры с учётом отрицательных частот и нормировки;</w:t>
      </w:r>
    </w:p>
    <w:p>
      <w:pPr>
        <w:pStyle w:val="BodyText"/>
      </w:pPr>
      <w:r>
        <w:t xml:space="preserve">определить спектр суммы двух сигналов;</w:t>
      </w:r>
    </w:p>
    <w:p>
      <w:pPr>
        <w:pStyle w:val="BodyText"/>
      </w:pPr>
      <w:r>
        <w:t xml:space="preserve">выполнить моделирование аналоговой амплитудной модуляции;</w:t>
      </w:r>
    </w:p>
    <w:p>
      <w:pPr>
        <w:pStyle w:val="BodyText"/>
      </w:pPr>
      <w:r>
        <w:t xml:space="preserve">реализовать униполярное, AMI, NRZ, RZ, манчестерское и дифференциальное манчестерское кодирование;</w:t>
      </w:r>
    </w:p>
    <w:p>
      <w:pPr>
        <w:pStyle w:val="BodyText"/>
      </w:pPr>
      <w:r>
        <w:t xml:space="preserve">исследовать свойство самосинхронизации кодов;</w:t>
      </w:r>
    </w:p>
    <w:p>
      <w:pPr>
        <w:pStyle w:val="BodyText"/>
      </w:pPr>
      <w:r>
        <w:t xml:space="preserve">построить спектры полученных кодированных сигналов.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Построение графика синусоидальной функции</w:t>
      </w:r>
      <w:r>
        <w:t xml:space="preserve"> </w:t>
      </w:r>
      <w:r>
        <w:t xml:space="preserve">В первом задании был создан сценарий plot_sin.m. В нём сформирован массив значений x от -10 до 10 с шагом 0.1, после чего вычислена функция:</w:t>
      </w:r>
    </w:p>
    <w:p>
      <w:pPr>
        <w:pStyle w:val="BodyText"/>
      </w:pPr>
      <w:r>
        <w:t xml:space="preserve">y = sin(x) + 1/3 sin(3x) + 1/5 sin(5x)(рис.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).</w:t>
      </w:r>
    </w:p>
    <w:p>
      <w:pPr>
        <w:pStyle w:val="CaptionedFigure"/>
      </w:pPr>
      <w:r>
        <w:drawing>
          <wp:inline>
            <wp:extent cx="3733800" cy="1115936"/>
            <wp:effectExtent b="0" l="0" r="0" t="0"/>
            <wp:docPr descr="График 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5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1</w:t>
      </w:r>
    </w:p>
    <w:p>
      <w:pPr>
        <w:pStyle w:val="BodyText"/>
      </w:pPr>
      <w:r>
        <w:t xml:space="preserve">Построение синусоидальной и косинусоидальной функций</w:t>
      </w:r>
      <w:r>
        <w:t xml:space="preserve"> </w:t>
      </w:r>
      <w:r>
        <w:t xml:space="preserve">Следующим этапом к исходному графику была добавлена функция:</w:t>
      </w:r>
    </w:p>
    <w:p>
      <w:pPr>
        <w:pStyle w:val="BodyText"/>
      </w:pPr>
      <w:r>
        <w:t xml:space="preserve">y2 = cos(x) + 1/3 cos(3x) + 1/5 cos(5x)</w:t>
      </w:r>
      <w:r>
        <w:t xml:space="preserve"> </w:t>
      </w:r>
      <w:r>
        <w:t xml:space="preserve">Обе функции были построены в одной системе координат с использованием hold on.(рис.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).</w:t>
      </w:r>
    </w:p>
    <w:p>
      <w:pPr>
        <w:pStyle w:val="CaptionedFigure"/>
      </w:pPr>
      <w:r>
        <w:drawing>
          <wp:inline>
            <wp:extent cx="3733800" cy="1841768"/>
            <wp:effectExtent b="0" l="0" r="0" t="0"/>
            <wp:docPr descr="График 2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1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2</w:t>
      </w:r>
    </w:p>
    <w:p>
      <w:pPr>
        <w:pStyle w:val="BodyText"/>
      </w:pPr>
      <w:r>
        <w:t xml:space="preserve">Разложение меандра в частичный ряд Фурье</w:t>
      </w:r>
      <w:r>
        <w:t xml:space="preserve"> </w:t>
      </w:r>
      <w:r>
        <w:t xml:space="preserve">Для исследования разложения импульсного сигнала был создан файл meandr.m. В качестве количества гармоник было выбрано N = 8, амплитуда A = 1, период T = 1.(рис.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).</w:t>
      </w:r>
    </w:p>
    <w:p>
      <w:pPr>
        <w:pStyle w:val="CaptionedFigure"/>
      </w:pPr>
      <w:r>
        <w:drawing>
          <wp:inline>
            <wp:extent cx="3733800" cy="1951438"/>
            <wp:effectExtent b="0" l="0" r="0" t="0"/>
            <wp:docPr descr="График 3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1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3</w:t>
      </w:r>
    </w:p>
    <w:p>
      <w:pPr>
        <w:pStyle w:val="BodyText"/>
      </w:pPr>
      <w:r>
        <w:t xml:space="preserve">Определение спектров двух синусоидальных сигналов</w:t>
      </w:r>
      <w:r>
        <w:t xml:space="preserve"> </w:t>
      </w:r>
      <w:r>
        <w:t xml:space="preserve">Для исследования спектра были созданы два сигнала:</w:t>
      </w:r>
    </w:p>
    <w:p>
      <w:pPr>
        <w:pStyle w:val="BodyText"/>
      </w:pPr>
      <w:r>
        <w:t xml:space="preserve">частота первого сигнала f1 = 10 Гц, амплитуда a1 = 1;</w:t>
      </w:r>
    </w:p>
    <w:p>
      <w:pPr>
        <w:pStyle w:val="BodyText"/>
      </w:pPr>
      <w:r>
        <w:t xml:space="preserve">частота второго сигнала f2 = 40 Гц, амплитуда a2 = 0.7;</w:t>
      </w:r>
    </w:p>
    <w:p>
      <w:pPr>
        <w:pStyle w:val="BodyText"/>
      </w:pPr>
      <w:r>
        <w:t xml:space="preserve">частота дискретизации fd = 512 Гц;</w:t>
      </w:r>
    </w:p>
    <w:p>
      <w:pPr>
        <w:pStyle w:val="BodyText"/>
      </w:pPr>
      <w:r>
        <w:t xml:space="preserve">длительность сигнала tmax = 0.5 с.</w:t>
      </w:r>
    </w:p>
    <w:p>
      <w:pPr>
        <w:pStyle w:val="BodyText"/>
      </w:pPr>
      <w:r>
        <w:t xml:space="preserve">Сигналы задавались выражениями:</w:t>
      </w:r>
    </w:p>
    <w:p>
      <w:pPr>
        <w:pStyle w:val="BodyText"/>
      </w:pPr>
      <w:r>
        <w:t xml:space="preserve">signal1 = a1</w:t>
      </w:r>
      <w:r>
        <w:rPr>
          <w:iCs/>
          <w:i/>
        </w:rPr>
        <w:t xml:space="preserve">sin(2</w:t>
      </w:r>
      <w:r>
        <w:t xml:space="preserve">pi</w:t>
      </w:r>
      <w:r>
        <w:rPr>
          <w:iCs/>
          <w:i/>
        </w:rPr>
        <w:t xml:space="preserve">t</w:t>
      </w:r>
      <w:r>
        <w:t xml:space="preserve">f1);</w:t>
      </w:r>
      <w:r>
        <w:t xml:space="preserve"> </w:t>
      </w:r>
      <w:r>
        <w:t xml:space="preserve">signal2 = a2</w:t>
      </w:r>
      <w:r>
        <w:rPr>
          <w:iCs/>
          <w:i/>
        </w:rPr>
        <w:t xml:space="preserve">sin(2</w:t>
      </w:r>
      <w:r>
        <w:t xml:space="preserve">pi</w:t>
      </w:r>
      <w:r>
        <w:rPr>
          <w:iCs/>
          <w:i/>
        </w:rPr>
        <w:t xml:space="preserve">t</w:t>
      </w:r>
      <w:r>
        <w:t xml:space="preserve">f2);</w:t>
      </w:r>
      <w:r>
        <w:t xml:space="preserve"> </w:t>
      </w:r>
      <w:r>
        <w:t xml:space="preserve">Сначала были построены временные графики двух сигналов.(рис.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).</w:t>
      </w:r>
    </w:p>
    <w:p>
      <w:pPr>
        <w:pStyle w:val="CaptionedFigure"/>
      </w:pPr>
      <w:r>
        <w:drawing>
          <wp:inline>
            <wp:extent cx="3733800" cy="1233420"/>
            <wp:effectExtent b="0" l="0" r="0" t="0"/>
            <wp:docPr descr="График 4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3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4</w:t>
      </w:r>
    </w:p>
    <w:p>
      <w:pPr>
        <w:pStyle w:val="BodyText"/>
      </w:pPr>
      <w:r>
        <w:t xml:space="preserve">По заданным битовым последовательностям я получил кодированные сигналы для нескольких кодов(рис.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).</w:t>
      </w:r>
    </w:p>
    <w:p>
      <w:pPr>
        <w:pStyle w:val="CaptionedFigure"/>
      </w:pPr>
      <w:r>
        <w:drawing>
          <wp:inline>
            <wp:extent cx="3733800" cy="737665"/>
            <wp:effectExtent b="0" l="0" r="0" t="0"/>
            <wp:docPr descr="График 5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37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5</w:t>
      </w:r>
    </w:p>
    <w:p>
      <w:pPr>
        <w:pStyle w:val="BodyText"/>
      </w:pPr>
      <w:r>
        <w:t xml:space="preserve">Следующие графики(рис.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).</w:t>
      </w:r>
    </w:p>
    <w:p>
      <w:pPr>
        <w:pStyle w:val="CaptionedFigure"/>
      </w:pPr>
      <w:r>
        <w:drawing>
          <wp:inline>
            <wp:extent cx="3733800" cy="1402915"/>
            <wp:effectExtent b="0" l="0" r="0" t="0"/>
            <wp:docPr descr="График 6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2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6</w:t>
      </w:r>
    </w:p>
    <w:p>
      <w:r>
        <w:pict>
          <v:rect style="width:0;height:1.5pt" o:hralign="center" o:hrstd="t" o:hr="t"/>
        </w:pic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основные методы представления, кодирования и модуляции сигналов в GNU Octave.</w:t>
      </w:r>
    </w:p>
    <w:bookmarkEnd w:id="41"/>
    <w:bookmarkStart w:id="43" w:name="список-литературы"/>
    <w:p>
      <w:pPr>
        <w:pStyle w:val="Heading1"/>
      </w:pPr>
      <w:r>
        <w:t xml:space="preserve">Список литературы</w:t>
      </w:r>
    </w:p>
    <w:bookmarkStart w:id="42" w:name="refs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Коровкин Никита Михайлович</dc:creator>
  <dc:language>ru-RU</dc:language>
  <cp:keywords/>
  <dcterms:created xsi:type="dcterms:W3CDTF">2026-09-10T16:41:39Z</dcterms:created>
  <dcterms:modified xsi:type="dcterms:W3CDTF">2026-09-10T16:41:39Z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