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4D18" w14:textId="3F6AF34D" w:rsidR="00B72937" w:rsidRDefault="00D67B18" w:rsidP="00D67B18">
      <w:pPr>
        <w:jc w:val="center"/>
      </w:pPr>
      <w:r>
        <w:t>ISIAN SINGKAT</w:t>
      </w:r>
    </w:p>
    <w:p w14:paraId="5F2993A8" w14:textId="2B153264" w:rsidR="00BA27A9" w:rsidRDefault="00BA27A9" w:rsidP="00D67B18">
      <w:pPr>
        <w:jc w:val="center"/>
      </w:pPr>
      <w:r>
        <w:t>ESSAY</w:t>
      </w:r>
    </w:p>
    <w:p w14:paraId="1F39BCCF" w14:textId="77777777" w:rsidR="00D67B18" w:rsidRDefault="00D67B18" w:rsidP="00D67B18">
      <w:pPr>
        <w:pStyle w:val="DaftarParagraf"/>
        <w:numPr>
          <w:ilvl w:val="0"/>
          <w:numId w:val="1"/>
        </w:numPr>
      </w:pPr>
      <w:r>
        <w:t>Antara lain</w:t>
      </w:r>
    </w:p>
    <w:p w14:paraId="6F4CD7FA" w14:textId="08492987" w:rsidR="00D67B18" w:rsidRDefault="00D67B18" w:rsidP="00D67B18">
      <w:pPr>
        <w:pStyle w:val="DaftarParagraf"/>
        <w:numPr>
          <w:ilvl w:val="0"/>
          <w:numId w:val="2"/>
        </w:numPr>
      </w:pPr>
      <w:r>
        <w:t xml:space="preserve">Asas </w:t>
      </w:r>
      <w:proofErr w:type="spellStart"/>
      <w:r>
        <w:t>ius</w:t>
      </w:r>
      <w:proofErr w:type="spellEnd"/>
      <w:r>
        <w:t xml:space="preserve"> sanguinis </w:t>
      </w:r>
      <w:proofErr w:type="spellStart"/>
      <w:r>
        <w:t>atau</w:t>
      </w:r>
      <w:proofErr w:type="spellEnd"/>
      <w:r>
        <w:t xml:space="preserve"> (law of the blood)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negara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kewargangeraan</w:t>
      </w:r>
      <w:proofErr w:type="spellEnd"/>
      <w:r>
        <w:t xml:space="preserve"> orang </w:t>
      </w:r>
      <w:proofErr w:type="spellStart"/>
      <w:r>
        <w:t>tuanya.</w:t>
      </w:r>
      <w:proofErr w:type="spellEnd"/>
    </w:p>
    <w:p w14:paraId="51093010" w14:textId="49B00E62" w:rsidR="00D67B18" w:rsidRDefault="00D67B18" w:rsidP="00D67B18">
      <w:pPr>
        <w:pStyle w:val="DaftarParagraf"/>
        <w:numPr>
          <w:ilvl w:val="0"/>
          <w:numId w:val="2"/>
        </w:numPr>
      </w:pPr>
      <w:r>
        <w:t xml:space="preserve">Asas </w:t>
      </w:r>
      <w:proofErr w:type="spellStart"/>
      <w:r>
        <w:t>ius</w:t>
      </w:r>
      <w:proofErr w:type="spellEnd"/>
      <w:r>
        <w:t xml:space="preserve"> soli </w:t>
      </w:r>
      <w:proofErr w:type="spellStart"/>
      <w:r>
        <w:t>atau</w:t>
      </w:r>
      <w:proofErr w:type="spellEnd"/>
      <w:r>
        <w:t xml:space="preserve"> (law of the soil)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. Di Indonesia,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peraturannya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undang-undang.</w:t>
      </w:r>
      <w:proofErr w:type="spellEnd"/>
    </w:p>
    <w:p w14:paraId="0C51C6BB" w14:textId="77777777" w:rsidR="00D67B18" w:rsidRDefault="00D67B18" w:rsidP="00D67B18">
      <w:pPr>
        <w:pStyle w:val="DaftarParagraf"/>
        <w:numPr>
          <w:ilvl w:val="0"/>
          <w:numId w:val="2"/>
        </w:numPr>
      </w:pPr>
      <w:r>
        <w:t xml:space="preserve">Asas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orang.</w:t>
      </w:r>
    </w:p>
    <w:p w14:paraId="04BB753E" w14:textId="622DDC15" w:rsidR="00BA27A9" w:rsidRDefault="00D67B18" w:rsidP="00BA27A9">
      <w:pPr>
        <w:pStyle w:val="DaftarParagraf"/>
        <w:numPr>
          <w:ilvl w:val="0"/>
          <w:numId w:val="2"/>
        </w:numPr>
      </w:pPr>
      <w:r>
        <w:t xml:space="preserve">Asas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ketentuannya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>.</w:t>
      </w:r>
    </w:p>
    <w:p w14:paraId="509B52F4" w14:textId="77777777" w:rsidR="00BA27A9" w:rsidRDefault="00BA27A9" w:rsidP="00BA27A9">
      <w:pPr>
        <w:pStyle w:val="DaftarParagraf"/>
        <w:numPr>
          <w:ilvl w:val="0"/>
          <w:numId w:val="1"/>
        </w:numPr>
      </w:pPr>
      <w:proofErr w:type="spellStart"/>
      <w:r>
        <w:t>Diantaranya</w:t>
      </w:r>
      <w:proofErr w:type="spellEnd"/>
      <w:r>
        <w:t xml:space="preserve">: </w:t>
      </w:r>
    </w:p>
    <w:p w14:paraId="6C70A02F" w14:textId="6F36DB0A" w:rsidR="00BA27A9" w:rsidRDefault="00BA27A9" w:rsidP="00BA27A9">
      <w:pPr>
        <w:pStyle w:val="DaftarParagraf"/>
        <w:numPr>
          <w:ilvl w:val="0"/>
          <w:numId w:val="2"/>
        </w:numPr>
      </w:pPr>
      <w:r>
        <w:t xml:space="preserve">Indonesia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PBB</w:t>
      </w:r>
    </w:p>
    <w:p w14:paraId="37BE2462" w14:textId="7C89E057" w:rsidR="00BA27A9" w:rsidRDefault="00BA27A9" w:rsidP="00BA27A9">
      <w:pPr>
        <w:pStyle w:val="DaftarParagraf"/>
        <w:numPr>
          <w:ilvl w:val="0"/>
          <w:numId w:val="2"/>
        </w:numPr>
      </w:pPr>
      <w:proofErr w:type="spellStart"/>
      <w:r>
        <w:t>Memprakarsai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Afrika</w:t>
      </w:r>
    </w:p>
    <w:p w14:paraId="1486A071" w14:textId="022BC798" w:rsidR="00BA27A9" w:rsidRDefault="00BA27A9" w:rsidP="00BA27A9">
      <w:pPr>
        <w:pStyle w:val="DaftarParagraf"/>
        <w:numPr>
          <w:ilvl w:val="0"/>
          <w:numId w:val="2"/>
        </w:numPr>
      </w:pPr>
      <w:proofErr w:type="spellStart"/>
      <w:r>
        <w:t>Memprakarsai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ASEAN</w:t>
      </w:r>
    </w:p>
    <w:p w14:paraId="0BC5C48E" w14:textId="4B5BE72C" w:rsidR="00BA27A9" w:rsidRDefault="00BA27A9" w:rsidP="00BA27A9">
      <w:pPr>
        <w:pStyle w:val="DaftarParagraf"/>
        <w:numPr>
          <w:ilvl w:val="0"/>
          <w:numId w:val="2"/>
        </w:numPr>
      </w:pP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gerkan</w:t>
      </w:r>
      <w:proofErr w:type="spellEnd"/>
      <w:r>
        <w:t xml:space="preserve"> non </w:t>
      </w:r>
      <w:proofErr w:type="spellStart"/>
      <w:r>
        <w:t>blok</w:t>
      </w:r>
      <w:proofErr w:type="spellEnd"/>
    </w:p>
    <w:p w14:paraId="3D122339" w14:textId="18E06664" w:rsidR="00BA27A9" w:rsidRDefault="00BA27A9" w:rsidP="00BA27A9">
      <w:pPr>
        <w:pStyle w:val="DaftarParagraf"/>
        <w:numPr>
          <w:ilvl w:val="0"/>
          <w:numId w:val="2"/>
        </w:numPr>
      </w:pPr>
      <w:proofErr w:type="spellStart"/>
      <w:r>
        <w:t>Ikut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dewan </w:t>
      </w:r>
      <w:proofErr w:type="spellStart"/>
      <w:r>
        <w:t>keamanan</w:t>
      </w:r>
      <w:proofErr w:type="spellEnd"/>
      <w:r>
        <w:t xml:space="preserve"> PBB</w:t>
      </w:r>
    </w:p>
    <w:p w14:paraId="7BDE1EEA" w14:textId="09C580E1" w:rsidR="00BA27A9" w:rsidRDefault="00BA27A9" w:rsidP="00BA27A9">
      <w:pPr>
        <w:pStyle w:val="DaftarParagraf"/>
        <w:numPr>
          <w:ilvl w:val="0"/>
          <w:numId w:val="2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diplomatik</w:t>
      </w:r>
      <w:proofErr w:type="spellEnd"/>
      <w:r>
        <w:t xml:space="preserve"> dan </w:t>
      </w:r>
      <w:proofErr w:type="spellStart"/>
      <w:r>
        <w:t>konsuller</w:t>
      </w:r>
      <w:proofErr w:type="spellEnd"/>
    </w:p>
    <w:p w14:paraId="6583C8C6" w14:textId="77777777" w:rsidR="00BA27A9" w:rsidRDefault="00BA27A9" w:rsidP="00BA27A9">
      <w:pPr>
        <w:pStyle w:val="DaftarParagraf"/>
      </w:pPr>
    </w:p>
    <w:sectPr w:rsidR="00BA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FC7"/>
    <w:multiLevelType w:val="hybridMultilevel"/>
    <w:tmpl w:val="2548844C"/>
    <w:lvl w:ilvl="0" w:tplc="068ED6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057AD0"/>
    <w:multiLevelType w:val="hybridMultilevel"/>
    <w:tmpl w:val="422A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72676">
    <w:abstractNumId w:val="1"/>
  </w:num>
  <w:num w:numId="2" w16cid:durableId="160099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B18"/>
    <w:rsid w:val="0052767D"/>
    <w:rsid w:val="00A92632"/>
    <w:rsid w:val="00B72937"/>
    <w:rsid w:val="00BA27A9"/>
    <w:rsid w:val="00BD7629"/>
    <w:rsid w:val="00D6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48FC"/>
  <w15:chartTrackingRefBased/>
  <w15:docId w15:val="{59CDF434-526D-4849-BFC6-8BA8D652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2024-03-21T16:22:00Z</dcterms:created>
  <dcterms:modified xsi:type="dcterms:W3CDTF">2024-03-21T16:26:00Z</dcterms:modified>
</cp:coreProperties>
</file>