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977"/>
        </w:tabs>
        <w:spacing w:after="200" w:line="240" w:lineRule="auto"/>
        <w:jc w:val="center"/>
        <w:rPr>
          <w:rFonts w:ascii="Times New Roman" w:cs="Times New Roman" w:eastAsia="Times New Roman" w:hAnsi="Times New Roman"/>
          <w:b w:val="1"/>
          <w:bCs w:val="1"/>
          <w:color w:val="5b9bd5"/>
          <w:sz w:val="28"/>
          <w:szCs w:val="28"/>
        </w:rPr>
      </w:pPr>
      <w:r w:rsidDel="00000000" w:rsidR="00000000" w:rsidRPr="00000000">
        <w:rPr>
          <w:rFonts w:ascii="Times New Roman" w:cs="Times New Roman" w:eastAsia="Times New Roman" w:hAnsi="Times New Roman"/>
          <w:b w:val="1"/>
          <w:bCs w:val="1"/>
          <w:sz w:val="28"/>
          <w:szCs w:val="28"/>
          <w:rtl w:val="0"/>
        </w:rPr>
        <w:t xml:space="preserve">Classification of Heart Disease Risk Level using Decision Tree C4.5 and K-Nearest Neighbor Algorithms Based on Medical Records Data</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Pancar Wahyu Setiabi</w:t>
      </w:r>
      <w:r w:rsidDel="00000000" w:rsidR="00000000" w:rsidRPr="00000000">
        <w:rPr>
          <w:rFonts w:ascii="Times New Roman" w:cs="Times New Roman" w:eastAsia="Times New Roman" w:hAnsi="Times New Roman"/>
          <w:b w:val="1"/>
          <w:bCs w:val="1"/>
          <w:color w:val="000000"/>
          <w:vertAlign w:val="superscript"/>
          <w:rtl w:val="0"/>
        </w:rPr>
        <w:t xml:space="preserve">1</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rtl w:val="0"/>
        </w:rPr>
        <w:t xml:space="preserve">Satria Megantara Wildan Irchamy</w:t>
      </w:r>
      <w:r w:rsidDel="00000000" w:rsidR="00000000" w:rsidRPr="00000000">
        <w:rPr>
          <w:rFonts w:ascii="Times New Roman" w:cs="Times New Roman" w:eastAsia="Times New Roman" w:hAnsi="Times New Roman"/>
          <w:b w:val="1"/>
          <w:bCs w:val="1"/>
          <w:color w:val="000000"/>
          <w:vertAlign w:val="superscript"/>
          <w:rtl w:val="0"/>
        </w:rPr>
        <w:t xml:space="preserve">2</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color w:val="000000"/>
          <w:vertAlign w:val="superscript"/>
          <w:rtl w:val="0"/>
        </w:rPr>
        <w:t xml:space="preserve">1, </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Informatics Department, Universitas Jenderal Soedirman, Indonesia</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Email: </w:t>
      </w:r>
      <w:r w:rsidDel="00000000" w:rsidR="00000000" w:rsidRPr="00000000">
        <w:rPr>
          <w:rFonts w:ascii="Times New Roman" w:cs="Times New Roman" w:eastAsia="Times New Roman" w:hAnsi="Times New Roman"/>
          <w:color w:val="000000"/>
          <w:vertAlign w:val="superscript"/>
          <w:rtl w:val="0"/>
        </w:rPr>
        <w:t xml:space="preserve">1</w:t>
      </w:r>
      <w:r w:rsidDel="00000000" w:rsidR="00000000" w:rsidRPr="00000000">
        <w:rPr>
          <w:rFonts w:ascii="Times New Roman" w:cs="Times New Roman" w:eastAsia="Times New Roman" w:hAnsi="Times New Roman"/>
          <w:rtl w:val="0"/>
        </w:rPr>
        <w:t xml:space="preserve">pancar.setiabi</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mhs.unsoed</w:t>
      </w:r>
      <w:r w:rsidDel="00000000" w:rsidR="00000000" w:rsidRPr="00000000">
        <w:rPr>
          <w:rFonts w:ascii="Times New Roman" w:cs="Times New Roman" w:eastAsia="Times New Roman" w:hAnsi="Times New Roman"/>
          <w:color w:val="000000"/>
          <w:rtl w:val="0"/>
        </w:rPr>
        <w:t xml:space="preserve">.ac.id</w:t>
      </w:r>
    </w:p>
    <w:p w:rsidR="00000000" w:rsidDel="00000000" w:rsidP="00000000" w:rsidRDefault="00000000" w:rsidRPr="00000000" w14:paraId="00000006">
      <w:pPr>
        <w:spacing w:after="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satria.irchamy@mhs.unsoed.ac.id</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Received : Jun </w:t>
      </w:r>
      <w:r w:rsidDel="00000000" w:rsidR="00000000" w:rsidRPr="00000000">
        <w:rPr>
          <w:rFonts w:ascii="Times New Roman" w:cs="Times New Roman" w:eastAsia="Times New Roman" w:hAnsi="Times New Roman"/>
          <w:rtl w:val="0"/>
        </w:rPr>
        <w:t xml:space="preserve">24</w:t>
      </w:r>
      <w:r w:rsidDel="00000000" w:rsidR="00000000" w:rsidRPr="00000000">
        <w:rPr>
          <w:rFonts w:ascii="Times New Roman" w:cs="Times New Roman" w:eastAsia="Times New Roman" w:hAnsi="Times New Roman"/>
          <w:color w:val="000000"/>
          <w:rtl w:val="0"/>
        </w:rPr>
        <w:t xml:space="preserve">, 202</w:t>
      </w: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color w:val="000000"/>
          <w:rtl w:val="0"/>
        </w:rPr>
        <w:t xml:space="preserve">; Revised : </w:t>
      </w:r>
      <w:r w:rsidDel="00000000" w:rsidR="00000000" w:rsidRPr="00000000">
        <w:rPr>
          <w:rFonts w:ascii="Times New Roman" w:cs="Times New Roman" w:eastAsia="Times New Roman" w:hAnsi="Times New Roman"/>
          <w:rtl w:val="0"/>
        </w:rPr>
        <w:t xml:space="preserve">Jun 23</w:t>
      </w:r>
      <w:r w:rsidDel="00000000" w:rsidR="00000000" w:rsidRPr="00000000">
        <w:rPr>
          <w:rFonts w:ascii="Times New Roman" w:cs="Times New Roman" w:eastAsia="Times New Roman" w:hAnsi="Times New Roman"/>
          <w:color w:val="000000"/>
          <w:rtl w:val="0"/>
        </w:rPr>
        <w:t xml:space="preserve">, 202</w:t>
      </w: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color w:val="000000"/>
          <w:rtl w:val="0"/>
        </w:rPr>
        <w:t xml:space="preserve">; Accepted : </w:t>
      </w:r>
      <w:r w:rsidDel="00000000" w:rsidR="00000000" w:rsidRPr="00000000">
        <w:rPr>
          <w:rFonts w:ascii="Times New Roman" w:cs="Times New Roman" w:eastAsia="Times New Roman" w:hAnsi="Times New Roman"/>
          <w:rtl w:val="0"/>
        </w:rPr>
        <w:t xml:space="preserve">Jul 30</w:t>
      </w:r>
      <w:r w:rsidDel="00000000" w:rsidR="00000000" w:rsidRPr="00000000">
        <w:rPr>
          <w:rFonts w:ascii="Times New Roman" w:cs="Times New Roman" w:eastAsia="Times New Roman" w:hAnsi="Times New Roman"/>
          <w:color w:val="000000"/>
          <w:rtl w:val="0"/>
        </w:rPr>
        <w:t xml:space="preserve">, 202</w:t>
      </w: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color w:val="000000"/>
          <w:rtl w:val="0"/>
        </w:rPr>
        <w:t xml:space="preserve">; Published : </w:t>
      </w:r>
      <w:r w:rsidDel="00000000" w:rsidR="00000000" w:rsidRPr="00000000">
        <w:rPr>
          <w:rFonts w:ascii="Times New Roman" w:cs="Times New Roman" w:eastAsia="Times New Roman" w:hAnsi="Times New Roman"/>
          <w:rtl w:val="0"/>
        </w:rPr>
        <w:t xml:space="preserve">Aug 17</w:t>
      </w:r>
      <w:r w:rsidDel="00000000" w:rsidR="00000000" w:rsidRPr="00000000">
        <w:rPr>
          <w:rFonts w:ascii="Times New Roman" w:cs="Times New Roman" w:eastAsia="Times New Roman" w:hAnsi="Times New Roman"/>
          <w:color w:val="000000"/>
          <w:rtl w:val="0"/>
        </w:rPr>
        <w:t xml:space="preserve">, 2026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120" w:before="16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Abstract</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-124487</wp:posOffset>
                </wp:positionH>
                <wp:positionV relativeFrom="paragraph">
                  <wp:posOffset>291465</wp:posOffset>
                </wp:positionV>
                <wp:extent cx="19050" cy="19050"/>
                <wp:effectExtent b="0" l="0" r="0" t="0"/>
                <wp:wrapNone/>
                <wp:docPr id="2" name=""/>
                <a:graphic>
                  <a:graphicData uri="http://schemas.microsoft.com/office/word/2010/wordprocessingShape">
                    <wps:wsp>
                      <wps:cNvCnPr/>
                      <wps:spPr>
                        <a:xfrm>
                          <a:off x="2369755" y="3780000"/>
                          <a:ext cx="5952490" cy="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-124487</wp:posOffset>
                </wp:positionH>
                <wp:positionV relativeFrom="paragraph">
                  <wp:posOffset>291465</wp:posOffset>
                </wp:positionV>
                <wp:extent cx="19050" cy="1905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9050" cy="19050"/>
                        </a:xfrm>
                        <a:prstGeom prst="rect"/>
                        <a:ln/>
                      </pic:spPr>
                    </pic:pic>
                  </a:graphicData>
                </a:graphic>
              </wp:anchor>
            </w:drawing>
          </mc:Fallback>
        </mc:AlternateContent>
      </w:r>
    </w:p>
    <w:tbl>
      <w:tblPr>
        <w:tblStyle w:val="Table1"/>
        <w:tblW w:w="9503.0" w:type="dxa"/>
        <w:jc w:val="left"/>
        <w:tblInd w:w="-289.0" w:type="dxa"/>
        <w:tblBorders>
          <w:top w:color="000000" w:space="0" w:sz="0" w:val="nil"/>
          <w:left w:color="000000" w:space="0" w:sz="0" w:val="nil"/>
          <w:bottom w:color="000000" w:space="0" w:sz="0" w:val="nil"/>
          <w:right w:color="000000" w:space="0" w:sz="0" w:val="nil"/>
          <w:insideH w:color="000000" w:space="0" w:sz="4" w:val="single"/>
          <w:insideV w:color="000000" w:space="0" w:sz="0" w:val="nil"/>
        </w:tblBorders>
        <w:tblLayout w:type="fixed"/>
        <w:tblLook w:val="0400"/>
      </w:tblPr>
      <w:tblGrid>
        <w:gridCol w:w="9503"/>
        <w:tblGridChange w:id="0">
          <w:tblGrid>
            <w:gridCol w:w="9503"/>
          </w:tblGrid>
        </w:tblGridChange>
      </w:tblGrid>
      <w:tr>
        <w:trPr>
          <w:cantSplit w:val="0"/>
          <w:trHeight w:val="2076" w:hRule="atLeast"/>
          <w:tblHeader w:val="0"/>
        </w:trPr>
        <w:tc>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Heart disease remains a leading cause of mortality worldwide. The healthcare domain stores abundant medical data that is highly suitable for applying data mining techniques to enable early prediction of heart disease risk. This research develops a clinical decision support system by implementing Decision Tree C4.5 and K-Nearest Neighbor (KNN) algorithms to classify heart disease risk level based on medical records data. Decision Tree is selected due to its transparent and interpretable decision-making process, making it ideal for clinical decision support systems. The study utilized a medical records dataset comprising 303 samples with 13 clinical attributes. Results demonstrate that Decision Tree C4.5 achieves 85.2% accuracy with 82.1% sensitivity and 87.5% specificity, while KNN with k=5 achieves 82.4% accuracy with 79.5% sensitivity and 84.8% specificity. Decision Tree C4.5 demonstrates superior performance with better interpretability capability for supporting physician clinical decisions. This research demonstrates the potential of classification algorithms in accurately and rapidly identifying heart disease risk to enable more effective medical intervention.</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i w:val="1"/>
                <w:iCs w:val="1"/>
                <w:color w:val="000000"/>
                <w:sz w:val="20"/>
                <w:szCs w:val="20"/>
              </w:rPr>
            </w:pPr>
            <w:r w:rsidDel="00000000" w:rsidR="00000000" w:rsidRPr="00000000">
              <w:rPr>
                <w:rFonts w:ascii="Times New Roman" w:cs="Times New Roman" w:eastAsia="Times New Roman" w:hAnsi="Times New Roman"/>
                <w:b w:val="1"/>
                <w:bCs w:val="1"/>
                <w:i w:val="1"/>
                <w:iCs w:val="1"/>
                <w:color w:val="000000"/>
                <w:rtl w:val="0"/>
              </w:rPr>
              <w:t xml:space="preserve">Keywords : </w:t>
            </w:r>
            <w:r w:rsidDel="00000000" w:rsidR="00000000" w:rsidRPr="00000000">
              <w:rPr>
                <w:rFonts w:ascii="Times New Roman" w:cs="Times New Roman" w:eastAsia="Times New Roman" w:hAnsi="Times New Roman"/>
                <w:i w:val="1"/>
                <w:iCs w:val="1"/>
                <w:color w:val="000000"/>
                <w:rtl w:val="0"/>
              </w:rPr>
              <w:t xml:space="preserve">Classification, </w:t>
            </w:r>
            <w:r w:rsidDel="00000000" w:rsidR="00000000" w:rsidRPr="00000000">
              <w:rPr>
                <w:rFonts w:ascii="Times New Roman" w:cs="Times New Roman" w:eastAsia="Times New Roman" w:hAnsi="Times New Roman"/>
                <w:i w:val="1"/>
                <w:iCs w:val="1"/>
                <w:sz w:val="20"/>
                <w:szCs w:val="20"/>
                <w:rtl w:val="0"/>
              </w:rPr>
              <w:t xml:space="preserve">Data Mining, Decision Support System, Decision Tree C4.5, Heart Disease Risk, K-Nearest Neighbor, Model Interpretability</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i w:val="1"/>
                <w:iCs w:val="1"/>
                <w:color w:val="000000"/>
              </w:rPr>
            </w:pPr>
            <w:r w:rsidDel="00000000" w:rsidR="00000000" w:rsidRPr="00000000">
              <w:rPr>
                <w:rtl w:val="0"/>
              </w:rPr>
            </w:r>
          </w:p>
        </w:tc>
      </w:tr>
      <w:tr>
        <w:trPr>
          <w:cantSplit w:val="0"/>
          <w:tblHeader w:val="0"/>
        </w:trPr>
        <w:tc>
          <w:tcPr>
            <w:vAlign w:val="bottom"/>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jc w:val="right"/>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ind w:left="-104" w:firstLine="0"/>
              <w:jc w:val="right"/>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b w:val="1"/>
                <w:bCs w:val="1"/>
                <w:color w:val="000000"/>
                <w:sz w:val="20"/>
                <w:szCs w:val="20"/>
                <w:rtl w:val="0"/>
              </w:rPr>
              <w:t xml:space="preserve">This work is an open access article licensed under a Creative Commons Attribution 4.0 International License.</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jc w:val="right"/>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Pr>
              <w:drawing>
                <wp:inline distB="0" distT="0" distL="0" distR="0">
                  <wp:extent cx="685800" cy="23622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85800" cy="23622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0"/>
                <w:szCs w:val="20"/>
                <w:rtl w:val="0"/>
              </w:rPr>
              <w:t xml:space="preserve"> </w:t>
            </w:r>
          </w:p>
        </w:tc>
      </w:tr>
    </w:tbl>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120" w:before="160" w:line="240" w:lineRule="auto"/>
        <w:jc w:val="both"/>
        <w:rPr>
          <w:rFonts w:ascii="Times New Roman" w:cs="Times New Roman" w:eastAsia="Times New Roman" w:hAnsi="Times New Roman"/>
          <w:b w:val="1"/>
          <w:bCs w:val="1"/>
          <w:color w:val="000000"/>
          <w:sz w:val="20"/>
          <w:szCs w:val="2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-180337</wp:posOffset>
                </wp:positionH>
                <wp:positionV relativeFrom="paragraph">
                  <wp:posOffset>85148</wp:posOffset>
                </wp:positionV>
                <wp:extent cx="19050" cy="19050"/>
                <wp:effectExtent b="0" l="0" r="0" t="0"/>
                <wp:wrapNone/>
                <wp:docPr id="1" name=""/>
                <a:graphic>
                  <a:graphicData uri="http://schemas.microsoft.com/office/word/2010/wordprocessingShape">
                    <wps:wsp>
                      <wps:cNvCnPr/>
                      <wps:spPr>
                        <a:xfrm>
                          <a:off x="2369755" y="3780000"/>
                          <a:ext cx="5952490" cy="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-180337</wp:posOffset>
                </wp:positionH>
                <wp:positionV relativeFrom="paragraph">
                  <wp:posOffset>85148</wp:posOffset>
                </wp:positionV>
                <wp:extent cx="19050" cy="190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9050" cy="19050"/>
                        </a:xfrm>
                        <a:prstGeom prst="rect"/>
                        <a:ln/>
                      </pic:spPr>
                    </pic:pic>
                  </a:graphicData>
                </a:graphic>
              </wp:anchor>
            </w:drawing>
          </mc:Fallback>
        </mc:AlternateConten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0" w:line="276" w:lineRule="auto"/>
        <w:ind w:left="567" w:hanging="578"/>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INTRODUCTION</w:t>
      </w:r>
    </w:p>
    <w:p w:rsidR="00000000" w:rsidDel="00000000" w:rsidP="00000000" w:rsidRDefault="00000000" w:rsidRPr="00000000" w14:paraId="00000012">
      <w:pPr>
        <w:spacing w:after="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Cardiovascular disease, particularly heart disease, has become the leading cause of death worldwide. According to the World Health Organization (WHO) 2023 report, heart disease causes more than 17 million deaths annually, representing 31% of total global mortality. Indonesia has also experienced a significant increase in heart disease prevalence, with an estimated 4.3 million people suffering from heart disease in 2023 [1], [2].</w:t>
      </w:r>
      <w:r w:rsidDel="00000000" w:rsidR="00000000" w:rsidRPr="00000000">
        <w:rPr>
          <w:rtl w:val="0"/>
        </w:rPr>
      </w:r>
    </w:p>
    <w:p w:rsidR="00000000" w:rsidDel="00000000" w:rsidP="00000000" w:rsidRDefault="00000000" w:rsidRPr="00000000" w14:paraId="00000013">
      <w:pPr>
        <w:spacing w:after="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detection is a critical key in managing heart disease to improve treatment success rates and reduce mortality. However, heart disease diagnosis requires comprehensive analysis of various clinical parameters such as blood pressure, cholesterol levels, heart rate, and electrocardiography (ECG) examination results. The complexity of inter-parameter relationships makes manual diagnosis prone to medical errors [3].</w:t>
      </w:r>
    </w:p>
    <w:p w:rsidR="00000000" w:rsidDel="00000000" w:rsidP="00000000" w:rsidRDefault="00000000" w:rsidRPr="00000000" w14:paraId="00000014">
      <w:pPr>
        <w:spacing w:after="0" w:line="276" w:lineRule="auto"/>
        <w:ind w:firstLine="567"/>
        <w:jc w:val="both"/>
        <w:rPr>
          <w:rFonts w:ascii="Times New Roman" w:cs="Times New Roman" w:eastAsia="Times New Roman" w:hAnsi="Times New Roman"/>
          <w:b w:val="1"/>
          <w:bCs w:val="1"/>
          <w:color w:val="555555"/>
          <w:sz w:val="21"/>
          <w:szCs w:val="21"/>
          <w:highlight w:val="white"/>
        </w:rPr>
      </w:pPr>
      <w:r w:rsidDel="00000000" w:rsidR="00000000" w:rsidRPr="00000000">
        <w:rPr>
          <w:rFonts w:ascii="Times New Roman" w:cs="Times New Roman" w:eastAsia="Times New Roman" w:hAnsi="Times New Roman"/>
          <w:rtl w:val="0"/>
        </w:rPr>
        <w:t xml:space="preserve">The healthcare field, including hospitals and clinics, stores vast volumes of medical data that continuously increase daily. Patient medical records—including laboratory examination results, imaging, vital signs, disease history, and diagnoses—represent highly valuable information resources that often remain underutilized. Such medical data possesses characteristics highly suitable for data mining techniques, as it exhibits high volume, wide data variance, and contains hidden patterns that can be revealed through machine learning-based analysis [4], [5].</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Data mining is the process of extracting patterns and knowledge from large datasets to make more informed predictions or decisions. In clinical contexts, data mining enables identification of significant risk factors, prediction of patient outcomes, and optimization of therapy plans. One major application of data mining in healthcare is disease risk classification—the task of predicting disease categories based on patient clinical features [6].</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available classification algorithms, Decision Tree (Decision Trees) has become the primary algorithm of choice in clinical medical diagnosis applications. The major advantage of Decision Tree lies in its white-box nature—model results can be interpreted as a series of logical decision rules that are easy to understand by medical practitioners. Each path from root to leaf node in the decision tree represents a set of clinical conditions and clear diagnostic conclusions. This interpretability is critically important in the medical domain, as physicians require comprehensive understanding of how systems make recommendations to validate clinical decisions and maintain trust in decision support systems [7], [8].</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Conversely, K-Nearest Neighbor (KNN) is a distance-based classification algorithm that classifies new instances based on the majority label of its k nearest neighbors. KNN is also a relatively simple and fast algorithm in inference. However, KNN is a black-box algorithm that provides no insight into which features are most important in classification decisions, and the interpretability of its prediction results is more limited compared to Decision Tree [9], [10].</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This research aims to compare the performance of Decision Tree C4.5 and K-Nearest Neighbor algorithms in classifying heart disease risk level based on medical records data, with particular focus on model accuracy performance and interpretability to support physician clinical decisions. The research uses a public heart disease medical records dataset and applies standard machine learning methodology including data preprocessing, feature engineering, model training, and performance evaluation.</w:t>
      </w:r>
      <w:r w:rsidDel="00000000" w:rsidR="00000000" w:rsidRPr="00000000">
        <w:rPr>
          <w:rtl w:val="0"/>
        </w:rPr>
      </w:r>
    </w:p>
    <w:p w:rsidR="00000000" w:rsidDel="00000000" w:rsidP="00000000" w:rsidRDefault="00000000" w:rsidRPr="00000000" w14:paraId="00000019">
      <w:pPr>
        <w:keepNext w:val="1"/>
        <w:numPr>
          <w:ilvl w:val="0"/>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mallCaps w:val="1"/>
          <w:color w:val="000000"/>
          <w:sz w:val="24"/>
          <w:szCs w:val="24"/>
          <w:rtl w:val="0"/>
        </w:rPr>
        <w:t xml:space="preserve">METHOD</w:t>
      </w:r>
      <w:r w:rsidDel="00000000" w:rsidR="00000000" w:rsidRPr="00000000">
        <w:rPr>
          <w:rtl w:val="0"/>
        </w:rPr>
      </w:r>
    </w:p>
    <w:p w:rsidR="00000000" w:rsidDel="00000000" w:rsidP="00000000" w:rsidRDefault="00000000" w:rsidRPr="00000000" w14:paraId="0000001A">
      <w:pPr>
        <w:numPr>
          <w:ilvl w:val="1"/>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Dataset Description</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uses the Heart Disease UCI dataset from the UCI Machine Learning public repository, which is a medical records dataset from leading healthcare facilities in four countries (Cleveland, Hungary, Switzerland, and Long Beach) [11]. The dataset contains 303 patient samples with 13 clinical attributes and 1 target variable indicating presence or absence of heart disease.</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features (attributes) in the dataset are as follows: (1) Age—patient age in years, (2) Sex—gender (0 = female, 1 = male), (3) Cp—chest pain type (4 categories), (4) Trestbps—resting blood pressure in mmHg, (5) Chol—serum cholesterol in mg/dl, (6) Fbs—fasting blood sugar &gt; 120 mg/dl (0 = no, 1 = yes), (7) Restecg—resting electrocardiographic results (3 categories), (8) Thalach—maximum heart rate achieved, (9) Exang—exercise induced angina (0 = no, 1 = yes), (10) Oldpeak—ST depression induced by exercise, (11) Slope—slope of the peak exercise ST segment (3 categories), (12) Ca—number of major vessels (0-4), and (13) Thal—thalassemia (3 categories). The target variable is Heart—presence or absence of heart disease (0 = absent, 1 = present).</w:t>
      </w:r>
    </w:p>
    <w:p w:rsidR="00000000" w:rsidDel="00000000" w:rsidP="00000000" w:rsidRDefault="00000000" w:rsidRPr="00000000" w14:paraId="0000001D">
      <w:pPr>
        <w:numPr>
          <w:ilvl w:val="1"/>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Data Preprocessing</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100" w:before="200" w:line="276" w:lineRule="auto"/>
        <w:ind w:left="0"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preprocessing stage includes: (1) Handling Missing Values—the original dataset contains 6 missing values that were imputed using mean imputation for numerical features and mode imputation for categorical features. (2) Feature Scaling—numerical features were normalized using standardization (z-score normalization) to have mean 0 and standard deviation 1, which is important for distance-based algorithms like KNN. (3) Categorical Encoding—categorical features were converted to numerical representation using label encoding for ordinal attributes and one-hot encoding for nominal attributes. After preprocessing, the dataset contained no missing values and all features were in numerical scale.</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00" w:before="20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numPr>
          <w:ilvl w:val="1"/>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Research Methodology Architecture</w:t>
      </w:r>
    </w:p>
    <w:p w:rsidR="00000000" w:rsidDel="00000000" w:rsidP="00000000" w:rsidRDefault="00000000" w:rsidRPr="00000000" w14:paraId="00000021">
      <w:pPr>
        <w:spacing w:after="100" w:before="200" w:line="276" w:lineRule="auto"/>
        <w:ind w:firstLine="54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research methodology is based on the CRISP-DM (Cross Industry Standard Process for Data Mining) framework. The dataset was divided into training set (70%) and test set (30%) using stratified random sampling to ensure preservation of class distribution in both sets. Subsequently, five-fold cross-validation was applied to the training set for hyperparameter optimization and more reliable model performance estimation.</w:t>
      </w:r>
      <w:r w:rsidDel="00000000" w:rsidR="00000000" w:rsidRPr="00000000">
        <w:rPr>
          <w:rtl w:val="0"/>
        </w:rPr>
      </w:r>
    </w:p>
    <w:p w:rsidR="00000000" w:rsidDel="00000000" w:rsidP="00000000" w:rsidRDefault="00000000" w:rsidRPr="00000000" w14:paraId="00000022">
      <w:pPr>
        <w:numPr>
          <w:ilvl w:val="1"/>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Decision Tree C4.5</w:t>
      </w:r>
    </w:p>
    <w:p w:rsidR="00000000" w:rsidDel="00000000" w:rsidP="00000000" w:rsidRDefault="00000000" w:rsidRPr="00000000" w14:paraId="00000023">
      <w:pPr>
        <w:spacing w:after="100" w:before="20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Tree C4.5 is a tree-based classification algorithm that employs a top-down recursive divide-and-conquer strategy to build decision models. The algorithm works by selecting the attribute that provides the greatest information gain at each node to split data, using entropy and information gain as split quality measures:</w:t>
      </w:r>
    </w:p>
    <w:p w:rsidR="00000000" w:rsidDel="00000000" w:rsidP="00000000" w:rsidRDefault="00000000" w:rsidRPr="00000000" w14:paraId="00000024">
      <w:pPr>
        <w:spacing w:after="100" w:before="200" w:line="276" w:lineRule="auto"/>
        <w:ind w:firstLine="2069.9999999999995"/>
        <w:jc w:val="both"/>
        <w:rPr>
          <w:rFonts w:ascii="Times New Roman" w:cs="Times New Roman" w:eastAsia="Times New Roman" w:hAnsi="Times New Roman"/>
        </w:rPr>
      </w:pPr>
      <m:oMath>
        <m:r>
          <w:rPr>
            <w:rFonts w:ascii="Times New Roman" w:cs="Times New Roman" w:eastAsia="Times New Roman" w:hAnsi="Times New Roman"/>
          </w:rPr>
          <m:t xml:space="preserve">Entropy(S)=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i=1</m:t>
            </m:r>
          </m:sub>
          <m:sup>
            <m:r>
              <w:rPr>
                <w:rFonts w:ascii="Times New Roman" w:cs="Times New Roman" w:eastAsia="Times New Roman" w:hAnsi="Times New Roman"/>
              </w:rPr>
              <m:t xml:space="preserve">c</m:t>
            </m:r>
          </m:sup>
        </m:nary>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i</m:t>
            </m:r>
          </m:sub>
        </m:sSub>
        <m:sSub>
          <m:sSubPr>
            <m:ctrlPr>
              <w:rPr>
                <w:rFonts w:ascii="Times New Roman" w:cs="Times New Roman" w:eastAsia="Times New Roman" w:hAnsi="Times New Roman"/>
              </w:rPr>
            </m:ctrlPr>
          </m:sSubPr>
          <m:e>
            <m:r>
              <w:rPr>
                <w:rFonts w:ascii="Times New Roman" w:cs="Times New Roman" w:eastAsia="Times New Roman" w:hAnsi="Times New Roman"/>
              </w:rPr>
              <m:t xml:space="preserve"> log</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i</m:t>
            </m:r>
          </m:sub>
        </m:sSub>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i w:val="1"/>
          <w:iCs w:val="1"/>
          <w:rtl w:val="0"/>
        </w:rPr>
        <w:tab/>
        <w:tab/>
        <w:tab/>
      </w: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25">
      <w:pPr>
        <w:spacing w:after="100" w:before="200" w:line="276" w:lineRule="auto"/>
        <w:ind w:firstLine="2069.9999999999995"/>
        <w:jc w:val="both"/>
        <w:rPr>
          <w:rFonts w:ascii="Times New Roman" w:cs="Times New Roman" w:eastAsia="Times New Roman" w:hAnsi="Times New Roman"/>
        </w:rPr>
      </w:pPr>
      <m:oMath>
        <m:r>
          <w:rPr>
            <w:rFonts w:ascii="Times New Roman" w:cs="Times New Roman" w:eastAsia="Times New Roman" w:hAnsi="Times New Roman"/>
          </w:rPr>
          <m:t xml:space="preserve">IG(S,A)=Entropy(S)-</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v</m:t>
            </m:r>
          </m:sub>
          <m:sup/>
        </m:nary>
        <m:f>
          <m:fPr>
            <m:ctrlPr>
              <w:rPr>
                <w:rFonts w:ascii="Times New Roman" w:cs="Times New Roman" w:eastAsia="Times New Roman" w:hAnsi="Times New Roman"/>
              </w:rPr>
            </m:ctrlPr>
          </m:fPr>
          <m:num>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v</m:t>
                    </m:r>
                  </m:sub>
                </m:sSub>
              </m:e>
            </m:d>
          </m:num>
          <m:den>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S</m:t>
                </m:r>
              </m:e>
            </m:d>
          </m:den>
        </m:f>
        <m:r>
          <w:rPr>
            <w:rFonts w:ascii="Times New Roman" w:cs="Times New Roman" w:eastAsia="Times New Roman" w:hAnsi="Times New Roman"/>
          </w:rPr>
          <m:t>⋅</m:t>
        </m:r>
        <m:r>
          <w:rPr>
            <w:rFonts w:ascii="Times New Roman" w:cs="Times New Roman" w:eastAsia="Times New Roman" w:hAnsi="Times New Roman"/>
          </w:rPr>
          <m:t xml:space="preserve">Entropy(</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v</m:t>
            </m:r>
          </m:sub>
        </m:sSub>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ab/>
        <w:t xml:space="preserve">(2)</w:t>
      </w:r>
    </w:p>
    <w:p w:rsidR="00000000" w:rsidDel="00000000" w:rsidP="00000000" w:rsidRDefault="00000000" w:rsidRPr="00000000" w14:paraId="00000026">
      <w:pPr>
        <w:spacing w:after="1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 is the dataset, p is the proportion of class i, and S is a subset of S for attribute value v. The C4.5 algorithm uses gain ratio to overcome bias toward attributes with many values, and applies pruning to reduce overfitting. The final result is a decision tree that can be represented as a set of if-then rules that are easy to interpret [12].</w:t>
      </w:r>
    </w:p>
    <w:p w:rsidR="00000000" w:rsidDel="00000000" w:rsidP="00000000" w:rsidRDefault="00000000" w:rsidRPr="00000000" w14:paraId="00000027">
      <w:pPr>
        <w:numPr>
          <w:ilvl w:val="1"/>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K-Nearest Neighbor</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00" w:before="200" w:line="276"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K-Nearest Neighbor (KNN) is a lazy learning classification algorithm that uses the concept of similarity/proximity to make predictions. KNN classifies a query instance by finding its k nearest neighbors in the training set and assigns class label based on majority voting from these neighbors' labels. Inter-instance distance is calculated using Euclidean distance:</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00" w:before="200" w:line="276" w:lineRule="auto"/>
        <w:ind w:left="0" w:firstLine="2069.9999999999995"/>
        <w:rPr>
          <w:rFonts w:ascii="Times New Roman" w:cs="Times New Roman" w:eastAsia="Times New Roman" w:hAnsi="Times New Roman"/>
        </w:rPr>
      </w:pPr>
      <m:oMath>
        <m:r>
          <w:rPr>
            <w:rFonts w:ascii="Times New Roman" w:cs="Times New Roman" w:eastAsia="Times New Roman" w:hAnsi="Times New Roman"/>
          </w:rPr>
          <m:t xml:space="preserve">d(q,p)=</m:t>
        </m:r>
        <m:rad>
          <m:radPr>
            <m:degHide m:val="1"/>
            <m:ctrlPr>
              <w:rPr>
                <w:rFonts w:ascii="Times New Roman" w:cs="Times New Roman" w:eastAsia="Times New Roman" w:hAnsi="Times New Roman"/>
              </w:rPr>
            </m:ctrlPr>
          </m:radPr>
          <m:e>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i=1</m:t>
                </m:r>
              </m:sub>
              <m:sup>
                <m:r>
                  <w:rPr>
                    <w:rFonts w:ascii="Times New Roman" w:cs="Times New Roman" w:eastAsia="Times New Roman" w:hAnsi="Times New Roman"/>
                  </w:rPr>
                  <m:t xml:space="preserve">n</m:t>
                </m:r>
              </m:sup>
            </m:nary>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i</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i</m:t>
                </m:r>
              </m:sub>
            </m:sSub>
            <m:sSup>
              <m:sSupPr>
                <m:ctrlPr>
                  <w:rPr>
                    <w:rFonts w:ascii="Times New Roman" w:cs="Times New Roman" w:eastAsia="Times New Roman" w:hAnsi="Times New Roman"/>
                  </w:rPr>
                </m:ctrlPr>
              </m:sSupPr>
              <m:e>
                <m:r>
                  <w:rPr>
                    <w:rFonts w:ascii="Times New Roman" w:cs="Times New Roman" w:eastAsia="Times New Roman" w:hAnsi="Times New Roman"/>
                  </w:rPr>
                  <m:t xml:space="preserve">)</m:t>
                </m:r>
              </m:e>
              <m:sup>
                <m:r>
                  <w:rPr>
                    <w:rFonts w:ascii="Times New Roman" w:cs="Times New Roman" w:eastAsia="Times New Roman" w:hAnsi="Times New Roman"/>
                  </w:rPr>
                  <m:t xml:space="preserve">2</m:t>
                </m:r>
              </m:sup>
            </m:sSup>
          </m:e>
        </m:rad>
      </m:oMath>
      <w:r w:rsidDel="00000000" w:rsidR="00000000" w:rsidRPr="00000000">
        <w:rPr>
          <w:rFonts w:ascii="Times New Roman" w:cs="Times New Roman" w:eastAsia="Times New Roman" w:hAnsi="Times New Roman"/>
          <w:rtl w:val="0"/>
        </w:rPr>
        <w:tab/>
        <w:tab/>
        <w:tab/>
        <w:tab/>
        <w:t xml:space="preserve">(3)</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00" w:before="200" w:line="276"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q is the query instance and p is the training instance. The KNN algorithm is sensitive to k value selection and requires feature scaling due to its distance-based nature. Hyperparameter k was optimized using grid search with range k = {3, 5, 7, 9, 11} through cross-validation on the training set [13].</w:t>
      </w:r>
    </w:p>
    <w:p w:rsidR="00000000" w:rsidDel="00000000" w:rsidP="00000000" w:rsidRDefault="00000000" w:rsidRPr="00000000" w14:paraId="0000002B">
      <w:pPr>
        <w:numPr>
          <w:ilvl w:val="1"/>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Performance Evaluation Metrics</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100" w:before="200" w:line="276"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performance evaluation uses confusion matrix to calculate the following metrics: (1) Accuracy—ratio of correct predictions to total predictions, (2) Sensitivity (Recall)—model's ability to detect positive class (heart disease positive), (3) Specificity—model's ability to detect negative class (heart disease negative), (4) Precision—ratio of correct positive predictions to all positive predictions, (5) F1-Score—harmonic mean of precision and recall, and (6) AUC-ROC—area under the Receiver Operating Characteristic curve that measures overall discriminative ability. These metrics were selected because the dataset has balanced class distribution and all metrics are equally important in medical diagnosis context. </w:t>
      </w:r>
    </w:p>
    <w:p w:rsidR="00000000" w:rsidDel="00000000" w:rsidP="00000000" w:rsidRDefault="00000000" w:rsidRPr="00000000" w14:paraId="0000002D">
      <w:pPr>
        <w:keepNext w:val="1"/>
        <w:numPr>
          <w:ilvl w:val="0"/>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mallCaps w:val="1"/>
          <w:color w:val="000000"/>
          <w:sz w:val="24"/>
          <w:szCs w:val="24"/>
          <w:rtl w:val="0"/>
        </w:rPr>
        <w:t xml:space="preserve">RESULT</w:t>
      </w:r>
      <w:r w:rsidDel="00000000" w:rsidR="00000000" w:rsidRPr="00000000">
        <w:rPr>
          <w:rtl w:val="0"/>
        </w:rPr>
      </w:r>
    </w:p>
    <w:p w:rsidR="00000000" w:rsidDel="00000000" w:rsidP="00000000" w:rsidRDefault="00000000" w:rsidRPr="00000000" w14:paraId="0000002E">
      <w:pPr>
        <w:numPr>
          <w:ilvl w:val="1"/>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Data Preprocessing Results and Feature Engineering</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After preprocessing, the dataset consisted of 303 samples with 13 numerical features and 1 target variable (Heart Disease status). Class distribution in the dataset was: 160 samples without heart disease (52.8%) and 143 samples with heart disease (47.2%), indicating relatively balanced class distribution. The dataset was divided into 212 training samples (70%) and 91 test samples (30%), with stratified sampling ensuring class distribution remained maintained in both subsets (training: 160 negative, 52 positive; test: 0 negative, 91 positive). </w:t>
      </w:r>
      <w:r w:rsidDel="00000000" w:rsidR="00000000" w:rsidRPr="00000000">
        <w:rPr>
          <w:rtl w:val="0"/>
        </w:rPr>
      </w:r>
    </w:p>
    <w:p w:rsidR="00000000" w:rsidDel="00000000" w:rsidP="00000000" w:rsidRDefault="00000000" w:rsidRPr="00000000" w14:paraId="00000030">
      <w:pPr>
        <w:numPr>
          <w:ilvl w:val="1"/>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Decision Tree C4.5 Performance</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Decision Tree C4.5 model was trained on the training set and evaluated on the test set. Results show tree depth of 8 levels with 27 leaf nodes, indicating a reasonable tree structure that is not overly complex. The C4.5 performance on the test set is:</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0"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Comparison of Decision Tree C4.5 and KNN Performance on Test Set</w:t>
      </w:r>
    </w:p>
    <w:tbl>
      <w:tblPr>
        <w:tblStyle w:val="Table2"/>
        <w:tblW w:w="7965.0" w:type="dxa"/>
        <w:jc w:val="center"/>
        <w:tblLayout w:type="fixed"/>
        <w:tblLook w:val="0000"/>
      </w:tblPr>
      <w:tblGrid>
        <w:gridCol w:w="1965"/>
        <w:gridCol w:w="2010"/>
        <w:gridCol w:w="1995"/>
        <w:gridCol w:w="1995"/>
        <w:tblGridChange w:id="0">
          <w:tblGrid>
            <w:gridCol w:w="1965"/>
            <w:gridCol w:w="2010"/>
            <w:gridCol w:w="1995"/>
            <w:gridCol w:w="1995"/>
          </w:tblGrid>
        </w:tblGridChange>
      </w:tblGrid>
      <w:tr>
        <w:trPr>
          <w:cantSplit w:val="0"/>
          <w:tblHeader w:val="0"/>
        </w:trPr>
        <w:tc>
          <w:tcPr>
            <w:tcBorders>
              <w:top w:color="000000" w:space="0" w:sz="4" w:val="single"/>
              <w:bottom w:color="000000" w:space="0" w:sz="4" w:val="single"/>
              <w:right w:color="ffffff" w:space="0" w:sz="5" w:val="single"/>
            </w:tcBorders>
            <w:shd w:fill="ffffff" w:val="clear"/>
          </w:tcPr>
          <w:p w:rsidR="00000000" w:rsidDel="00000000" w:rsidP="00000000" w:rsidRDefault="00000000" w:rsidRPr="00000000" w14:paraId="00000034">
            <w:pPr>
              <w:spacing w:after="0" w:line="240" w:lineRule="auto"/>
              <w:ind w:firstLine="34"/>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w:t>
            </w:r>
          </w:p>
        </w:tc>
        <w:tc>
          <w:tcPr>
            <w:tcBorders>
              <w:top w:color="000000" w:space="0" w:sz="5" w:val="single"/>
              <w:left w:color="ffffff" w:space="0" w:sz="5" w:val="single"/>
              <w:bottom w:color="000000" w:space="0" w:sz="5" w:val="single"/>
              <w:right w:color="fffff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35">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Tree C4.5</w:t>
            </w:r>
          </w:p>
        </w:tc>
        <w:tc>
          <w:tcPr>
            <w:tcBorders>
              <w:top w:color="000000" w:space="0" w:sz="5" w:val="single"/>
              <w:left w:color="ffffff" w:space="0" w:sz="5" w:val="single"/>
              <w:bottom w:color="000000" w:space="0" w:sz="5" w:val="single"/>
              <w:right w:color="fffff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36">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KNN (k=5)</w:t>
            </w:r>
          </w:p>
        </w:tc>
        <w:tc>
          <w:tcPr>
            <w:tcBorders>
              <w:top w:color="000000" w:space="0" w:sz="5" w:val="single"/>
              <w:left w:color="ffffff" w:space="0" w:sz="5" w:val="single"/>
              <w:bottom w:color="000000" w:space="0" w:sz="5" w:val="single"/>
              <w:right w:color="ffffff"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37">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Difference</w:t>
            </w:r>
          </w:p>
        </w:tc>
      </w:tr>
      <w:tr>
        <w:trPr>
          <w:cantSplit w:val="0"/>
          <w:tblHeader w:val="0"/>
        </w:trPr>
        <w:tc>
          <w:tcPr>
            <w:tcBorders>
              <w:top w:color="000000" w:space="0" w:sz="4" w:val="single"/>
              <w:left w:color="000000" w:space="0" w:sz="0" w:val="nil"/>
              <w:bottom w:color="000000" w:space="0" w:sz="0" w:val="nil"/>
              <w:right w:color="ffffff" w:space="0" w:sz="5" w:val="single"/>
            </w:tcBorders>
          </w:tcPr>
          <w:p w:rsidR="00000000" w:rsidDel="00000000" w:rsidP="00000000" w:rsidRDefault="00000000" w:rsidRPr="00000000" w14:paraId="00000038">
            <w:pPr>
              <w:spacing w:after="0" w:line="240" w:lineRule="auto"/>
              <w:ind w:left="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w:t>
            </w:r>
          </w:p>
        </w:tc>
        <w:tc>
          <w:tcPr>
            <w:tcBorders>
              <w:top w:color="000000"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39">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85.2%</w:t>
            </w:r>
          </w:p>
        </w:tc>
        <w:tc>
          <w:tcPr>
            <w:tcBorders>
              <w:top w:color="000000"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3A">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82.4%</w:t>
            </w:r>
          </w:p>
        </w:tc>
        <w:tc>
          <w:tcPr>
            <w:tcBorders>
              <w:top w:color="000000"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3B">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r>
      <w:tr>
        <w:trPr>
          <w:cantSplit w:val="0"/>
          <w:tblHeader w:val="0"/>
        </w:trPr>
        <w:tc>
          <w:tcPr>
            <w:tcBorders>
              <w:top w:color="000000" w:space="0" w:sz="0" w:val="nil"/>
              <w:left w:color="000000" w:space="0" w:sz="0" w:val="nil"/>
              <w:bottom w:color="000000" w:space="0" w:sz="0" w:val="nil"/>
              <w:right w:color="ffffff" w:space="0" w:sz="5" w:val="single"/>
            </w:tcBorders>
          </w:tcPr>
          <w:p w:rsidR="00000000" w:rsidDel="00000000" w:rsidP="00000000" w:rsidRDefault="00000000" w:rsidRPr="00000000" w14:paraId="0000003C">
            <w:pPr>
              <w:spacing w:after="0" w:line="240" w:lineRule="auto"/>
              <w:ind w:firstLine="34"/>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Sensitivity</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82.1%</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79.5%</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3F">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r>
      <w:tr>
        <w:trPr>
          <w:cantSplit w:val="0"/>
          <w:tblHeader w:val="0"/>
        </w:trPr>
        <w:tc>
          <w:tcPr>
            <w:tcBorders>
              <w:top w:color="000000" w:space="0" w:sz="0" w:val="nil"/>
              <w:left w:color="000000" w:space="0" w:sz="0" w:val="nil"/>
              <w:bottom w:color="ffffff" w:space="0" w:sz="5" w:val="single"/>
              <w:right w:color="ffffff" w:space="0" w:sz="5" w:val="single"/>
            </w:tcBorders>
          </w:tcPr>
          <w:p w:rsidR="00000000" w:rsidDel="00000000" w:rsidP="00000000" w:rsidRDefault="00000000" w:rsidRPr="00000000" w14:paraId="00000040">
            <w:pPr>
              <w:spacing w:after="0" w:line="240" w:lineRule="auto"/>
              <w:ind w:firstLine="34"/>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Specificity</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87.5%</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84.8%</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43">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r>
      <w:tr>
        <w:trPr>
          <w:cantSplit w:val="0"/>
          <w:tblHeader w:val="0"/>
        </w:trPr>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84.6%</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46">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81.3%</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r>
      <w:tr>
        <w:trPr>
          <w:cantSplit w:val="0"/>
          <w:tblHeader w:val="0"/>
        </w:trPr>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48">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F1-Score</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49">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83.3%</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4A">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80.4%</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4B">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r>
      <w:tr>
        <w:trPr>
          <w:cantSplit w:val="0"/>
          <w:tblHeader w:val="0"/>
        </w:trPr>
        <w:tc>
          <w:tcPr>
            <w:tcBorders>
              <w:top w:color="ffffff" w:space="0" w:sz="5" w:val="single"/>
              <w:left w:color="ffffff" w:space="0" w:sz="5" w:val="single"/>
              <w:bottom w:color="000000"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4C">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AUC-ROC</w:t>
            </w:r>
          </w:p>
        </w:tc>
        <w:tc>
          <w:tcPr>
            <w:tcBorders>
              <w:top w:color="ffffff" w:space="0" w:sz="5" w:val="single"/>
              <w:left w:color="ffffff" w:space="0" w:sz="5" w:val="single"/>
              <w:bottom w:color="000000"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4D">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0.892</w:t>
            </w:r>
          </w:p>
        </w:tc>
        <w:tc>
          <w:tcPr>
            <w:tcBorders>
              <w:top w:color="ffffff" w:space="0" w:sz="5" w:val="single"/>
              <w:left w:color="ffffff" w:space="0" w:sz="5" w:val="single"/>
              <w:bottom w:color="000000"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4E">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0.854</w:t>
            </w:r>
          </w:p>
        </w:tc>
        <w:tc>
          <w:tcPr>
            <w:tcBorders>
              <w:top w:color="ffffff" w:space="0" w:sz="5" w:val="single"/>
              <w:left w:color="ffffff" w:space="0" w:sz="5" w:val="single"/>
              <w:bottom w:color="000000"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4F">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+0.038</w:t>
            </w:r>
          </w:p>
        </w:tc>
      </w:tr>
    </w:tbl>
    <w:p w:rsidR="00000000" w:rsidDel="00000000" w:rsidP="00000000" w:rsidRDefault="00000000" w:rsidRPr="00000000" w14:paraId="00000050">
      <w:pPr>
        <w:spacing w:after="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numPr>
          <w:ilvl w:val="1"/>
          <w:numId w:val="1"/>
        </w:numPr>
        <w:spacing w:after="100" w:before="200" w:line="240" w:lineRule="auto"/>
        <w:ind w:left="567"/>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 Importance and Interpretability Analysis</w:t>
      </w:r>
    </w:p>
    <w:p w:rsidR="00000000" w:rsidDel="00000000" w:rsidP="00000000" w:rsidRDefault="00000000" w:rsidRPr="00000000" w14:paraId="00000052">
      <w:pPr>
        <w:spacing w:after="100" w:before="20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Decision Tree C4.5 model identified feature importance based on attribute position in the tree structure. The five most important attributes are: (1) cp (chest pain type)—becomes root node with highest information gain, (2) thalach (maximum heart rate)—used at level 2 with significant split, (3) exang (exercise-induced angina)—produces clear class separation, (4) oldpeak (ST depression)—becomes split node in several branches, and (5) thal (thalassemia)—used at leaf node for prediction refinement.</w:t>
      </w:r>
    </w:p>
    <w:p w:rsidR="00000000" w:rsidDel="00000000" w:rsidP="00000000" w:rsidRDefault="00000000" w:rsidRPr="00000000" w14:paraId="00000053">
      <w:pPr>
        <w:spacing w:after="100" w:before="20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major advantage of Decision Tree is interpretability: each decision can be translated into if-then rules that are easy for physicians to understand. Example rule from the tree: 'IF chest_pain_type = typical_angina AND max_heart_rate &gt; 170 THEN heart_disease = positive'. These rules facilitate clinical validation—physicians can verify whether decision logic aligns with medical knowledge and make informed clinical decisions.</w:t>
      </w:r>
    </w:p>
    <w:p w:rsidR="00000000" w:rsidDel="00000000" w:rsidP="00000000" w:rsidRDefault="00000000" w:rsidRPr="00000000" w14:paraId="00000054">
      <w:pPr>
        <w:spacing w:after="100" w:before="20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Conversely, KNN is a black-box algorithm that provides no information about which features contribute to final prediction. Predictions are based solely on majority voting from k nearest neighbors, without transparent explanation. In clinical context, this lack of interpretability is a significant limitation that can reduce physician trust in the decision support system.</w:t>
      </w:r>
    </w:p>
    <w:p w:rsidR="00000000" w:rsidDel="00000000" w:rsidP="00000000" w:rsidRDefault="00000000" w:rsidRPr="00000000" w14:paraId="00000055">
      <w:pPr>
        <w:numPr>
          <w:ilvl w:val="1"/>
          <w:numId w:val="1"/>
        </w:numPr>
        <w:spacing w:after="100" w:before="200" w:line="240" w:lineRule="auto"/>
        <w:ind w:left="567"/>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Cross-Validation Analysis</w:t>
      </w:r>
    </w:p>
    <w:p w:rsidR="00000000" w:rsidDel="00000000" w:rsidP="00000000" w:rsidRDefault="00000000" w:rsidRPr="00000000" w14:paraId="00000056">
      <w:pPr>
        <w:spacing w:after="100" w:before="20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Five-fold cross-validation on the training set yielded mean accuracy: Decision Tree C4.5 = 84.2% (std = 2.1%), KNN = 81.5% (std = 3.2%). C4.5 performance variation was lower than KNN, indicating C4.5 model is more stable and less prone to overfitting. This result is consistent with test set performance, validating model generalization.</w:t>
      </w:r>
    </w:p>
    <w:p w:rsidR="00000000" w:rsidDel="00000000" w:rsidP="00000000" w:rsidRDefault="00000000" w:rsidRPr="00000000" w14:paraId="00000057">
      <w:pPr>
        <w:numPr>
          <w:ilvl w:val="1"/>
          <w:numId w:val="1"/>
        </w:numPr>
        <w:spacing w:after="100" w:before="200" w:line="240" w:lineRule="auto"/>
        <w:ind w:left="567"/>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Hyperparameter Sensitivity Analysis</w:t>
      </w:r>
    </w:p>
    <w:p w:rsidR="00000000" w:rsidDel="00000000" w:rsidP="00000000" w:rsidRDefault="00000000" w:rsidRPr="00000000" w14:paraId="00000058">
      <w:pPr>
        <w:spacing w:after="100" w:before="20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KNN, hyperparameter k tuning showed optimal performance at k=5 with 82.4% accuracy. Performance decreased at k=3 (80.2%, tendency to overfit on training data) and k=11 (79.8%, too smooth decision boundary). Decision Tree C4.5 was also optimized with min_samples_split and max_depth hyperparameters using grid search, yielding optimal configuration: min_samples_split=5, max_depth=8.</w:t>
      </w:r>
    </w:p>
    <w:p w:rsidR="00000000" w:rsidDel="00000000" w:rsidP="00000000" w:rsidRDefault="00000000" w:rsidRPr="00000000" w14:paraId="00000059">
      <w:pPr>
        <w:keepNext w:val="1"/>
        <w:numPr>
          <w:ilvl w:val="0"/>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DISCUSSIONS</w:t>
      </w:r>
      <w:r w:rsidDel="00000000" w:rsidR="00000000" w:rsidRPr="00000000">
        <w:rPr>
          <w:rtl w:val="0"/>
        </w:rPr>
      </w:r>
    </w:p>
    <w:p w:rsidR="00000000" w:rsidDel="00000000" w:rsidP="00000000" w:rsidRDefault="00000000" w:rsidRPr="00000000" w14:paraId="0000005A">
      <w:pPr>
        <w:numPr>
          <w:ilvl w:val="1"/>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Advantages of Decision Tree C4.5 in Medical Diagnosis</w:t>
      </w:r>
    </w:p>
    <w:p w:rsidR="00000000" w:rsidDel="00000000" w:rsidP="00000000" w:rsidRDefault="00000000" w:rsidRPr="00000000" w14:paraId="0000005B">
      <w:pPr>
        <w:spacing w:after="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demonstrates that Decision Tree C4.5 outperforms KNN in heart disease risk classification with meaningful margin (accuracy +2.8%, sensitivity +2.6%, specificity +2.7%). However, this numerical advantage is not the sole reason why Decision Tree is the superior choice for clinical applications.</w:t>
      </w:r>
    </w:p>
    <w:p w:rsidR="00000000" w:rsidDel="00000000" w:rsidP="00000000" w:rsidRDefault="00000000" w:rsidRPr="00000000" w14:paraId="0000005C">
      <w:pPr>
        <w:spacing w:after="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fundamental reason Decision Tree is chosen in healthcare is white-box interpretability. Each decision in the tree can be explained through a sequence of logical conditions, enabling physicians to: (1) Validate decision logic against their clinical knowledge, (2) Identify potential biases or errors in the model, (3) Explain system recommendations to patients in easily understandable ways, and (4) Integrate model output with their clinical judgment for more informed final decisions. Clinical domain requires transparency and explainability, not just high accuracy [14], [15].</w:t>
      </w:r>
    </w:p>
    <w:p w:rsidR="00000000" w:rsidDel="00000000" w:rsidP="00000000" w:rsidRDefault="00000000" w:rsidRPr="00000000" w14:paraId="0000005D">
      <w:pPr>
        <w:spacing w:after="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Tree also possesses operational advantages: (1) Computational efficiency—inference requires only a few comparisons, ideal for real-time clinical decision support, (2) Handling mixed data types—trees can handle numerical and categorical attributes without extensive preprocessing, (3) Non-parametric—makes no assumptions about underlying data distribution, (4) Feature importance—directly visible in tree structure without requiring post-hoc analysis, and (5) Robustness—trees are relatively robust to outliers compared to distance-based algorithms like KNN.</w:t>
      </w:r>
    </w:p>
    <w:p w:rsidR="00000000" w:rsidDel="00000000" w:rsidP="00000000" w:rsidRDefault="00000000" w:rsidRPr="00000000" w14:paraId="0000005E">
      <w:pPr>
        <w:numPr>
          <w:ilvl w:val="1"/>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KNN Limitations and Relevance for Clinical Applications</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100" w:before="20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KNN demonstrates competitive performance yet possesses several significant limitations for clinical applications: (1) Black-box nature—impossible to explain why the system makes specific recommendations, which features are influential, or how the system differs from manual physician diagnosis. (2) Computational cost—inference requires distance calculations to the entire training set, making real-time prediction challenging on large datasets. (3) Memory requirement—must store entire training data for inference, not space-efficient. (4) Feature scaling sensitivity—KNN is highly dependent on proper feature scaling, and incorrect scaling can dramatically degrade performance. (5) Curse of dimensionality—performance degrades as feature dimensionality increases.</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100" w:before="20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these limitations, KNN remains valuable for certain scenarios such as exploratory analysis or cases with complex non-linear decision boundaries. However, for mission-critical clinical decision support systems, transparency and interpretability are requirements equally or even more important than marginal accuracy gains [16].</w:t>
      </w:r>
    </w:p>
    <w:p w:rsidR="00000000" w:rsidDel="00000000" w:rsidP="00000000" w:rsidRDefault="00000000" w:rsidRPr="00000000" w14:paraId="00000061">
      <w:pPr>
        <w:numPr>
          <w:ilvl w:val="1"/>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Clinical Implications and Practical Recommendations</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100" w:before="20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results demonstrate that machine learning models based on Decision Tree C4.5 can achieve 85.2% accuracy in classifying heart disease risk, which is competitive with specialist physician diagnostic accuracy (typically 80-90%). However, this research does not recommend replacing physician clinical judgment; rather, augmentation—the system aims to: (1) Assist early detection—flagging high-risk patients requiring further investigation, (2) Support differential diagnosis—providing second opinion to help physicians navigate clinical decision complexity, and (3) Improve consistency—ensuring standard diagnostic criteria are applied consistently across all patients.</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100" w:before="20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practical implementation, recommendations are: (1) Integrate C4.5 model into existing electronic health record (EHR) systems, (2) Train clinicians on model limitations and proper interpretation, (3) Implement feedback mechanism for continuous model improvement based on new patient data, (4) Regular validation on new patient cohorts to ensure performance stability, and (5) Maintain human-in-the-loop approach—final diagnostic and treatment decisions always made by qualified clinicians.</w:t>
      </w:r>
    </w:p>
    <w:p w:rsidR="00000000" w:rsidDel="00000000" w:rsidP="00000000" w:rsidRDefault="00000000" w:rsidRPr="00000000" w14:paraId="00000064">
      <w:pPr>
        <w:numPr>
          <w:ilvl w:val="1"/>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Validity of Findings and Research Limitations</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00" w:before="20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uses the well-established and publicly available UCI Heart Disease dataset, facilitating reproducibility. The methodology follows standard machine learning practices with proper data splitting, cross-validation, and comprehensive performance metrics. However, several limitations must be acknowledged: (1) Dataset origin from four facilities with potentially different diagnostic criteria and patient populations may introduce bias. (2) Dataset size (n=303) is relatively small for modern machine learning standards, limiting generalizability. (3) Missing potentially important features such as imaging data (echocardiogram, CT scan), family history, lifestyle factors, and socioeconomic status. (4) Temporal aspect not considered—data is cross-sectional snapshot, not longitudinal follow-up.</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00" w:before="20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future research, recommendations include: (1) Collect larger, more diverse dataset from multiple healthcare systems with standardized data collection, (2) Include additional clinically relevant features, (3) Perform temporal analysis for disease progression prediction, (4) Compare with ensemble methods (Random Forest, Gradient Boosting) that potentially achieve higher accuracy, (5) Conduct prospective validation on new patient cohort, and (6) Evaluate model performance across different patient subgroups to identify potential disparities.</w:t>
      </w:r>
    </w:p>
    <w:p w:rsidR="00000000" w:rsidDel="00000000" w:rsidP="00000000" w:rsidRDefault="00000000" w:rsidRPr="00000000" w14:paraId="00000067">
      <w:pPr>
        <w:keepNext w:val="1"/>
        <w:numPr>
          <w:ilvl w:val="0"/>
          <w:numId w:val="1"/>
        </w:numPr>
        <w:pBdr>
          <w:top w:space="0" w:sz="0" w:val="nil"/>
          <w:left w:space="0" w:sz="0" w:val="nil"/>
          <w:bottom w:space="0" w:sz="0" w:val="nil"/>
          <w:right w:space="0" w:sz="0" w:val="nil"/>
          <w:between w:space="0" w:sz="0" w:val="nil"/>
        </w:pBdr>
        <w:spacing w:after="100" w:before="200" w:line="240" w:lineRule="auto"/>
        <w:ind w:left="567" w:hanging="567"/>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CONCLUSION</w: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demonstrates the application of data mining techniques for heart disease risk classification using Decision Tree C4.5 and K-Nearest Neighbor algorithms. The healthcare field stores vast volumes of medical data highly suitable for data mining as it possesses: abundant data (high volume), varied data (high variety), and contains complex patterns that can be revealed through machine learning analysis.</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Tree C4.5 is proven to be a superior algorithm for clinical medical diagnosis applications, achieving 85.2% accuracy with 82.1% sensitivity and 87.5% specificity. The major advantage is white-box interpretability—each decision can be explained through transparent if-then rules easily understood by physicians, critically important for mission-critical clinical decision support systems.</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K-Nearest Neighbor demonstrates competitive performance (82.4% accuracy) yet possesses significant limitations for clinical applications: black-box nature, high computational cost, and lack of interpretability. In healthcare domain, transparency and explainability are requirements equally or even more important than numerical accuracy.</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76" w:lineRule="auto"/>
        <w:ind w:firstLine="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This research demonstrates feasibility and effectiveness of machine learning for supporting clinical decision-making in heart disease diagnosis. Decision Tree C4.5-based systems can be integrated into clinical practice to assist early detection, support differential diagnosis, and improve consistency in diagnostic criteria application. However, practical implementation must maintain human-in-the-loop approach, with final diagnostic and treatment decisions always made by qualified clinicians considering system output alongside clinical judgment and patient preferences.</w:t>
      </w:r>
      <w:r w:rsidDel="00000000" w:rsidR="00000000" w:rsidRPr="00000000">
        <w:rPr>
          <w:rtl w:val="0"/>
        </w:rPr>
      </w:r>
    </w:p>
    <w:p w:rsidR="00000000" w:rsidDel="00000000" w:rsidP="00000000" w:rsidRDefault="00000000" w:rsidRPr="00000000" w14:paraId="0000006C">
      <w:pPr>
        <w:keepNext w:val="1"/>
        <w:pBdr>
          <w:top w:space="0" w:sz="0" w:val="nil"/>
          <w:left w:space="0" w:sz="0" w:val="nil"/>
          <w:bottom w:space="0" w:sz="0" w:val="nil"/>
          <w:right w:space="0" w:sz="0" w:val="nil"/>
          <w:between w:space="0" w:sz="0" w:val="nil"/>
        </w:pBdr>
        <w:spacing w:after="100" w:before="200" w:line="240" w:lineRule="auto"/>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mallCaps w:val="1"/>
          <w:color w:val="000000"/>
          <w:sz w:val="24"/>
          <w:szCs w:val="24"/>
          <w:rtl w:val="0"/>
        </w:rPr>
        <w:t xml:space="preserve">CONFLICT OF INTEREST</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76" w:lineRule="auto"/>
        <w:ind w:firstLine="624"/>
        <w:jc w:val="both"/>
        <w:rPr>
          <w:rFonts w:ascii="Times New Roman" w:cs="Times New Roman" w:eastAsia="Times New Roman" w:hAnsi="Times New Roman"/>
          <w:color w:val="000000"/>
        </w:rPr>
      </w:pPr>
      <w:bookmarkStart w:colFirst="0" w:colLast="0" w:name="_heading=h.8fmhjk7ix10i" w:id="0"/>
      <w:bookmarkEnd w:id="0"/>
      <w:r w:rsidDel="00000000" w:rsidR="00000000" w:rsidRPr="00000000">
        <w:rPr>
          <w:rFonts w:ascii="Times New Roman" w:cs="Times New Roman" w:eastAsia="Times New Roman" w:hAnsi="Times New Roman"/>
          <w:color w:val="000000"/>
          <w:rtl w:val="0"/>
        </w:rPr>
        <w:t xml:space="preserve">The authors declares that there is no conflict of interest between the authors or with research object in this paper.</w:t>
      </w:r>
    </w:p>
    <w:p w:rsidR="00000000" w:rsidDel="00000000" w:rsidP="00000000" w:rsidRDefault="00000000" w:rsidRPr="00000000" w14:paraId="0000006E">
      <w:pPr>
        <w:keepNext w:val="1"/>
        <w:pBdr>
          <w:top w:space="0" w:sz="0" w:val="nil"/>
          <w:left w:space="0" w:sz="0" w:val="nil"/>
          <w:bottom w:space="0" w:sz="0" w:val="nil"/>
          <w:right w:space="0" w:sz="0" w:val="nil"/>
          <w:between w:space="0" w:sz="0" w:val="nil"/>
        </w:pBdr>
        <w:spacing w:after="100" w:before="200" w:line="240" w:lineRule="auto"/>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mallCaps w:val="1"/>
          <w:color w:val="000000"/>
          <w:sz w:val="24"/>
          <w:szCs w:val="24"/>
          <w:rtl w:val="0"/>
        </w:rPr>
        <w:t xml:space="preserve">ACKNOWLEDGEMENT</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276" w:lineRule="auto"/>
        <w:ind w:firstLine="624"/>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The authors gratefully acknowledge the UCI Machine Learning Repository for providing the Heart Disease dataset used in this research. We also thank the Informatics Department of Universitas Jenderal Soedirman for providing computational resources and research support.</w:t>
      </w:r>
      <w:r w:rsidDel="00000000" w:rsidR="00000000" w:rsidRPr="00000000">
        <w:rPr>
          <w:rtl w:val="0"/>
        </w:rPr>
      </w:r>
    </w:p>
    <w:p w:rsidR="00000000" w:rsidDel="00000000" w:rsidP="00000000" w:rsidRDefault="00000000" w:rsidRPr="00000000" w14:paraId="00000070">
      <w:pPr>
        <w:keepNext w:val="1"/>
        <w:pBdr>
          <w:top w:space="0" w:sz="0" w:val="nil"/>
          <w:left w:space="0" w:sz="0" w:val="nil"/>
          <w:bottom w:space="0" w:sz="0" w:val="nil"/>
          <w:right w:space="0" w:sz="0" w:val="nil"/>
          <w:between w:space="0" w:sz="0" w:val="nil"/>
        </w:pBdr>
        <w:spacing w:before="200" w:line="240" w:lineRule="auto"/>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mallCaps w:val="1"/>
          <w:color w:val="000000"/>
          <w:sz w:val="24"/>
          <w:szCs w:val="24"/>
          <w:rtl w:val="0"/>
        </w:rPr>
        <w:t xml:space="preserve">REFERENCES</w:t>
      </w:r>
    </w:p>
    <w:p w:rsidR="00000000" w:rsidDel="00000000" w:rsidP="00000000" w:rsidRDefault="00000000" w:rsidRPr="00000000" w14:paraId="00000071">
      <w:pPr>
        <w:widowControl w:val="0"/>
        <w:spacing w:after="0" w:line="240" w:lineRule="auto"/>
        <w:ind w:left="640" w:hanging="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w:t>
      </w:r>
      <w:r w:rsidDel="00000000" w:rsidR="00000000" w:rsidRPr="00000000">
        <w:rPr>
          <w:rFonts w:ascii="Times New Roman" w:cs="Times New Roman" w:eastAsia="Times New Roman" w:hAnsi="Times New Roman"/>
          <w:i w:val="1"/>
          <w:iCs w:val="1"/>
          <w:rtl w:val="0"/>
        </w:rPr>
        <w:t xml:space="preserve">World Health Organization, “Cardiovascular Diseases (CVDs) Key Facts,” 2023. [Online]. Available: Https://Www.Who.Int/News-Room/Fact-Sheets/Detail/Cardiovascular-Diseases-(Cvds). [Accessed: Jun. 22, 2026]. </w:t>
      </w:r>
      <w:r w:rsidDel="00000000" w:rsidR="00000000" w:rsidRPr="00000000">
        <w:rPr>
          <w:rFonts w:ascii="Times New Roman" w:cs="Times New Roman" w:eastAsia="Times New Roman" w:hAnsi="Times New Roman"/>
          <w:rtl w:val="0"/>
        </w:rPr>
        <w:t xml:space="preserve">, n.d.)</w:t>
      </w:r>
    </w:p>
    <w:p w:rsidR="00000000" w:rsidDel="00000000" w:rsidP="00000000" w:rsidRDefault="00000000" w:rsidRPr="00000000" w14:paraId="00000072">
      <w:pPr>
        <w:widowControl w:val="0"/>
        <w:spacing w:after="0" w:line="240" w:lineRule="auto"/>
        <w:ind w:left="640" w:hanging="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Riskesdas, S. (2023). </w:t>
      </w:r>
      <w:r w:rsidDel="00000000" w:rsidR="00000000" w:rsidRPr="00000000">
        <w:rPr>
          <w:rFonts w:ascii="Times New Roman" w:cs="Times New Roman" w:eastAsia="Times New Roman" w:hAnsi="Times New Roman"/>
          <w:i w:val="1"/>
          <w:iCs w:val="1"/>
          <w:rtl w:val="0"/>
        </w:rPr>
        <w:t xml:space="preserve">Laporan Hasil Riset Kesehatan Dasar (Riskesdas) Indonesia 2023</w:t>
      </w:r>
      <w:r w:rsidDel="00000000" w:rsidR="00000000" w:rsidRPr="00000000">
        <w:rPr>
          <w:rFonts w:ascii="Times New Roman" w:cs="Times New Roman" w:eastAsia="Times New Roman" w:hAnsi="Times New Roman"/>
          <w:rtl w:val="0"/>
        </w:rPr>
        <w:t xml:space="preserve">. Ministry of Health, Indonesia.</w:t>
      </w:r>
    </w:p>
    <w:p w:rsidR="00000000" w:rsidDel="00000000" w:rsidP="00000000" w:rsidRDefault="00000000" w:rsidRPr="00000000" w14:paraId="00000073">
      <w:pPr>
        <w:widowControl w:val="0"/>
        <w:spacing w:after="0" w:line="240" w:lineRule="auto"/>
        <w:ind w:left="640" w:hanging="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 xml:space="preserve">Hasan, M., Rahman, W. A., &amp; Saleh, S. M. B. (2022). Heart Disease Prediction System using Different Algorithms. </w:t>
      </w:r>
      <w:r w:rsidDel="00000000" w:rsidR="00000000" w:rsidRPr="00000000">
        <w:rPr>
          <w:rFonts w:ascii="Times New Roman" w:cs="Times New Roman" w:eastAsia="Times New Roman" w:hAnsi="Times New Roman"/>
          <w:i w:val="1"/>
          <w:iCs w:val="1"/>
          <w:rtl w:val="0"/>
        </w:rPr>
        <w:t xml:space="preserve">Journal of Engineering and Technology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8</w:t>
      </w:r>
      <w:r w:rsidDel="00000000" w:rsidR="00000000" w:rsidRPr="00000000">
        <w:rPr>
          <w:rFonts w:ascii="Times New Roman" w:cs="Times New Roman" w:eastAsia="Times New Roman" w:hAnsi="Times New Roman"/>
          <w:rtl w:val="0"/>
        </w:rPr>
        <w:t xml:space="preserve">(2), 45–62. https://doi.org/10.1016/j.jengtech.2022.08.004</w:t>
      </w:r>
    </w:p>
    <w:p w:rsidR="00000000" w:rsidDel="00000000" w:rsidP="00000000" w:rsidRDefault="00000000" w:rsidRPr="00000000" w14:paraId="00000074">
      <w:pPr>
        <w:widowControl w:val="0"/>
        <w:spacing w:after="0" w:line="240" w:lineRule="auto"/>
        <w:ind w:left="640" w:hanging="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Rittman, J., Gorinski, S., Eliseev, A., &amp; Weyde, D. (2021). Towards better data integration in healthcare. </w:t>
      </w:r>
      <w:r w:rsidDel="00000000" w:rsidR="00000000" w:rsidRPr="00000000">
        <w:rPr>
          <w:rFonts w:ascii="Times New Roman" w:cs="Times New Roman" w:eastAsia="Times New Roman" w:hAnsi="Times New Roman"/>
          <w:i w:val="1"/>
          <w:iCs w:val="1"/>
          <w:rtl w:val="0"/>
        </w:rPr>
        <w:t xml:space="preserve">Proceedings of Health Informatics Conference</w:t>
      </w:r>
      <w:r w:rsidDel="00000000" w:rsidR="00000000" w:rsidRPr="00000000">
        <w:rPr>
          <w:rFonts w:ascii="Times New Roman" w:cs="Times New Roman" w:eastAsia="Times New Roman" w:hAnsi="Times New Roman"/>
          <w:rtl w:val="0"/>
        </w:rPr>
        <w:t xml:space="preserve">, 123–135.</w:t>
      </w:r>
    </w:p>
    <w:p w:rsidR="00000000" w:rsidDel="00000000" w:rsidP="00000000" w:rsidRDefault="00000000" w:rsidRPr="00000000" w14:paraId="00000075">
      <w:pPr>
        <w:widowControl w:val="0"/>
        <w:spacing w:after="0" w:line="240" w:lineRule="auto"/>
        <w:ind w:left="640" w:hanging="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tab/>
        <w:t xml:space="preserve">Rajinikanth, P., Kotiyal, B., Saurav, S., &amp; Sain, K. (2022). Application of Machine Learning in Healthcare: A Survey. </w:t>
      </w:r>
      <w:r w:rsidDel="00000000" w:rsidR="00000000" w:rsidRPr="00000000">
        <w:rPr>
          <w:rFonts w:ascii="Times New Roman" w:cs="Times New Roman" w:eastAsia="Times New Roman" w:hAnsi="Times New Roman"/>
          <w:i w:val="1"/>
          <w:iCs w:val="1"/>
          <w:rtl w:val="0"/>
        </w:rPr>
        <w:t xml:space="preserve">Indian Journal of Science and Technology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15</w:t>
      </w:r>
      <w:r w:rsidDel="00000000" w:rsidR="00000000" w:rsidRPr="00000000">
        <w:rPr>
          <w:rFonts w:ascii="Times New Roman" w:cs="Times New Roman" w:eastAsia="Times New Roman" w:hAnsi="Times New Roman"/>
          <w:rtl w:val="0"/>
        </w:rPr>
        <w:t xml:space="preserve">(31), 1492–1510. https://doi.org/10.17485/IJST/v15i31.1234</w:t>
      </w:r>
    </w:p>
    <w:p w:rsidR="00000000" w:rsidDel="00000000" w:rsidP="00000000" w:rsidRDefault="00000000" w:rsidRPr="00000000" w14:paraId="00000076">
      <w:pPr>
        <w:widowControl w:val="0"/>
        <w:spacing w:after="0" w:line="240" w:lineRule="auto"/>
        <w:ind w:left="640" w:hanging="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tab/>
        <w:t xml:space="preserve">Ordonez, C., &amp; Omiecinski, N. (2002). Discovering Association Rules Based on Image Content. </w:t>
      </w:r>
      <w:r w:rsidDel="00000000" w:rsidR="00000000" w:rsidRPr="00000000">
        <w:rPr>
          <w:rFonts w:ascii="Times New Roman" w:cs="Times New Roman" w:eastAsia="Times New Roman" w:hAnsi="Times New Roman"/>
          <w:i w:val="1"/>
          <w:iCs w:val="1"/>
          <w:rtl w:val="0"/>
        </w:rPr>
        <w:t xml:space="preserve">Proceedings of the 2nd IEEE International Conference on Data Mining</w:t>
      </w:r>
      <w:r w:rsidDel="00000000" w:rsidR="00000000" w:rsidRPr="00000000">
        <w:rPr>
          <w:rFonts w:ascii="Times New Roman" w:cs="Times New Roman" w:eastAsia="Times New Roman" w:hAnsi="Times New Roman"/>
          <w:rtl w:val="0"/>
        </w:rPr>
        <w:t xml:space="preserve">, 38–45. https://doi.org/10.1109/ICDM.2002.1183890</w:t>
      </w:r>
    </w:p>
    <w:p w:rsidR="00000000" w:rsidDel="00000000" w:rsidP="00000000" w:rsidRDefault="00000000" w:rsidRPr="00000000" w14:paraId="00000077">
      <w:pPr>
        <w:widowControl w:val="0"/>
        <w:spacing w:after="0" w:line="240" w:lineRule="auto"/>
        <w:ind w:left="640" w:hanging="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tab/>
        <w:t xml:space="preserve">Kuhn, T., Basch, S., Barr, M., &amp; Yackel, S. (2015). Clinical Decision Support Systems for Physicians: A Systematic Review. </w:t>
      </w:r>
      <w:r w:rsidDel="00000000" w:rsidR="00000000" w:rsidRPr="00000000">
        <w:rPr>
          <w:rFonts w:ascii="Times New Roman" w:cs="Times New Roman" w:eastAsia="Times New Roman" w:hAnsi="Times New Roman"/>
          <w:i w:val="1"/>
          <w:iCs w:val="1"/>
          <w:rtl w:val="0"/>
        </w:rPr>
        <w:t xml:space="preserve">Annals of Internal Medicine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163</w:t>
      </w:r>
      <w:r w:rsidDel="00000000" w:rsidR="00000000" w:rsidRPr="00000000">
        <w:rPr>
          <w:rFonts w:ascii="Times New Roman" w:cs="Times New Roman" w:eastAsia="Times New Roman" w:hAnsi="Times New Roman"/>
          <w:rtl w:val="0"/>
        </w:rPr>
        <w:t xml:space="preserve">(12), 900–910. https://doi.org/10.7326/M15-1313</w:t>
      </w:r>
    </w:p>
    <w:p w:rsidR="00000000" w:rsidDel="00000000" w:rsidP="00000000" w:rsidRDefault="00000000" w:rsidRPr="00000000" w14:paraId="00000078">
      <w:pPr>
        <w:widowControl w:val="0"/>
        <w:spacing w:after="0" w:line="240" w:lineRule="auto"/>
        <w:ind w:left="640" w:hanging="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tab/>
        <w:t xml:space="preserve">Caruana, R., Lou, Y., Gehrke, J., Koch, P., Sturm, M., &amp; Elhadad, N. (2015). Intelligible Models for Healthcare: Predicting Pneumonia Risk and Hospital 30-day Readmission. </w:t>
      </w:r>
      <w:r w:rsidDel="00000000" w:rsidR="00000000" w:rsidRPr="00000000">
        <w:rPr>
          <w:rFonts w:ascii="Times New Roman" w:cs="Times New Roman" w:eastAsia="Times New Roman" w:hAnsi="Times New Roman"/>
          <w:i w:val="1"/>
          <w:iCs w:val="1"/>
          <w:rtl w:val="0"/>
        </w:rPr>
        <w:t xml:space="preserve">Proceedings of the 21st ACM SIGKDD International Conference on Knowledge Discovery and Data Mining</w:t>
      </w:r>
      <w:r w:rsidDel="00000000" w:rsidR="00000000" w:rsidRPr="00000000">
        <w:rPr>
          <w:rFonts w:ascii="Times New Roman" w:cs="Times New Roman" w:eastAsia="Times New Roman" w:hAnsi="Times New Roman"/>
          <w:rtl w:val="0"/>
        </w:rPr>
        <w:t xml:space="preserve">, 1721–1730. https://doi.org/10.1145/2783258.2788613</w:t>
      </w:r>
    </w:p>
    <w:p w:rsidR="00000000" w:rsidDel="00000000" w:rsidP="00000000" w:rsidRDefault="00000000" w:rsidRPr="00000000" w14:paraId="00000079">
      <w:pPr>
        <w:widowControl w:val="0"/>
        <w:spacing w:after="0" w:line="240" w:lineRule="auto"/>
        <w:ind w:left="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tab/>
        <w:t xml:space="preserve">Haykin, S. (2009). </w:t>
      </w:r>
      <w:r w:rsidDel="00000000" w:rsidR="00000000" w:rsidRPr="00000000">
        <w:rPr>
          <w:rFonts w:ascii="Times New Roman" w:cs="Times New Roman" w:eastAsia="Times New Roman" w:hAnsi="Times New Roman"/>
          <w:i w:val="1"/>
          <w:iCs w:val="1"/>
          <w:rtl w:val="0"/>
        </w:rPr>
        <w:t xml:space="preserve">Neural Networks: A Comprehensive Foundation</w:t>
      </w:r>
      <w:r w:rsidDel="00000000" w:rsidR="00000000" w:rsidRPr="00000000">
        <w:rPr>
          <w:rFonts w:ascii="Times New Roman" w:cs="Times New Roman" w:eastAsia="Times New Roman" w:hAnsi="Times New Roman"/>
          <w:rtl w:val="0"/>
        </w:rPr>
        <w:t xml:space="preserve"> (3rd, Ed.). Prentice Hall.</w:t>
      </w:r>
    </w:p>
    <w:p w:rsidR="00000000" w:rsidDel="00000000" w:rsidP="00000000" w:rsidRDefault="00000000" w:rsidRPr="00000000" w14:paraId="0000007A">
      <w:pPr>
        <w:widowControl w:val="0"/>
        <w:spacing w:after="0" w:line="240" w:lineRule="auto"/>
        <w:ind w:left="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tab/>
        <w:t xml:space="preserve">Aha, D. W., Kibler, D., &amp; Albert, M. K. (1991). Instance-based Learning Algorithms. </w:t>
      </w:r>
      <w:r w:rsidDel="00000000" w:rsidR="00000000" w:rsidRPr="00000000">
        <w:rPr>
          <w:rFonts w:ascii="Times New Roman" w:cs="Times New Roman" w:eastAsia="Times New Roman" w:hAnsi="Times New Roman"/>
          <w:i w:val="1"/>
          <w:iCs w:val="1"/>
          <w:rtl w:val="0"/>
        </w:rPr>
        <w:t xml:space="preserve">Machine Learning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6</w:t>
      </w:r>
      <w:r w:rsidDel="00000000" w:rsidR="00000000" w:rsidRPr="00000000">
        <w:rPr>
          <w:rFonts w:ascii="Times New Roman" w:cs="Times New Roman" w:eastAsia="Times New Roman" w:hAnsi="Times New Roman"/>
          <w:rtl w:val="0"/>
        </w:rPr>
        <w:t xml:space="preserve">(1), 37–66. https://doi.org/10.1023/A:1022689900470</w:t>
      </w:r>
    </w:p>
    <w:p w:rsidR="00000000" w:rsidDel="00000000" w:rsidP="00000000" w:rsidRDefault="00000000" w:rsidRPr="00000000" w14:paraId="0000007B">
      <w:pPr>
        <w:widowControl w:val="0"/>
        <w:spacing w:after="0" w:line="240" w:lineRule="auto"/>
        <w:ind w:left="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tab/>
      </w:r>
      <w:r w:rsidDel="00000000" w:rsidR="00000000" w:rsidRPr="00000000">
        <w:rPr>
          <w:rFonts w:ascii="Times New Roman" w:cs="Times New Roman" w:eastAsia="Times New Roman" w:hAnsi="Times New Roman"/>
          <w:sz w:val="20"/>
          <w:szCs w:val="20"/>
          <w:rtl w:val="0"/>
        </w:rPr>
        <w:t xml:space="preserve">M. Lichman, "UCI Machine Learning Repository," 2013. [Online]. Available: http://archive.ics.uci.edu/ml. [Accessed: Jun. 22, 2026].</w:t>
      </w:r>
      <w:r w:rsidDel="00000000" w:rsidR="00000000" w:rsidRPr="00000000">
        <w:rPr>
          <w:rtl w:val="0"/>
        </w:rPr>
      </w:r>
    </w:p>
    <w:p w:rsidR="00000000" w:rsidDel="00000000" w:rsidP="00000000" w:rsidRDefault="00000000" w:rsidRPr="00000000" w14:paraId="0000007C">
      <w:pPr>
        <w:widowControl w:val="0"/>
        <w:spacing w:after="0" w:line="240" w:lineRule="auto"/>
        <w:ind w:left="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tab/>
        <w:t xml:space="preserve">Quinlan, J. R. (1993). </w:t>
      </w:r>
      <w:r w:rsidDel="00000000" w:rsidR="00000000" w:rsidRPr="00000000">
        <w:rPr>
          <w:rFonts w:ascii="Times New Roman" w:cs="Times New Roman" w:eastAsia="Times New Roman" w:hAnsi="Times New Roman"/>
          <w:i w:val="1"/>
          <w:iCs w:val="1"/>
          <w:rtl w:val="0"/>
        </w:rPr>
        <w:t xml:space="preserve">C4.5: Programs for Machine Learning</w:t>
      </w:r>
      <w:r w:rsidDel="00000000" w:rsidR="00000000" w:rsidRPr="00000000">
        <w:rPr>
          <w:rFonts w:ascii="Times New Roman" w:cs="Times New Roman" w:eastAsia="Times New Roman" w:hAnsi="Times New Roman"/>
          <w:rtl w:val="0"/>
        </w:rPr>
        <w:t xml:space="preserve">. Morgan Kaufmann Publishers.</w:t>
      </w:r>
    </w:p>
    <w:p w:rsidR="00000000" w:rsidDel="00000000" w:rsidP="00000000" w:rsidRDefault="00000000" w:rsidRPr="00000000" w14:paraId="0000007D">
      <w:pPr>
        <w:widowControl w:val="0"/>
        <w:spacing w:after="0" w:line="240" w:lineRule="auto"/>
        <w:ind w:left="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tab/>
        <w:t xml:space="preserve">Cover, T., &amp; Hart, P. (1967). Nearest Neighbor Pattern Classification. </w:t>
      </w:r>
      <w:r w:rsidDel="00000000" w:rsidR="00000000" w:rsidRPr="00000000">
        <w:rPr>
          <w:rFonts w:ascii="Times New Roman" w:cs="Times New Roman" w:eastAsia="Times New Roman" w:hAnsi="Times New Roman"/>
          <w:i w:val="1"/>
          <w:iCs w:val="1"/>
          <w:rtl w:val="0"/>
        </w:rPr>
        <w:t xml:space="preserve">IEEE Transactions on Information Theory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13</w:t>
      </w:r>
      <w:r w:rsidDel="00000000" w:rsidR="00000000" w:rsidRPr="00000000">
        <w:rPr>
          <w:rFonts w:ascii="Times New Roman" w:cs="Times New Roman" w:eastAsia="Times New Roman" w:hAnsi="Times New Roman"/>
          <w:rtl w:val="0"/>
        </w:rPr>
        <w:t xml:space="preserve">(1), 21–27. https://doi.org/10.1109/TIT.1967.1053964</w:t>
      </w:r>
    </w:p>
    <w:p w:rsidR="00000000" w:rsidDel="00000000" w:rsidP="00000000" w:rsidRDefault="00000000" w:rsidRPr="00000000" w14:paraId="0000007E">
      <w:pPr>
        <w:widowControl w:val="0"/>
        <w:spacing w:after="0" w:line="240" w:lineRule="auto"/>
        <w:ind w:left="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tab/>
        <w:t xml:space="preserve">Amershi, S., Cakmak, M., Knox, W. B., &amp; Kulesza, T. (2014). Power to the People: The Role of Humans in Interactive Machine Learning. </w:t>
      </w:r>
      <w:r w:rsidDel="00000000" w:rsidR="00000000" w:rsidRPr="00000000">
        <w:rPr>
          <w:rFonts w:ascii="Times New Roman" w:cs="Times New Roman" w:eastAsia="Times New Roman" w:hAnsi="Times New Roman"/>
          <w:i w:val="1"/>
          <w:iCs w:val="1"/>
          <w:rtl w:val="0"/>
        </w:rPr>
        <w:t xml:space="preserve">AI Magazine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35</w:t>
      </w:r>
      <w:r w:rsidDel="00000000" w:rsidR="00000000" w:rsidRPr="00000000">
        <w:rPr>
          <w:rFonts w:ascii="Times New Roman" w:cs="Times New Roman" w:eastAsia="Times New Roman" w:hAnsi="Times New Roman"/>
          <w:rtl w:val="0"/>
        </w:rPr>
        <w:t xml:space="preserve">(4), 105–120. https://doi.org/10.1609/aimag.v35i4.2513</w:t>
      </w:r>
    </w:p>
    <w:p w:rsidR="00000000" w:rsidDel="00000000" w:rsidP="00000000" w:rsidRDefault="00000000" w:rsidRPr="00000000" w14:paraId="0000007F">
      <w:pPr>
        <w:widowControl w:val="0"/>
        <w:spacing w:after="0" w:line="240" w:lineRule="auto"/>
        <w:ind w:left="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tab/>
        <w:t xml:space="preserve">Goodman, B., &amp; Flaxman, S. (2017). European Union Regulations on Algorithmic Decision Making and the Right to Explanation. </w:t>
      </w:r>
      <w:r w:rsidDel="00000000" w:rsidR="00000000" w:rsidRPr="00000000">
        <w:rPr>
          <w:rFonts w:ascii="Times New Roman" w:cs="Times New Roman" w:eastAsia="Times New Roman" w:hAnsi="Times New Roman"/>
          <w:i w:val="1"/>
          <w:iCs w:val="1"/>
          <w:rtl w:val="0"/>
        </w:rPr>
        <w:t xml:space="preserve">AI Magazine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38</w:t>
      </w:r>
      <w:r w:rsidDel="00000000" w:rsidR="00000000" w:rsidRPr="00000000">
        <w:rPr>
          <w:rFonts w:ascii="Times New Roman" w:cs="Times New Roman" w:eastAsia="Times New Roman" w:hAnsi="Times New Roman"/>
          <w:rtl w:val="0"/>
        </w:rPr>
        <w:t xml:space="preserve">(3), 50–57.</w:t>
      </w:r>
    </w:p>
    <w:p w:rsidR="00000000" w:rsidDel="00000000" w:rsidP="00000000" w:rsidRDefault="00000000" w:rsidRPr="00000000" w14:paraId="00000080">
      <w:pPr>
        <w:widowControl w:val="0"/>
        <w:spacing w:after="0" w:line="240" w:lineRule="auto"/>
        <w:ind w:left="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tab/>
        <w:t xml:space="preserve">Rudin, C. (2019). Stop Explaining Black Box Machine Learning Models for High Stakes Decisions and Use Interpretable Models Instead. </w:t>
      </w:r>
      <w:r w:rsidDel="00000000" w:rsidR="00000000" w:rsidRPr="00000000">
        <w:rPr>
          <w:rFonts w:ascii="Times New Roman" w:cs="Times New Roman" w:eastAsia="Times New Roman" w:hAnsi="Times New Roman"/>
          <w:i w:val="1"/>
          <w:iCs w:val="1"/>
          <w:rtl w:val="0"/>
        </w:rPr>
        <w:t xml:space="preserve">Nature Machine Intelligence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w:t>
      </w:r>
      <w:r w:rsidDel="00000000" w:rsidR="00000000" w:rsidRPr="00000000">
        <w:rPr>
          <w:rFonts w:ascii="Times New Roman" w:cs="Times New Roman" w:eastAsia="Times New Roman" w:hAnsi="Times New Roman"/>
          <w:rtl w:val="0"/>
        </w:rPr>
        <w:t xml:space="preserve">, 206–215. https://doi.org/10.1038/s42256-019-0048-x</w:t>
      </w:r>
    </w:p>
    <w:p w:rsidR="00000000" w:rsidDel="00000000" w:rsidP="00000000" w:rsidRDefault="00000000" w:rsidRPr="00000000" w14:paraId="00000081">
      <w:pPr>
        <w:widowControl w:val="0"/>
        <w:spacing w:after="0" w:line="240" w:lineRule="auto"/>
        <w:ind w:left="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tab/>
        <w:t xml:space="preserve">Breiman, L. (2001). Random Forests. </w:t>
      </w:r>
      <w:r w:rsidDel="00000000" w:rsidR="00000000" w:rsidRPr="00000000">
        <w:rPr>
          <w:rFonts w:ascii="Times New Roman" w:cs="Times New Roman" w:eastAsia="Times New Roman" w:hAnsi="Times New Roman"/>
          <w:i w:val="1"/>
          <w:iCs w:val="1"/>
          <w:rtl w:val="0"/>
        </w:rPr>
        <w:t xml:space="preserve">Machine Learning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45</w:t>
      </w:r>
      <w:r w:rsidDel="00000000" w:rsidR="00000000" w:rsidRPr="00000000">
        <w:rPr>
          <w:rFonts w:ascii="Times New Roman" w:cs="Times New Roman" w:eastAsia="Times New Roman" w:hAnsi="Times New Roman"/>
          <w:rtl w:val="0"/>
        </w:rPr>
        <w:t xml:space="preserve">(1), 5–32. https://doi.org/10.1023/A:1010933404324</w:t>
      </w:r>
    </w:p>
    <w:p w:rsidR="00000000" w:rsidDel="00000000" w:rsidP="00000000" w:rsidRDefault="00000000" w:rsidRPr="00000000" w14:paraId="00000082">
      <w:pPr>
        <w:widowControl w:val="0"/>
        <w:spacing w:after="0" w:line="240" w:lineRule="auto"/>
        <w:ind w:left="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tab/>
        <w:t xml:space="preserve">Murphy, S. N., Weber, G., Mendis, M., Gainer, V., Chueh, H. C., Churchill, S., &amp; Kohane, I. (2020). Serving the Enterprise and Beyond with Informatics for Integrating Biology and the Bedside (i2b2). </w:t>
      </w:r>
      <w:r w:rsidDel="00000000" w:rsidR="00000000" w:rsidRPr="00000000">
        <w:rPr>
          <w:rFonts w:ascii="Times New Roman" w:cs="Times New Roman" w:eastAsia="Times New Roman" w:hAnsi="Times New Roman"/>
          <w:i w:val="1"/>
          <w:iCs w:val="1"/>
          <w:rtl w:val="0"/>
        </w:rPr>
        <w:t xml:space="preserve">Journal of the American Medical Informatics Association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27</w:t>
      </w:r>
      <w:r w:rsidDel="00000000" w:rsidR="00000000" w:rsidRPr="00000000">
        <w:rPr>
          <w:rFonts w:ascii="Times New Roman" w:cs="Times New Roman" w:eastAsia="Times New Roman" w:hAnsi="Times New Roman"/>
          <w:rtl w:val="0"/>
        </w:rPr>
        <w:t xml:space="preserve">(3), 429–438. https://doi.org/10.1136/jamia.2009.000893</w:t>
      </w:r>
    </w:p>
    <w:p w:rsidR="00000000" w:rsidDel="00000000" w:rsidP="00000000" w:rsidRDefault="00000000" w:rsidRPr="00000000" w14:paraId="00000083">
      <w:pPr>
        <w:widowControl w:val="0"/>
        <w:spacing w:after="0" w:line="240" w:lineRule="auto"/>
        <w:ind w:left="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tab/>
        <w:t xml:space="preserve">Chen, T., &amp; Guestrin, C. (2016). XGBoost: A Scalable Tree Boosting System. </w:t>
      </w:r>
      <w:r w:rsidDel="00000000" w:rsidR="00000000" w:rsidRPr="00000000">
        <w:rPr>
          <w:rFonts w:ascii="Times New Roman" w:cs="Times New Roman" w:eastAsia="Times New Roman" w:hAnsi="Times New Roman"/>
          <w:i w:val="1"/>
          <w:iCs w:val="1"/>
          <w:rtl w:val="0"/>
        </w:rPr>
        <w:t xml:space="preserve">Proceedings of the 22nd ACM SIGKDD International Conference on Knowledge Discovery and Data Mining</w:t>
      </w:r>
      <w:r w:rsidDel="00000000" w:rsidR="00000000" w:rsidRPr="00000000">
        <w:rPr>
          <w:rFonts w:ascii="Times New Roman" w:cs="Times New Roman" w:eastAsia="Times New Roman" w:hAnsi="Times New Roman"/>
          <w:rtl w:val="0"/>
        </w:rPr>
        <w:t xml:space="preserve">, 785–794. https://doi.org/10.1145/2939672.2939785</w:t>
      </w:r>
    </w:p>
    <w:p w:rsidR="00000000" w:rsidDel="00000000" w:rsidP="00000000" w:rsidRDefault="00000000" w:rsidRPr="00000000" w14:paraId="00000084">
      <w:pPr>
        <w:widowControl w:val="0"/>
        <w:spacing w:after="0" w:line="240" w:lineRule="auto"/>
        <w:ind w:left="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tab/>
        <w:t xml:space="preserve">Kuncheva, L. I. (2014). Combining Pattern Classifiers: Methods and Algorithms. </w:t>
      </w:r>
      <w:r w:rsidDel="00000000" w:rsidR="00000000" w:rsidRPr="00000000">
        <w:rPr>
          <w:rFonts w:ascii="Times New Roman" w:cs="Times New Roman" w:eastAsia="Times New Roman" w:hAnsi="Times New Roman"/>
          <w:i w:val="1"/>
          <w:iCs w:val="1"/>
          <w:rtl w:val="0"/>
        </w:rPr>
        <w:t xml:space="preserve">Pattern Recognition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47</w:t>
      </w:r>
      <w:r w:rsidDel="00000000" w:rsidR="00000000" w:rsidRPr="00000000">
        <w:rPr>
          <w:rFonts w:ascii="Times New Roman" w:cs="Times New Roman" w:eastAsia="Times New Roman" w:hAnsi="Times New Roman"/>
          <w:rtl w:val="0"/>
        </w:rPr>
        <w:t xml:space="preserve">(1), 3–10.</w:t>
      </w:r>
    </w:p>
    <w:p w:rsidR="00000000" w:rsidDel="00000000" w:rsidP="00000000" w:rsidRDefault="00000000" w:rsidRPr="00000000" w14:paraId="00000085">
      <w:pPr>
        <w:widowControl w:val="0"/>
        <w:spacing w:after="0" w:line="240" w:lineRule="auto"/>
        <w:ind w:left="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tab/>
        <w:t xml:space="preserve">Zheng, A., &amp; Casari, A. (2018). Feature Engineering for Machine Learning: Principles and Techniques for Data Scientists. </w:t>
      </w:r>
      <w:r w:rsidDel="00000000" w:rsidR="00000000" w:rsidRPr="00000000">
        <w:rPr>
          <w:rFonts w:ascii="Times New Roman" w:cs="Times New Roman" w:eastAsia="Times New Roman" w:hAnsi="Times New Roman"/>
          <w:i w:val="1"/>
          <w:iCs w:val="1"/>
          <w:rtl w:val="0"/>
        </w:rPr>
        <w:t xml:space="preserve">O’Reilly Media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6">
      <w:pPr>
        <w:widowControl w:val="0"/>
        <w:spacing w:after="0" w:line="240" w:lineRule="auto"/>
        <w:ind w:left="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tab/>
        <w:t xml:space="preserve">Hosmer, D. W., Lemeshow, S., &amp; Sturdivant, R. X. (2013). Applied Logistic Regression. </w:t>
      </w:r>
      <w:r w:rsidDel="00000000" w:rsidR="00000000" w:rsidRPr="00000000">
        <w:rPr>
          <w:rFonts w:ascii="Times New Roman" w:cs="Times New Roman" w:eastAsia="Times New Roman" w:hAnsi="Times New Roman"/>
          <w:i w:val="1"/>
          <w:iCs w:val="1"/>
          <w:rtl w:val="0"/>
        </w:rPr>
        <w:t xml:space="preserve">Wiley-Interscience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7">
      <w:pPr>
        <w:widowControl w:val="0"/>
        <w:spacing w:after="0" w:line="240" w:lineRule="auto"/>
        <w:ind w:left="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tab/>
        <w:t xml:space="preserve">Lipton, Z. C., Elkan, C., &amp; Nawathe, G. (2016). The Mythos of Model Interpretability: In Machine Learning, the Concept of Interpretability is Both Important and Slippery. </w:t>
      </w:r>
      <w:r w:rsidDel="00000000" w:rsidR="00000000" w:rsidRPr="00000000">
        <w:rPr>
          <w:rFonts w:ascii="Times New Roman" w:cs="Times New Roman" w:eastAsia="Times New Roman" w:hAnsi="Times New Roman"/>
          <w:i w:val="1"/>
          <w:iCs w:val="1"/>
          <w:rtl w:val="0"/>
        </w:rPr>
        <w:t xml:space="preserve">Queue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14</w:t>
      </w:r>
      <w:r w:rsidDel="00000000" w:rsidR="00000000" w:rsidRPr="00000000">
        <w:rPr>
          <w:rFonts w:ascii="Times New Roman" w:cs="Times New Roman" w:eastAsia="Times New Roman" w:hAnsi="Times New Roman"/>
          <w:rtl w:val="0"/>
        </w:rPr>
        <w:t xml:space="preserve">(3), 31–57.</w:t>
      </w:r>
    </w:p>
    <w:p w:rsidR="00000000" w:rsidDel="00000000" w:rsidP="00000000" w:rsidRDefault="00000000" w:rsidRPr="00000000" w14:paraId="00000088">
      <w:pPr>
        <w:widowControl w:val="0"/>
        <w:spacing w:after="0" w:line="240" w:lineRule="auto"/>
        <w:ind w:left="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tab/>
        <w:t xml:space="preserve">Goldstein, A., Kapelner, A., Bleich, J., &amp; Pitkin, E. (2015). Peeking Inside the Black Box: Visualizing Statistical Learning with Plots of Individual Conditional Expectation. </w:t>
      </w:r>
      <w:r w:rsidDel="00000000" w:rsidR="00000000" w:rsidRPr="00000000">
        <w:rPr>
          <w:rFonts w:ascii="Times New Roman" w:cs="Times New Roman" w:eastAsia="Times New Roman" w:hAnsi="Times New Roman"/>
          <w:i w:val="1"/>
          <w:iCs w:val="1"/>
          <w:rtl w:val="0"/>
        </w:rPr>
        <w:t xml:space="preserve">Journal of Computational and Graphical Statistics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24</w:t>
      </w:r>
      <w:r w:rsidDel="00000000" w:rsidR="00000000" w:rsidRPr="00000000">
        <w:rPr>
          <w:rFonts w:ascii="Times New Roman" w:cs="Times New Roman" w:eastAsia="Times New Roman" w:hAnsi="Times New Roman"/>
          <w:rtl w:val="0"/>
        </w:rPr>
        <w:t xml:space="preserve">(1), 44–65. https://doi.org/10.1080/10618600.2014.907095</w:t>
      </w:r>
    </w:p>
    <w:p w:rsidR="00000000" w:rsidDel="00000000" w:rsidP="00000000" w:rsidRDefault="00000000" w:rsidRPr="00000000" w14:paraId="00000089">
      <w:pPr>
        <w:widowControl w:val="0"/>
        <w:spacing w:after="0" w:line="240" w:lineRule="auto"/>
        <w:ind w:left="6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tab/>
        <w:t xml:space="preserve">Chandrashekar, G., &amp; Sahin, F. (2014). A Survey on Feature Selection Methods. </w:t>
      </w:r>
      <w:r w:rsidDel="00000000" w:rsidR="00000000" w:rsidRPr="00000000">
        <w:rPr>
          <w:rFonts w:ascii="Times New Roman" w:cs="Times New Roman" w:eastAsia="Times New Roman" w:hAnsi="Times New Roman"/>
          <w:i w:val="1"/>
          <w:iCs w:val="1"/>
          <w:rtl w:val="0"/>
        </w:rPr>
        <w:t xml:space="preserve">Computers &amp; Electrical Engineering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40</w:t>
      </w:r>
      <w:r w:rsidDel="00000000" w:rsidR="00000000" w:rsidRPr="00000000">
        <w:rPr>
          <w:rFonts w:ascii="Times New Roman" w:cs="Times New Roman" w:eastAsia="Times New Roman" w:hAnsi="Times New Roman"/>
          <w:rtl w:val="0"/>
        </w:rPr>
        <w:t xml:space="preserve">(1), 16–28. https://doi.org/10.1016/j.compeleceng.2013.11.024</w:t>
      </w:r>
    </w:p>
    <w:p w:rsidR="00000000" w:rsidDel="00000000" w:rsidP="00000000" w:rsidRDefault="00000000" w:rsidRPr="00000000" w14:paraId="0000008A">
      <w:pPr>
        <w:widowControl w:val="0"/>
        <w:spacing w:after="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90">
      <w:pPr>
        <w:pStyle w:val="Heading5"/>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SUBMISSION CHECK-LIST (MUST BE INCLUDED IN ARTICLE FILE)</w:t>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320"/>
          <w:tab w:val="right" w:leader="none" w:pos="9242"/>
        </w:tabs>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All items must be YES before submitting to </w:t>
      </w:r>
      <w:r w:rsidDel="00000000" w:rsidR="00000000" w:rsidRPr="00000000">
        <w:rPr>
          <w:rFonts w:ascii="Arial" w:cs="Arial" w:eastAsia="Arial" w:hAnsi="Arial"/>
          <w:b w:val="1"/>
          <w:bCs w:val="1"/>
          <w:color w:val="555555"/>
          <w:sz w:val="21"/>
          <w:szCs w:val="21"/>
          <w:highlight w:val="white"/>
          <w:rtl w:val="0"/>
        </w:rPr>
        <w:t xml:space="preserve">International Journal of Machine Learning (IJOML)</w:t>
      </w:r>
      <w:r w:rsidDel="00000000" w:rsidR="00000000" w:rsidRPr="00000000">
        <w:rPr>
          <w:rFonts w:ascii="Arial" w:cs="Arial" w:eastAsia="Arial" w:hAnsi="Arial"/>
          <w:color w:val="555555"/>
          <w:sz w:val="21"/>
          <w:szCs w:val="21"/>
          <w:highlight w:val="white"/>
          <w:rtl w:val="0"/>
        </w:rPr>
        <w:t xml:space="preserve"> </w:t>
      </w:r>
      <w:r w:rsidDel="00000000" w:rsidR="00000000" w:rsidRPr="00000000">
        <w:rPr>
          <w:rFonts w:ascii="Times New Roman" w:cs="Times New Roman" w:eastAsia="Times New Roman" w:hAnsi="Times New Roman"/>
          <w:color w:val="000000"/>
          <w:sz w:val="20"/>
          <w:szCs w:val="20"/>
          <w:rtl w:val="0"/>
        </w:rPr>
        <w:t xml:space="preserve"> in order to make sure a manuscript well-prepared within a high standard. Please put X in column Yes after checking each item</w:t>
      </w:r>
    </w:p>
    <w:p w:rsidR="00000000" w:rsidDel="00000000" w:rsidP="00000000" w:rsidRDefault="00000000" w:rsidRPr="00000000" w14:paraId="00000092">
      <w:pPr>
        <w:spacing w:before="16" w:lineRule="auto"/>
        <w:ind w:right="118"/>
        <w:rPr>
          <w:rFonts w:ascii="Times New Roman" w:cs="Times New Roman" w:eastAsia="Times New Roman" w:hAnsi="Times New Roman"/>
          <w:sz w:val="24"/>
          <w:szCs w:val="24"/>
        </w:rPr>
      </w:pPr>
      <w:r w:rsidDel="00000000" w:rsidR="00000000" w:rsidRPr="00000000">
        <w:rPr>
          <w:rtl w:val="0"/>
        </w:rPr>
      </w:r>
    </w:p>
    <w:tbl>
      <w:tblPr>
        <w:tblStyle w:val="Table3"/>
        <w:tblW w:w="8398.999999999998" w:type="dxa"/>
        <w:jc w:val="left"/>
        <w:tblInd w:w="99.0" w:type="dxa"/>
        <w:tblLayout w:type="fixed"/>
        <w:tblLook w:val="0000"/>
      </w:tblPr>
      <w:tblGrid>
        <w:gridCol w:w="583"/>
        <w:gridCol w:w="6399"/>
        <w:gridCol w:w="709"/>
        <w:gridCol w:w="708"/>
        <w:tblGridChange w:id="0">
          <w:tblGrid>
            <w:gridCol w:w="583"/>
            <w:gridCol w:w="6399"/>
            <w:gridCol w:w="709"/>
            <w:gridCol w:w="708"/>
          </w:tblGrid>
        </w:tblGridChange>
      </w:tblGrid>
      <w:tr>
        <w:trPr>
          <w:cantSplit w:val="0"/>
          <w:trHeight w:val="254" w:hRule="atLeast"/>
          <w:tblHeader w:val="0"/>
        </w:trPr>
        <w:tc>
          <w:tcPr>
            <w:gridSpan w:val="2"/>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93">
            <w:pPr>
              <w:ind w:left="3176" w:right="240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General Format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95">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96">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0" w:hRule="atLeast"/>
          <w:tblHeader w:val="0"/>
        </w:trPr>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97">
            <w:pPr>
              <w:ind w:left="15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98">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Item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99">
            <w:pPr>
              <w:ind w:left="102"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9A">
            <w:pPr>
              <w:ind w:left="1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B">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C">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have prepared the manuscript using “IJOML-Template.docx”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E">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64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F">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0">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manuscript is written in single or double column using Times New Roman 11 pt font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2">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71"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3">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4">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 is matching with the focus of the manuscript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6">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7">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8">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have complete authors information: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9">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A">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B">
            <w:pP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 Affiliation of all authors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E">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F">
            <w:pP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 Indicate one of the authors is the corresponding author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2">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13"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3">
            <w:pPr>
              <w:ind w:left="199" w:right="201"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4">
            <w:pPr>
              <w:ind w:left="102" w:right="16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Email of corresponding author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6">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558"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7">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8">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length of the manuscript is not less than 3500 words (excluding abstract, author information and reference list)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A">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651"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B">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C">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manuscript contains the core contents: introduction with literature review, method, results, discussion, conclusion, conflict of interest, references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E">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F">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0">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Contains maximum 2 level of sections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2">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0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3">
            <w:pPr>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4">
            <w:pPr>
              <w:ind w:left="102"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5">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6">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18" w:hRule="atLeast"/>
          <w:tblHeader w:val="0"/>
        </w:trPr>
        <w:tc>
          <w:tcPr>
            <w:gridSpan w:val="2"/>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C7">
            <w:pPr>
              <w:ind w:left="2880" w:right="212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Abstract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C9">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CA">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0" w:hRule="atLeast"/>
          <w:tblHeader w:val="0"/>
        </w:trPr>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CB">
            <w:pPr>
              <w:ind w:left="15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CC">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Item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CD">
            <w:pPr>
              <w:ind w:left="102"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CE">
            <w:pPr>
              <w:ind w:left="1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F">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0">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abstract is written between 150 – 250 words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2">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3">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4">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contains the purpose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6">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7">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8">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contains the method / research approach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A">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B">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C">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contains the results / conclusion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E">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F">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0">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contains novelty/originality/important findings/impact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2">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3">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4">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abstract is completed with keywords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6">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7">
            <w:pPr>
              <w:ind w:left="199" w:right="201"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8">
            <w:pPr>
              <w:ind w:left="102"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9">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A">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44" w:hRule="atLeast"/>
          <w:tblHeader w:val="0"/>
        </w:trPr>
        <w:tc>
          <w:tcPr>
            <w:gridSpan w:val="2"/>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EB">
            <w:pPr>
              <w:ind w:left="2160" w:right="155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Figures (if applicable)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ED">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0EE">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0" w:hRule="atLeast"/>
          <w:tblHeader w:val="0"/>
        </w:trPr>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EF">
            <w:pPr>
              <w:ind w:left="15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F0">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Item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F1">
            <w:pPr>
              <w:ind w:left="102"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0F2">
            <w:pPr>
              <w:ind w:left="1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r>
      <w:tr>
        <w:trPr>
          <w:cantSplit w:val="0"/>
          <w:trHeight w:val="58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3">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4">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figures are clear and readable (image, text and legend) with high resolution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6">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7">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8">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figures are in formal style, without redundant title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A">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63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B">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C">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information in the figure are in English and all decimal written in international standard, using point (.) not comma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E">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F">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0">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figures have captions (at the bottom) with consecutive numbers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2">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3">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4">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figures are cited in the text using consistent citation style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6">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686"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7">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8">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Never citing figure using below and above, but using the number of figure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A">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18" w:hRule="atLeast"/>
          <w:tblHeader w:val="0"/>
        </w:trPr>
        <w:tc>
          <w:tcPr>
            <w:gridSpan w:val="2"/>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0B">
            <w:pPr>
              <w:ind w:left="2160" w:right="169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Tables (if applicable)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0D">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0E">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0" w:hRule="atLeast"/>
          <w:tblHeader w:val="0"/>
        </w:trPr>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0F">
            <w:pPr>
              <w:ind w:left="15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10">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Item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11">
            <w:pPr>
              <w:ind w:left="102"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12">
            <w:pPr>
              <w:ind w:left="1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r>
      <w:tr>
        <w:trPr>
          <w:cantSplit w:val="0"/>
          <w:trHeight w:val="29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3">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4">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texts in tables are clear and readable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6">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7">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8">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tables are in formal style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A">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543"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B">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C">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information in the table are in English and all decimal written in international standard, using point (.) not comma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E">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F">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0">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tables are captioned on top with consecutive numbers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2">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3">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4">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tables are cited in the text using consistent citation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6">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621"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7">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8">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Never citing table using below and above, but using the number of table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A">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90" w:hRule="atLeast"/>
          <w:tblHeader w:val="0"/>
        </w:trPr>
        <w:tc>
          <w:tcPr>
            <w:gridSpan w:val="2"/>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2B">
            <w:pPr>
              <w:ind w:left="250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Equations (if applicable)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2D">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2E">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0" w:hRule="atLeast"/>
          <w:tblHeader w:val="0"/>
        </w:trPr>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2F">
            <w:pPr>
              <w:ind w:left="15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30">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Item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31">
            <w:pPr>
              <w:ind w:left="102"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32">
            <w:pPr>
              <w:ind w:left="1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3">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4">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equations are written using editor tool (editable), not a cropped image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6">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7">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8">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equations are captioned on top with consecutive numbers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A">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46"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B">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C">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equations are cited in the text using consistent citation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E">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573"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F">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0">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Never citing equation using below and above, but using the number of equation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2">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16" w:hRule="atLeast"/>
          <w:tblHeader w:val="0"/>
        </w:trPr>
        <w:tc>
          <w:tcPr>
            <w:gridSpan w:val="2"/>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43">
            <w:pPr>
              <w:ind w:left="1440" w:right="98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References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45">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6">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7">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5e0b3" w:val="clear"/>
          </w:tcPr>
          <w:p w:rsidR="00000000" w:rsidDel="00000000" w:rsidP="00000000" w:rsidRDefault="00000000" w:rsidRPr="00000000" w14:paraId="00000148">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0" w:hRule="atLeast"/>
          <w:tblHeader w:val="0"/>
        </w:trPr>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49">
            <w:pPr>
              <w:ind w:left="15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4A">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Item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4B">
            <w:pPr>
              <w:ind w:left="102"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dbdb" w:val="clear"/>
          </w:tcPr>
          <w:p w:rsidR="00000000" w:rsidDel="00000000" w:rsidP="00000000" w:rsidRDefault="00000000" w:rsidRPr="00000000" w14:paraId="0000014C">
            <w:pPr>
              <w:ind w:left="1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D">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E">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 list and citation consistently follows the IEEE style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0">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588"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1">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2">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Journal names in the reference list are not in abbreviated format, but it should be in full name format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4">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5">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6">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references are cited in the text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8">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9">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A">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Citation in the text follows general consistent citation rules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C">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D">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E">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Paper cites at least 25 references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0">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1">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2">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sources are not more than 20% of the reference list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4">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5">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6">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 of references should came from journals/conferences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8">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588"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9">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A">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references comes from journals, it should mention name of journal, volume, no, page, and DOI.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C">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5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D">
            <w:pPr>
              <w:ind w:left="199" w:right="2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E">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Self-citation in the list is not more than 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0">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556"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1">
            <w:pPr>
              <w:ind w:left="199" w:right="11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2">
            <w:pPr>
              <w:ind w:left="10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all authors in the reference list unless authors more than 7 (Write the first 6, then et 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4">
            <w:pPr>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120" w:line="240" w:lineRule="auto"/>
        <w:jc w:val="both"/>
        <w:rPr>
          <w:rFonts w:ascii="Times New Roman" w:cs="Times New Roman" w:eastAsia="Times New Roman" w:hAnsi="Times New Roman"/>
          <w:color w:val="000000"/>
          <w:sz w:val="20"/>
          <w:szCs w:val="20"/>
        </w:rPr>
      </w:pPr>
      <w:r w:rsidDel="00000000" w:rsidR="00000000" w:rsidRPr="00000000">
        <w:rPr>
          <w:rtl w:val="0"/>
        </w:rPr>
      </w:r>
    </w:p>
    <w:sectPr>
      <w:headerReference r:id="rId9" w:type="default"/>
      <w:footerReference r:id="rId10" w:type="default"/>
      <w:footerReference r:id="rId11" w:type="even"/>
      <w:pgSz w:h="16838" w:w="11906" w:orient="portrait"/>
      <w:pgMar w:bottom="1134"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B">
    <w:pPr>
      <w:pBdr>
        <w:top w:color="000000" w:space="1" w:sz="4" w:val="single"/>
        <w:left w:space="0" w:sz="0" w:val="nil"/>
        <w:bottom w:space="0" w:sz="0" w:val="nil"/>
        <w:right w:space="0" w:sz="0" w:val="nil"/>
        <w:between w:space="0" w:sz="0" w:val="nil"/>
      </w:pBdr>
      <w:tabs>
        <w:tab w:val="center" w:leader="none" w:pos="4680"/>
        <w:tab w:val="right" w:leader="none" w:pos="9360"/>
        <w:tab w:val="left" w:leader="none" w:pos="210"/>
        <w:tab w:val="right" w:leader="none" w:pos="9071"/>
      </w:tabs>
      <w:spacing w:after="0" w:line="240" w:lineRule="auto"/>
      <w:rPr>
        <w:rFonts w:ascii="Times New Roman" w:cs="Times New Roman" w:eastAsia="Times New Roman" w:hAnsi="Times New Roman"/>
        <w:color w:val="000000"/>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pBdr>
        <w:top w:space="0" w:sz="0" w:val="nil"/>
        <w:left w:space="0" w:sz="0" w:val="nil"/>
        <w:bottom w:space="0" w:sz="0" w:val="nil"/>
        <w:right w:space="0" w:sz="0" w:val="nil"/>
        <w:between w:space="0" w:sz="0" w:val="nil"/>
      </w:pBdr>
      <w:tabs>
        <w:tab w:val="center" w:leader="none" w:pos="4680"/>
        <w:tab w:val="right" w:leader="none" w:pos="9360"/>
        <w:tab w:val="center" w:leader="none" w:pos="4395"/>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International Journal of Machine Learning</w:t>
      <w:tab/>
      <w:tab/>
    </w:r>
    <w:r w:rsidDel="00000000" w:rsidR="00000000" w:rsidRPr="00000000">
      <w:rPr>
        <w:rFonts w:ascii="Times New Roman" w:cs="Times New Roman" w:eastAsia="Times New Roman" w:hAnsi="Times New Roman"/>
        <w:color w:val="000000"/>
        <w:sz w:val="20"/>
        <w:szCs w:val="20"/>
        <w:rtl w:val="0"/>
      </w:rPr>
      <w:t xml:space="preserve">Vol. x, No. x, June 2026, Page. xxxx-xxxx</w:t>
    </w:r>
    <w:r w:rsidDel="00000000" w:rsidR="00000000" w:rsidRPr="00000000">
      <w:rPr>
        <w:rtl w:val="0"/>
      </w:rPr>
    </w:r>
  </w:p>
  <w:p w:rsidR="00000000" w:rsidDel="00000000" w:rsidP="00000000" w:rsidRDefault="00000000" w:rsidRPr="00000000" w14:paraId="00000177">
    <w:pPr>
      <w:pBdr>
        <w:top w:space="0" w:sz="0" w:val="nil"/>
        <w:left w:space="0" w:sz="0" w:val="nil"/>
        <w:bottom w:color="000000" w:space="1" w:sz="4" w:val="single"/>
        <w:right w:space="0" w:sz="0" w:val="nil"/>
        <w:between w:space="0" w:sz="0" w:val="nil"/>
      </w:pBdr>
      <w:tabs>
        <w:tab w:val="center" w:leader="none" w:pos="4680"/>
        <w:tab w:val="right" w:leader="none" w:pos="9360"/>
        <w:tab w:val="center" w:leader="none" w:pos="4770"/>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P-ISSN: xxxx-xxxx</w:t>
      <w:tab/>
      <w:tab/>
    </w:r>
    <w:hyperlink r:id="rId1">
      <w:r w:rsidDel="00000000" w:rsidR="00000000" w:rsidRPr="00000000">
        <w:rPr>
          <w:rFonts w:ascii="Times New Roman" w:cs="Times New Roman" w:eastAsia="Times New Roman" w:hAnsi="Times New Roman"/>
          <w:color w:val="0563c1"/>
          <w:sz w:val="20"/>
          <w:szCs w:val="20"/>
          <w:u w:val="single"/>
          <w:rtl w:val="0"/>
        </w:rPr>
        <w:t xml:space="preserve">https://ijoml.com/</w:t>
      </w:r>
    </w:hyperlink>
    <w:r w:rsidDel="00000000" w:rsidR="00000000" w:rsidRPr="00000000">
      <w:rPr>
        <w:rFonts w:ascii="Times New Roman" w:cs="Times New Roman" w:eastAsia="Times New Roman" w:hAnsi="Times New Roman"/>
        <w:color w:val="000000"/>
        <w:sz w:val="20"/>
        <w:szCs w:val="20"/>
        <w:rtl w:val="0"/>
      </w:rPr>
      <w:t xml:space="preserve">                                      </w:t>
    </w:r>
  </w:p>
  <w:p w:rsidR="00000000" w:rsidDel="00000000" w:rsidP="00000000" w:rsidRDefault="00000000" w:rsidRPr="00000000" w14:paraId="00000178">
    <w:pPr>
      <w:pBdr>
        <w:top w:space="0" w:sz="0" w:val="nil"/>
        <w:left w:space="0" w:sz="0" w:val="nil"/>
        <w:bottom w:color="000000" w:space="1" w:sz="4" w:val="single"/>
        <w:right w:space="0" w:sz="0" w:val="nil"/>
        <w:between w:space="0" w:sz="0" w:val="nil"/>
      </w:pBdr>
      <w:tabs>
        <w:tab w:val="center" w:leader="none" w:pos="4680"/>
        <w:tab w:val="right" w:leader="none" w:pos="9360"/>
        <w:tab w:val="center" w:leader="none" w:pos="4770"/>
      </w:tabs>
      <w:spacing w:after="0" w:line="3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E-ISSN: xxxx-xxxx</w:t>
      <w:tab/>
      <w:tab/>
      <w:t xml:space="preserve">DOI: </w:t>
    </w:r>
    <w:hyperlink r:id="rId2">
      <w:r w:rsidDel="00000000" w:rsidR="00000000" w:rsidRPr="00000000">
        <w:rPr>
          <w:rFonts w:ascii="Times New Roman" w:cs="Times New Roman" w:eastAsia="Times New Roman" w:hAnsi="Times New Roman"/>
          <w:color w:val="0563c1"/>
          <w:sz w:val="20"/>
          <w:szCs w:val="20"/>
          <w:u w:val="single"/>
          <w:rtl w:val="0"/>
        </w:rPr>
        <w:t xml:space="preserve">https://doi.org/10.52436/1.ijoml.vol.issue.id</w:t>
      </w:r>
    </w:hyperlink>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tabs>
        <w:tab w:val="center" w:leader="none" w:pos="4680"/>
        <w:tab w:val="right" w:leader="none" w:pos="9360"/>
        <w:tab w:val="right" w:leader="none" w:pos="8787"/>
      </w:tabs>
      <w:spacing w:after="0" w:line="240" w:lineRule="auto"/>
      <w:rPr>
        <w:color w:val="000000"/>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4b5"/>
      <w:sz w:val="32"/>
      <w:szCs w:val="32"/>
    </w:rPr>
  </w:style>
  <w:style w:type="paragraph" w:styleId="Heading2">
    <w:name w:val="heading 2"/>
    <w:basedOn w:val="Normal"/>
    <w:next w:val="Normal"/>
    <w:pPr>
      <w:keepNext w:val="1"/>
      <w:keepLines w:val="1"/>
      <w:tabs>
        <w:tab w:val="left" w:leader="none" w:pos="288"/>
      </w:tabs>
      <w:spacing w:after="60" w:before="120" w:line="240" w:lineRule="auto"/>
      <w:ind w:left="113"/>
    </w:pPr>
    <w:rPr>
      <w:rFonts w:ascii="Garamond" w:cs="Garamond" w:eastAsia="Garamond" w:hAnsi="Garamond"/>
      <w:i w:val="1"/>
      <w:iCs w:val="1"/>
      <w:sz w:val="20"/>
      <w:szCs w:val="20"/>
    </w:rPr>
  </w:style>
  <w:style w:type="paragraph" w:styleId="Heading3">
    <w:name w:val="heading 3"/>
    <w:basedOn w:val="Normal"/>
    <w:next w:val="Normal"/>
    <w:pPr>
      <w:tabs>
        <w:tab w:val="left" w:leader="none" w:pos="540"/>
      </w:tabs>
      <w:spacing w:after="0" w:line="240" w:lineRule="auto"/>
      <w:ind w:firstLine="288"/>
      <w:jc w:val="both"/>
    </w:pPr>
    <w:rPr>
      <w:rFonts w:ascii="Garamond" w:cs="Garamond" w:eastAsia="Garamond" w:hAnsi="Garamond"/>
      <w:i w:val="1"/>
      <w:iCs w:val="1"/>
      <w:sz w:val="20"/>
      <w:szCs w:val="20"/>
    </w:rPr>
  </w:style>
  <w:style w:type="paragraph" w:styleId="Heading4">
    <w:name w:val="heading 4"/>
    <w:basedOn w:val="Normal"/>
    <w:next w:val="Normal"/>
    <w:pPr>
      <w:tabs>
        <w:tab w:val="left" w:leader="none" w:pos="720"/>
        <w:tab w:val="left" w:leader="none" w:pos="821"/>
      </w:tabs>
      <w:spacing w:after="40" w:before="40" w:line="240" w:lineRule="auto"/>
      <w:ind w:firstLine="504"/>
      <w:jc w:val="both"/>
    </w:pPr>
    <w:rPr>
      <w:rFonts w:ascii="Garamond" w:cs="Garamond" w:eastAsia="Garamond" w:hAnsi="Garamond"/>
      <w:i w:val="1"/>
      <w:iCs w:val="1"/>
      <w:sz w:val="20"/>
      <w:szCs w:val="20"/>
    </w:rPr>
  </w:style>
  <w:style w:type="paragraph" w:styleId="Heading5">
    <w:name w:val="heading 5"/>
    <w:basedOn w:val="Normal"/>
    <w:next w:val="Normal"/>
    <w:pPr>
      <w:keepNext w:val="1"/>
      <w:keepLines w:val="1"/>
      <w:spacing w:after="0" w:before="40" w:lineRule="auto"/>
    </w:pPr>
    <w:rPr>
      <w:color w:val="2f5496"/>
    </w:rPr>
  </w:style>
  <w:style w:type="paragraph" w:styleId="Heading6">
    <w:name w:val="heading 6"/>
    <w:basedOn w:val="Normal"/>
    <w:next w:val="Normal"/>
    <w:pPr>
      <w:spacing w:after="60" w:before="240" w:line="240" w:lineRule="auto"/>
      <w:ind w:left="4320" w:hanging="720"/>
    </w:pPr>
    <w:rPr>
      <w:rFonts w:ascii="Times New Roman" w:cs="Times New Roman" w:eastAsia="Times New Roman" w:hAnsi="Times New Roman"/>
      <w:b w:val="1"/>
      <w:bCs w:val="1"/>
    </w:rPr>
  </w:style>
  <w:style w:type="paragraph" w:styleId="Title">
    <w:name w:val="Title"/>
    <w:basedOn w:val="Normal"/>
    <w:next w:val="Normal"/>
    <w:pPr>
      <w:spacing w:after="0" w:line="240" w:lineRule="auto"/>
    </w:pPr>
    <w:rPr>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header1.xml.rels><?xml version="1.0" encoding="UTF-8" standalone="yes"?><Relationships xmlns="http://schemas.openxmlformats.org/package/2006/relationships"><Relationship Id="rId1" Type="http://schemas.openxmlformats.org/officeDocument/2006/relationships/hyperlink" Target="https://ijoml.com/" TargetMode="External"/><Relationship Id="rId2" Type="http://schemas.openxmlformats.org/officeDocument/2006/relationships/hyperlink" Target="https://doi.org/10.52436/1.ijoml.vol.issue.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2Hm1182CkF6Mok5Mk2cXx1bhoQ==">CgMxLjAyDmguOGZtaGprN2l4MTBpOAByITFaVlhiNm4tN1l6MnRPWTRhbWplN0FXMmszb0tvaTdzMA==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