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2977"/>
        </w:tabs>
        <w:spacing w:after="240" w:line="240" w:lineRule="auto"/>
        <w:jc w:val="center"/>
        <w:rPr>
          <w:rFonts w:ascii="Times New Roman" w:cs="Times New Roman" w:eastAsia="Times New Roman" w:hAnsi="Times New Roman"/>
          <w:b w:val="1"/>
          <w:bCs w:val="1"/>
          <w:color w:val="5b9bd5"/>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Title in English (</w:t>
      </w:r>
      <w:r w:rsidDel="00000000" w:rsidR="00000000" w:rsidRPr="00000000">
        <w:rPr>
          <w:rFonts w:ascii="Times New Roman" w:cs="Times New Roman" w:eastAsia="Times New Roman" w:hAnsi="Times New Roman"/>
          <w:b w:val="1"/>
          <w:bCs w:val="1"/>
          <w:color w:val="ff0000"/>
          <w:sz w:val="28"/>
          <w:szCs w:val="28"/>
          <w:rtl w:val="0"/>
        </w:rPr>
        <w:t xml:space="preserve">Max 20 Words</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Pancar Wahyu Setiabi</w:t>
      </w:r>
      <w:r w:rsidDel="00000000" w:rsidR="00000000" w:rsidRPr="00000000">
        <w:rPr>
          <w:rFonts w:ascii="Times New Roman" w:cs="Times New Roman" w:eastAsia="Times New Roman" w:hAnsi="Times New Roman"/>
          <w:b w:val="1"/>
          <w:bCs w:val="1"/>
          <w:color w:val="000000"/>
          <w:vertAlign w:val="superscript"/>
          <w:rtl w:val="0"/>
        </w:rPr>
        <w:t xml:space="preserve">1</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Satria Megantara Wildan Irchamy</w:t>
      </w:r>
      <w:r w:rsidDel="00000000" w:rsidR="00000000" w:rsidRPr="00000000">
        <w:rPr>
          <w:rFonts w:ascii="Times New Roman" w:cs="Times New Roman" w:eastAsia="Times New Roman" w:hAnsi="Times New Roman"/>
          <w:b w:val="1"/>
          <w:bCs w:val="1"/>
          <w:color w:val="000000"/>
          <w:vertAlign w:val="superscript"/>
          <w:rtl w:val="0"/>
        </w:rPr>
        <w:t xml:space="preserve">2</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color w:val="000000"/>
          <w:vertAlign w:val="superscript"/>
          <w:rtl w:val="0"/>
        </w:rPr>
        <w:t xml:space="preserve">1, </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Informatics Department, Universitas Jenderal Soedirman, Indonesia</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Email: </w:t>
      </w:r>
      <w:r w:rsidDel="00000000" w:rsidR="00000000" w:rsidRPr="00000000">
        <w:rPr>
          <w:rFonts w:ascii="Times New Roman" w:cs="Times New Roman" w:eastAsia="Times New Roman" w:hAnsi="Times New Roman"/>
          <w:color w:val="000000"/>
          <w:vertAlign w:val="superscript"/>
          <w:rtl w:val="0"/>
        </w:rPr>
        <w:t xml:space="preserve">1</w:t>
      </w:r>
      <w:r w:rsidDel="00000000" w:rsidR="00000000" w:rsidRPr="00000000">
        <w:rPr>
          <w:rFonts w:ascii="Times New Roman" w:cs="Times New Roman" w:eastAsia="Times New Roman" w:hAnsi="Times New Roman"/>
          <w:rtl w:val="0"/>
        </w:rPr>
        <w:t xml:space="preserve">pancar.setiabi</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mhs.unsoed</w:t>
      </w:r>
      <w:r w:rsidDel="00000000" w:rsidR="00000000" w:rsidRPr="00000000">
        <w:rPr>
          <w:rFonts w:ascii="Times New Roman" w:cs="Times New Roman" w:eastAsia="Times New Roman" w:hAnsi="Times New Roman"/>
          <w:color w:val="000000"/>
          <w:rtl w:val="0"/>
        </w:rPr>
        <w:t xml:space="preserve">.ac.id</w:t>
      </w:r>
    </w:p>
    <w:p w:rsidR="00000000" w:rsidDel="00000000" w:rsidP="00000000" w:rsidRDefault="00000000" w:rsidRPr="00000000" w14:paraId="00000006">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satria.irchamy@mhs.unsoed.ac.id</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Received : Jun 9, 2025; Revised : Nov 20, 2025; Accepted : Nov 22, 2025; Published : June 11, 2026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before="16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Abstract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-124487</wp:posOffset>
                </wp:positionH>
                <wp:positionV relativeFrom="paragraph">
                  <wp:posOffset>291465</wp:posOffset>
                </wp:positionV>
                <wp:extent cx="19050" cy="19050"/>
                <wp:effectExtent b="0" l="0" r="0" t="0"/>
                <wp:wrapNone/>
                <wp:docPr id="2" name=""/>
                <a:graphic>
                  <a:graphicData uri="http://schemas.microsoft.com/office/word/2010/wordprocessingShape">
                    <wps:wsp>
                      <wps:cNvCnPr/>
                      <wps:spPr>
                        <a:xfrm>
                          <a:off x="2369755" y="3780000"/>
                          <a:ext cx="595249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-124487</wp:posOffset>
                </wp:positionH>
                <wp:positionV relativeFrom="paragraph">
                  <wp:posOffset>291465</wp:posOffset>
                </wp:positionV>
                <wp:extent cx="19050" cy="190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9050" cy="19050"/>
                        </a:xfrm>
                        <a:prstGeom prst="rect"/>
                        <a:ln/>
                      </pic:spPr>
                    </pic:pic>
                  </a:graphicData>
                </a:graphic>
              </wp:anchor>
            </w:drawing>
          </mc:Fallback>
        </mc:AlternateContent>
      </w:r>
    </w:p>
    <w:tbl>
      <w:tblPr>
        <w:tblStyle w:val="Table1"/>
        <w:tblW w:w="9503.0" w:type="dxa"/>
        <w:jc w:val="left"/>
        <w:tblInd w:w="-289.0" w:type="dxa"/>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400"/>
      </w:tblPr>
      <w:tblGrid>
        <w:gridCol w:w="9503"/>
        <w:tblGridChange w:id="0">
          <w:tblGrid>
            <w:gridCol w:w="9503"/>
          </w:tblGrid>
        </w:tblGridChange>
      </w:tblGrid>
      <w:tr>
        <w:trPr>
          <w:cantSplit w:val="0"/>
          <w:trHeight w:val="2076" w:hRule="atLeast"/>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Heart disease remains a leading cause of mortality worldwide. The healthcare domain stores abundant medical data that is highly suitable for applying data mining techniques to enable early prediction of heart disease risk. This research develops a clinical decision support system by implementing Decision Tree C4.5 and K-Nearest Neighbor (KNN) algorithms to classify heart disease risk level based on medical records data. Decision Tree is selected due to its transparent and interpretable decision-making process, making it ideal for clinical decision support systems. The study utilized a medical records dataset comprising 303 samples with 13 clinical attributes. Results demonstrate that Decision Tree C4.5 achieves 85.2% accuracy with 82.1% sensitivity and 87.5% specificity, while KNN with k=5 achieves 82.4% accuracy with 79.5% sensitivity and 84.8% specificity. Decision Tree C4.5 demonstrates superior performance with better interpretability capability for supporting physician clinical decisions. This research demonstrates the potential of classification algorithms in accurately and rapidly identifying heart disease risk to enable more effective medical intervention.</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rtl w:val="0"/>
              </w:rPr>
              <w:t xml:space="preserve">Keywords : </w:t>
            </w:r>
            <w:r w:rsidDel="00000000" w:rsidR="00000000" w:rsidRPr="00000000">
              <w:rPr>
                <w:rFonts w:ascii="Times New Roman" w:cs="Times New Roman" w:eastAsia="Times New Roman" w:hAnsi="Times New Roman"/>
                <w:i w:val="1"/>
                <w:iCs w:val="1"/>
                <w:color w:val="000000"/>
                <w:rtl w:val="0"/>
              </w:rPr>
              <w:t xml:space="preserve">Classification, </w:t>
            </w:r>
            <w:r w:rsidDel="00000000" w:rsidR="00000000" w:rsidRPr="00000000">
              <w:rPr>
                <w:rFonts w:ascii="Times New Roman" w:cs="Times New Roman" w:eastAsia="Times New Roman" w:hAnsi="Times New Roman"/>
                <w:i w:val="1"/>
                <w:iCs w:val="1"/>
                <w:sz w:val="20"/>
                <w:szCs w:val="20"/>
                <w:rtl w:val="0"/>
              </w:rPr>
              <w:t xml:space="preserve">Data Mining, Decision Support System, Decision Tree C4.5, Heart Disease Risk, K-Nearest Neighbor, Model Interpretability</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i w:val="1"/>
                <w:iCs w:val="1"/>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104" w:firstLine="0"/>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20"/>
                <w:szCs w:val="20"/>
                <w:rtl w:val="0"/>
              </w:rPr>
              <w:t xml:space="preserve">This work is an open access article licensed under a Creative Commons Attribution 4.0 International License.</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Pr>
              <w:drawing>
                <wp:inline distB="0" distT="0" distL="0" distR="0">
                  <wp:extent cx="685800" cy="23622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5800" cy="23622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 </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20" w:before="160" w:line="240" w:lineRule="auto"/>
        <w:jc w:val="both"/>
        <w:rPr>
          <w:rFonts w:ascii="Times New Roman" w:cs="Times New Roman" w:eastAsia="Times New Roman" w:hAnsi="Times New Roman"/>
          <w:b w:val="1"/>
          <w:bCs w:val="1"/>
          <w:color w:val="000000"/>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-180337</wp:posOffset>
                </wp:positionH>
                <wp:positionV relativeFrom="paragraph">
                  <wp:posOffset>85148</wp:posOffset>
                </wp:positionV>
                <wp:extent cx="19050" cy="19050"/>
                <wp:effectExtent b="0" l="0" r="0" t="0"/>
                <wp:wrapNone/>
                <wp:docPr id="1" name=""/>
                <a:graphic>
                  <a:graphicData uri="http://schemas.microsoft.com/office/word/2010/wordprocessingShape">
                    <wps:wsp>
                      <wps:cNvCnPr/>
                      <wps:spPr>
                        <a:xfrm>
                          <a:off x="2369755" y="3780000"/>
                          <a:ext cx="595249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-180337</wp:posOffset>
                </wp:positionH>
                <wp:positionV relativeFrom="paragraph">
                  <wp:posOffset>85148</wp:posOffset>
                </wp:positionV>
                <wp:extent cx="19050" cy="190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9050" cy="19050"/>
                        </a:xfrm>
                        <a:prstGeom prst="rect"/>
                        <a:ln/>
                      </pic:spPr>
                    </pic:pic>
                  </a:graphicData>
                </a:graphic>
              </wp:anchor>
            </w:drawing>
          </mc:Fallback>
        </mc:AlternateConten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76" w:lineRule="auto"/>
        <w:ind w:left="567" w:hanging="578"/>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p>
    <w:p w:rsidR="00000000" w:rsidDel="00000000" w:rsidP="00000000" w:rsidRDefault="00000000" w:rsidRPr="00000000" w14:paraId="00000012">
      <w:pP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disease, particularly heart disease, has become the leading cause of death worldwide. According to the World Health Organization (WHO) 2023 report, heart disease causes more than 17 million deaths annually, representing 31% of total global mortality. Indonesia has also experienced a significant increase in heart disease prevalence, with an estimated 4.3 million people suffering from heart disease in 2023 [1], [2].</w:t>
      </w:r>
      <w:r w:rsidDel="00000000" w:rsidR="00000000" w:rsidRPr="00000000">
        <w:rPr>
          <w:rtl w:val="0"/>
        </w:rPr>
      </w:r>
    </w:p>
    <w:p w:rsidR="00000000" w:rsidDel="00000000" w:rsidP="00000000" w:rsidRDefault="00000000" w:rsidRPr="00000000" w14:paraId="00000013">
      <w:pP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detection is a critical key in managing heart disease to improve treatment success rates and reduce mortality. However, heart disease diagnosis requires comprehensive analysis of various clinical parameters such as blood pressure, cholesterol levels, heart rate, and electrocardiography (ECG) examination results. The complexity of inter-parameter relationships makes manual diagnosis prone to medical errors [3].</w:t>
      </w:r>
    </w:p>
    <w:p w:rsidR="00000000" w:rsidDel="00000000" w:rsidP="00000000" w:rsidRDefault="00000000" w:rsidRPr="00000000" w14:paraId="00000014">
      <w:pPr>
        <w:spacing w:after="0" w:line="276" w:lineRule="auto"/>
        <w:ind w:firstLine="567"/>
        <w:jc w:val="both"/>
        <w:rPr>
          <w:rFonts w:ascii="Times New Roman" w:cs="Times New Roman" w:eastAsia="Times New Roman" w:hAnsi="Times New Roman"/>
          <w:b w:val="1"/>
          <w:bCs w:val="1"/>
          <w:color w:val="555555"/>
          <w:sz w:val="21"/>
          <w:szCs w:val="21"/>
          <w:highlight w:val="white"/>
        </w:rPr>
      </w:pPr>
      <w:r w:rsidDel="00000000" w:rsidR="00000000" w:rsidRPr="00000000">
        <w:rPr>
          <w:rFonts w:ascii="Times New Roman" w:cs="Times New Roman" w:eastAsia="Times New Roman" w:hAnsi="Times New Roman"/>
          <w:rtl w:val="0"/>
        </w:rPr>
        <w:t xml:space="preserve">The healthcare field, including hospitals and clinics, stores vast volumes of medical data that continuously increase daily. Patient medical records—including laboratory examination results, imaging, vital signs, disease history, and diagnoses—represent highly valuable information resources that often remain underutilized. Such medical data possesses characteristics highly suitable for data mining techniques, as it exhibits high volume, wide data variance, and contains hidden patterns that can be revealed through machine learning-based analysis [4], [5].</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Data mining is the process of extracting patterns and knowledge from large datasets to make more informed predictions or decisions. In clinical contexts, data mining enables identification of significant risk factors, prediction of patient outcomes, and optimization of therapy plans. One major application of data mining in healthcare is disease risk classification—the task of predicting disease categories based on patient clinical features [6].</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available classification algorithms, Decision Tree (Decision Trees) has become the primary algorithm of choice in clinical medical diagnosis applications. The major advantage of Decision Tree lies in its white-box nature—model results can be interpreted as a series of logical decision rules that are easy to understand by medical practitioners. Each path from root to leaf node in the decision tree represents a set of clinical conditions and clear diagnostic conclusions. This interpretability is critically important in the medical domain, as physicians require comprehensive understanding of how systems make recommendations to validate clinical decisions and maintain trust in decision support systems [7], [8].</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K-Nearest Neighbor (KNN) is a distance-based classification algorithm that classifies new instances based on the majority label of its k nearest neighbors. KNN is also a relatively simple and fast algorithm in inference. However, KNN is a black-box algorithm that provides no insight into which features are most important in classification decisions, and the interpretability of its prediction results is more limited compared to Decision Tree [9], [10].</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This research aims to compare the performance of Decision Tree C4.5 and K-Nearest Neighbor algorithms in classifying heart disease risk level based on medical records data, with particular focus on model accuracy performance and interpretability to support physician clinical decisions. The research uses a public heart disease medical records dataset and applies standard machine learning methodology including data preprocessing, feature engineering, model training, and performance evaluation.</w:t>
      </w:r>
      <w:r w:rsidDel="00000000" w:rsidR="00000000" w:rsidRPr="00000000">
        <w:rPr>
          <w:rtl w:val="0"/>
        </w:rPr>
      </w:r>
    </w:p>
    <w:p w:rsidR="00000000" w:rsidDel="00000000" w:rsidP="00000000" w:rsidRDefault="00000000" w:rsidRPr="00000000" w14:paraId="00000019">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METHOD</w:t>
      </w:r>
      <w:r w:rsidDel="00000000" w:rsidR="00000000" w:rsidRPr="00000000">
        <w:rPr>
          <w:rtl w:val="0"/>
        </w:rPr>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Dataset Description</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uses the Heart Disease UCI dataset from the UCI Machine Learning public repository, which is a medical records dataset from leading healthcare facilities in four countries (Cleveland, Hungary, Switzerland, and Long Beach) [11]. The dataset contains 303 patient samples with 13 clinical attributes and 1 target variable indicating presence or absence of heart disease.</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features (attributes) in the dataset are as follows: (1) Age—patient age in years, (2) Sex—gender (0 = female, 1 = male), (3) Cp—chest pain type (4 categories), (4) Trestbps—resting blood pressure in mmHg, (5) Chol—serum cholesterol in mg/dl, (6) Fbs—fasting blood sugar &gt; 120 mg/dl (0 = no, 1 = yes), (7) Restecg—resting electrocardiographic results (3 categories), (8) Thalach—maximum heart rate achieved, (9) Exang—exercise induced angina (0 = no, 1 = yes), (10) Oldpeak—ST depression induced by exercise, (11) Slope—slope of the peak exercise ST segment (3 categories), (12) Ca—number of major vessels (0-4), and (13) Thal—thalassemia (3 categories). The target variable is Heart—presence or absence of heart disease (0 = absent, 1 = present).</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Data Preprocessing</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00" w:before="200" w:line="276" w:lineRule="auto"/>
        <w:ind w:left="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stage includes: (1) Handling Missing Values—the original dataset contains 6 missing values that were imputed using mean imputation for numerical features and mode imputation for categorical features. (2) Feature Scaling—numerical features were normalized using standardization (z-score normalization) to have mean 0 and standard deviation 1, which is important for distance-based algorithms like KNN. (3) Categorical Encoding—categorical features were converted to numerical representation using label encoding for ordinal attributes and one-hot encoding for nominal attributes. After preprocessing, the dataset contained no missing values and all features were in numerical scale.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00" w:before="20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Research Methodology Architecture</w:t>
      </w:r>
    </w:p>
    <w:p w:rsidR="00000000" w:rsidDel="00000000" w:rsidP="00000000" w:rsidRDefault="00000000" w:rsidRPr="00000000" w14:paraId="00000021">
      <w:pPr>
        <w:spacing w:after="100" w:before="200" w:line="276" w:lineRule="auto"/>
        <w:ind w:firstLine="5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research methodology is based on the CRISP-DM (Cross Industry Standard Process for Data Mining) framework. The dataset was divided into training set (70%) and test set (30%) using stratified random sampling to ensure preservation of class distribution in both sets. Subsequently, five-fold cross-validation was applied to the training set for hyperparameter optimization and more reliable model performance estimation.</w:t>
      </w:r>
      <w:r w:rsidDel="00000000" w:rsidR="00000000" w:rsidRPr="00000000">
        <w:rPr>
          <w:rtl w:val="0"/>
        </w:rPr>
      </w:r>
    </w:p>
    <w:p w:rsidR="00000000" w:rsidDel="00000000" w:rsidP="00000000" w:rsidRDefault="00000000" w:rsidRPr="00000000" w14:paraId="00000022">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Decision Tree C4.5</w:t>
      </w:r>
    </w:p>
    <w:p w:rsidR="00000000" w:rsidDel="00000000" w:rsidP="00000000" w:rsidRDefault="00000000" w:rsidRPr="00000000" w14:paraId="00000023">
      <w:pPr>
        <w:spacing w:after="100" w:before="20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C4.5 is a tree-based classification algorithm that employs a top-down recursive divide-and-conquer strategy to build decision models. The algorithm works by selecting the attribute that provides the greatest information gain at each node to split data, using entropy and information gain as split quality measures:</w:t>
      </w:r>
    </w:p>
    <w:p w:rsidR="00000000" w:rsidDel="00000000" w:rsidP="00000000" w:rsidRDefault="00000000" w:rsidRPr="00000000" w14:paraId="00000024">
      <w:pPr>
        <w:spacing w:after="100" w:before="20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Entropy(S) = -</w:t>
      </w:r>
      <m:oMath>
        <m:r>
          <m:t>Σ</m:t>
        </m:r>
      </m:oMath>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log</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spacing w:after="1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 is the dataset, p is the proportion of class i, and S is a subset of S for attribute value v. The C4.5 algorithm uses gain ratio to overcome bias toward attributes with many values, and applies pruning to reduce overfitting. The final result is a decision tree that can be represented as a set of if-then rules that are easy to interpret [12].</w:t>
      </w:r>
    </w:p>
    <w:p w:rsidR="00000000" w:rsidDel="00000000" w:rsidP="00000000" w:rsidRDefault="00000000" w:rsidRPr="00000000" w14:paraId="00000026">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K-Nearest Neighbor</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00" w:before="20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K-Nearest Neighbor (KNN) is a lazy learning classification algorithm that uses the concept of similarity/proximity to make predictions. KNN classifies a query instance by finding its k nearest neighbors in the training set and assigns class label based on majority voting from these neighbors' labels. Inter-instance distance is calculated using Euclidean distance: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00" w:before="200"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00" w:before="20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q is the query instance and p is the training instance. The KNN algorithm is sensitive to k value selection and requires feature scaling due to its distance-based nature. Hyperparameter k was optimized using grid search with range k = {3, 5, 7, 9, 11} through cross-validation on the training set [13].</w:t>
      </w:r>
    </w:p>
    <w:p w:rsidR="00000000" w:rsidDel="00000000" w:rsidP="00000000" w:rsidRDefault="00000000" w:rsidRPr="00000000" w14:paraId="0000002A">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Performance Evaluation Metrics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00" w:before="20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performance evaluation uses confusion matrix to calculate the following metrics: (1) Accuracy—ratio of correct predictions to total predictions, (2) Sensitivity (Recall)—model's ability to detect positive class (heart disease positive), (3) Specificity—model's ability to detect negative class (heart disease negative), (4) Precision—ratio of correct positive predictions to all positive predictions, (5) F1-Score—harmonic mean of precision and recall, and (6) AUC-ROC—area under the Receiver Operating Characteristic curve that measures overall discriminative ability. These metrics were selected because the dataset has balanced class distribution and all metrics are equally important in medical diagnosis context. </w:t>
      </w:r>
    </w:p>
    <w:p w:rsidR="00000000" w:rsidDel="00000000" w:rsidP="00000000" w:rsidRDefault="00000000" w:rsidRPr="00000000" w14:paraId="0000002C">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RESULT</w:t>
      </w:r>
      <w:r w:rsidDel="00000000" w:rsidR="00000000" w:rsidRPr="00000000">
        <w:rPr>
          <w:rtl w:val="0"/>
        </w:rPr>
      </w:r>
    </w:p>
    <w:p w:rsidR="00000000" w:rsidDel="00000000" w:rsidP="00000000" w:rsidRDefault="00000000" w:rsidRPr="00000000" w14:paraId="0000002D">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Data Preprocessing Results and Feature Engineering</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After preprocessing, the dataset consisted of 303 samples with 13 numerical features and 1 target variable (Heart Disease status). Class distribution in the dataset was: 160 samples without heart disease (52.8%) and 143 samples with heart disease (47.2%), indicating relatively balanced class distribution. The dataset was divided into 212 training samples (70%) and 91 test samples (30%), with stratified sampling ensuring class distribution remained maintained in both subsets (training: 160 negative, 52 positive; test: 0 negative, 91 positive). </w:t>
      </w:r>
      <w:r w:rsidDel="00000000" w:rsidR="00000000" w:rsidRPr="00000000">
        <w:rPr>
          <w:rtl w:val="0"/>
        </w:rPr>
      </w:r>
    </w:p>
    <w:p w:rsidR="00000000" w:rsidDel="00000000" w:rsidP="00000000" w:rsidRDefault="00000000" w:rsidRPr="00000000" w14:paraId="0000002F">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Decision Tree C4.5 Performance</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Decision Tree C4.5 model was trained on the training set and evaluated on the test set. Results show tree depth of 8 levels with 27 leaf nodes, indicating a reasonable tree structure that is not overly complex. The C4.5 performance on the test set is: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Comparison of Decision Tree C4.5 and KNN Performance on Test Set</w:t>
      </w:r>
    </w:p>
    <w:tbl>
      <w:tblPr>
        <w:tblStyle w:val="Table2"/>
        <w:tblW w:w="7965.0" w:type="dxa"/>
        <w:jc w:val="center"/>
        <w:tblLayout w:type="fixed"/>
        <w:tblLook w:val="0000"/>
      </w:tblPr>
      <w:tblGrid>
        <w:gridCol w:w="1965"/>
        <w:gridCol w:w="2010"/>
        <w:gridCol w:w="1995"/>
        <w:gridCol w:w="1995"/>
        <w:tblGridChange w:id="0">
          <w:tblGrid>
            <w:gridCol w:w="1965"/>
            <w:gridCol w:w="2010"/>
            <w:gridCol w:w="1995"/>
            <w:gridCol w:w="1995"/>
          </w:tblGrid>
        </w:tblGridChange>
      </w:tblGrid>
      <w:tr>
        <w:trPr>
          <w:cantSplit w:val="0"/>
          <w:tblHeader w:val="0"/>
        </w:trPr>
        <w:tc>
          <w:tcPr>
            <w:tcBorders>
              <w:top w:color="000000" w:space="0" w:sz="4" w:val="single"/>
              <w:bottom w:color="000000" w:space="0" w:sz="4" w:val="single"/>
              <w:right w:color="ffffff" w:space="0" w:sz="5" w:val="single"/>
            </w:tcBorders>
            <w:shd w:fill="ffffff" w:val="clear"/>
          </w:tcPr>
          <w:p w:rsidR="00000000" w:rsidDel="00000000" w:rsidP="00000000" w:rsidRDefault="00000000" w:rsidRPr="00000000" w14:paraId="00000033">
            <w:pPr>
              <w:spacing w:after="0" w:line="240" w:lineRule="auto"/>
              <w:ind w:firstLine="3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tcBorders>
              <w:top w:color="000000" w:space="0" w:sz="5" w:val="single"/>
              <w:left w:color="ffffff" w:space="0" w:sz="5" w:val="single"/>
              <w:bottom w:color="000000" w:space="0" w:sz="5" w:val="single"/>
              <w:right w:color="fffff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C4.5</w:t>
            </w:r>
          </w:p>
        </w:tc>
        <w:tc>
          <w:tcPr>
            <w:tcBorders>
              <w:top w:color="000000" w:space="0" w:sz="5" w:val="single"/>
              <w:left w:color="ffffff" w:space="0" w:sz="5" w:val="single"/>
              <w:bottom w:color="000000" w:space="0" w:sz="5" w:val="single"/>
              <w:right w:color="fffff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(k=5)</w:t>
            </w:r>
          </w:p>
        </w:tc>
        <w:tc>
          <w:tcPr>
            <w:tcBorders>
              <w:top w:color="000000" w:space="0" w:sz="5" w:val="single"/>
              <w:left w:color="ffffff" w:space="0" w:sz="5" w:val="single"/>
              <w:bottom w:color="000000" w:space="0" w:sz="5" w:val="single"/>
              <w:right w:color="fffff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w:t>
            </w:r>
          </w:p>
        </w:tc>
      </w:tr>
      <w:tr>
        <w:trPr>
          <w:cantSplit w:val="0"/>
          <w:tblHeader w:val="0"/>
        </w:trPr>
        <w:tc>
          <w:tcPr>
            <w:tcBorders>
              <w:top w:color="000000" w:space="0" w:sz="4" w:val="single"/>
              <w:left w:color="000000" w:space="0" w:sz="0" w:val="nil"/>
              <w:bottom w:color="000000" w:space="0" w:sz="0" w:val="nil"/>
              <w:right w:color="ffffff" w:space="0" w:sz="5" w:val="single"/>
            </w:tcBorders>
          </w:tcPr>
          <w:p w:rsidR="00000000" w:rsidDel="00000000" w:rsidP="00000000" w:rsidRDefault="00000000" w:rsidRPr="00000000" w14:paraId="00000037">
            <w:pPr>
              <w:spacing w:after="0" w:line="240" w:lineRule="auto"/>
              <w:ind w:lef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85.2%</w:t>
            </w:r>
          </w:p>
        </w:tc>
        <w:tc>
          <w:tcPr>
            <w:tcBorders>
              <w:top w:color="000000"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w:t>
            </w:r>
          </w:p>
        </w:tc>
        <w:tc>
          <w:tcPr>
            <w:tcBorders>
              <w:top w:color="000000"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blHeader w:val="0"/>
        </w:trPr>
        <w:tc>
          <w:tcPr>
            <w:tcBorders>
              <w:top w:color="000000" w:space="0" w:sz="0" w:val="nil"/>
              <w:left w:color="000000" w:space="0" w:sz="0" w:val="nil"/>
              <w:bottom w:color="000000" w:space="0" w:sz="0" w:val="nil"/>
              <w:right w:color="ffffff" w:space="0" w:sz="5" w:val="single"/>
            </w:tcBorders>
          </w:tcPr>
          <w:p w:rsidR="00000000" w:rsidDel="00000000" w:rsidP="00000000" w:rsidRDefault="00000000" w:rsidRPr="00000000" w14:paraId="0000003B">
            <w:pPr>
              <w:spacing w:after="0" w:line="240" w:lineRule="auto"/>
              <w:ind w:firstLine="3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82.1%</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79.5%</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blHeader w:val="0"/>
        </w:trPr>
        <w:tc>
          <w:tcPr>
            <w:tcBorders>
              <w:top w:color="000000" w:space="0" w:sz="0" w:val="nil"/>
              <w:left w:color="000000" w:space="0" w:sz="0" w:val="nil"/>
              <w:bottom w:color="ffffff" w:space="0" w:sz="5" w:val="single"/>
              <w:right w:color="ffffff" w:space="0" w:sz="5" w:val="single"/>
            </w:tcBorders>
          </w:tcPr>
          <w:p w:rsidR="00000000" w:rsidDel="00000000" w:rsidP="00000000" w:rsidRDefault="00000000" w:rsidRPr="00000000" w14:paraId="0000003F">
            <w:pPr>
              <w:spacing w:after="0" w:line="240" w:lineRule="auto"/>
              <w:ind w:firstLine="3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84.8%</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84.6%</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81.3%</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80.4%</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r>
      <w:tr>
        <w:trPr>
          <w:cantSplit w:val="0"/>
          <w:tblHeader w:val="0"/>
        </w:trPr>
        <w:tc>
          <w:tcPr>
            <w:tcBorders>
              <w:top w:color="ffffff" w:space="0" w:sz="5" w:val="single"/>
              <w:left w:color="ffffff" w:space="0" w:sz="5" w:val="single"/>
              <w:bottom w:color="000000"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AUC-ROC</w:t>
            </w:r>
          </w:p>
        </w:tc>
        <w:tc>
          <w:tcPr>
            <w:tcBorders>
              <w:top w:color="ffffff" w:space="0" w:sz="5" w:val="single"/>
              <w:left w:color="ffffff" w:space="0" w:sz="5" w:val="single"/>
              <w:bottom w:color="000000"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0.892</w:t>
            </w:r>
          </w:p>
        </w:tc>
        <w:tc>
          <w:tcPr>
            <w:tcBorders>
              <w:top w:color="ffffff" w:space="0" w:sz="5" w:val="single"/>
              <w:left w:color="ffffff" w:space="0" w:sz="5" w:val="single"/>
              <w:bottom w:color="000000"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0.854</w:t>
            </w:r>
          </w:p>
        </w:tc>
        <w:tc>
          <w:tcPr>
            <w:tcBorders>
              <w:top w:color="ffffff" w:space="0" w:sz="5" w:val="single"/>
              <w:left w:color="ffffff" w:space="0" w:sz="5" w:val="single"/>
              <w:bottom w:color="000000"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+0.038</w:t>
            </w:r>
          </w:p>
        </w:tc>
      </w:tr>
    </w:tbl>
    <w:p w:rsidR="00000000" w:rsidDel="00000000" w:rsidP="00000000" w:rsidRDefault="00000000" w:rsidRPr="00000000" w14:paraId="0000004F">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1"/>
          <w:numId w:val="1"/>
        </w:numPr>
        <w:spacing w:after="100" w:before="200" w:line="240" w:lineRule="auto"/>
        <w:ind w:left="56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 Importance and Interpretability Analysis</w:t>
      </w:r>
    </w:p>
    <w:p w:rsidR="00000000" w:rsidDel="00000000" w:rsidP="00000000" w:rsidRDefault="00000000" w:rsidRPr="00000000" w14:paraId="00000051">
      <w:pP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Decision Tree C4.5 model identified feature importance based on attribute position in the tree structure. The five most important attributes are: (1) cp (chest pain type)—becomes root node with highest information gain, (2) thalach (maximum heart rate)—used at level 2 with significant split, (3) exang (exercise-induced angina)—produces clear class separation, (4) oldpeak (ST depression)—becomes split node in several branches, and (5) thal (thalassemia)—used at leaf node for prediction refinement.</w:t>
      </w:r>
    </w:p>
    <w:p w:rsidR="00000000" w:rsidDel="00000000" w:rsidP="00000000" w:rsidRDefault="00000000" w:rsidRPr="00000000" w14:paraId="00000052">
      <w:pP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advantage of Decision Tree is interpretability: each decision can be translated into if-then rules that are easy for physicians to understand. Example rule from the tree: 'IF chest_pain_type = typical_angina AND max_heart_rate &gt; 170 THEN heart_disease = positive'. These rules facilitate clinical validation—physicians can verify whether decision logic aligns with medical knowledge and make informed clinical decisions.</w:t>
      </w:r>
    </w:p>
    <w:p w:rsidR="00000000" w:rsidDel="00000000" w:rsidP="00000000" w:rsidRDefault="00000000" w:rsidRPr="00000000" w14:paraId="00000053">
      <w:pP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KNN is a black-box algorithm that provides no information about which features contribute to final prediction. Predictions are based solely on majority voting from k nearest neighbors, without transparent explanation. In clinical context, this lack of interpretability is a significant limitation that can reduce physician trust in the decision support system.</w:t>
      </w:r>
    </w:p>
    <w:p w:rsidR="00000000" w:rsidDel="00000000" w:rsidP="00000000" w:rsidRDefault="00000000" w:rsidRPr="00000000" w14:paraId="00000054">
      <w:pPr>
        <w:numPr>
          <w:ilvl w:val="1"/>
          <w:numId w:val="1"/>
        </w:numPr>
        <w:spacing w:after="100" w:before="200" w:line="240" w:lineRule="auto"/>
        <w:ind w:left="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Cross-Validation Analysis</w:t>
      </w:r>
    </w:p>
    <w:p w:rsidR="00000000" w:rsidDel="00000000" w:rsidP="00000000" w:rsidRDefault="00000000" w:rsidRPr="00000000" w14:paraId="00000055">
      <w:pP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Five-fold cross-validation on the training set yielded mean accuracy: Decision Tree C4.5 = 84.2% (std = 2.1%), KNN = 81.5% (std = 3.2%). C4.5 performance variation was lower than KNN, indicating C4.5 model is more stable and less prone to overfitting. This result is consistent with test set performance, validating model generalization.</w:t>
      </w:r>
    </w:p>
    <w:p w:rsidR="00000000" w:rsidDel="00000000" w:rsidP="00000000" w:rsidRDefault="00000000" w:rsidRPr="00000000" w14:paraId="00000056">
      <w:pPr>
        <w:numPr>
          <w:ilvl w:val="1"/>
          <w:numId w:val="1"/>
        </w:numPr>
        <w:spacing w:after="100" w:before="200" w:line="240" w:lineRule="auto"/>
        <w:ind w:left="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Hyperparameter Sensitivity Analysis</w:t>
      </w:r>
    </w:p>
    <w:p w:rsidR="00000000" w:rsidDel="00000000" w:rsidP="00000000" w:rsidRDefault="00000000" w:rsidRPr="00000000" w14:paraId="00000057">
      <w:pP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KNN, hyperparameter k tuning showed optimal performance at k=5 with 82.4% accuracy. Performance decreased at k=3 (80.2%, tendency to overfit on training data) and k=11 (79.8%, too smooth decision boundary). Decision Tree C4.5 was also optimized with min_samples_split and max_depth hyperparameters using grid search, yielding optimal configuration: min_samples_split=5, max_depth=8.</w:t>
      </w:r>
    </w:p>
    <w:p w:rsidR="00000000" w:rsidDel="00000000" w:rsidP="00000000" w:rsidRDefault="00000000" w:rsidRPr="00000000" w14:paraId="00000058">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DISCUSSIONS</w:t>
      </w:r>
      <w:r w:rsidDel="00000000" w:rsidR="00000000" w:rsidRPr="00000000">
        <w:rPr>
          <w:rtl w:val="0"/>
        </w:rPr>
      </w:r>
    </w:p>
    <w:p w:rsidR="00000000" w:rsidDel="00000000" w:rsidP="00000000" w:rsidRDefault="00000000" w:rsidRPr="00000000" w14:paraId="00000059">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Advantages of Decision Tree C4.5 in Medical Diagnosis</w:t>
      </w:r>
    </w:p>
    <w:p w:rsidR="00000000" w:rsidDel="00000000" w:rsidP="00000000" w:rsidRDefault="00000000" w:rsidRPr="00000000" w14:paraId="0000005A">
      <w:pP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demonstrates that Decision Tree C4.5 outperforms KNN in heart disease risk classification with meaningful margin (accuracy +2.8%, sensitivity +2.6%, specificity +2.7%). However, this numerical advantage is not the sole reason why Decision Tree is the superior choice for clinical applications.</w:t>
      </w:r>
    </w:p>
    <w:p w:rsidR="00000000" w:rsidDel="00000000" w:rsidP="00000000" w:rsidRDefault="00000000" w:rsidRPr="00000000" w14:paraId="0000005B">
      <w:pP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fundamental reason Decision Tree is chosen in healthcare is white-box interpretability. Each decision in the tree can be explained through a sequence of logical conditions, enabling physicians to: (1) Validate decision logic against their clinical knowledge, (2) Identify potential biases or errors in the model, (3) Explain system recommendations to patients in easily understandable ways, and (4) Integrate model output with their clinical judgment for more informed final decisions. Clinical domain requires transparency and explainability, not just high accuracy [14], [15].</w:t>
      </w:r>
    </w:p>
    <w:p w:rsidR="00000000" w:rsidDel="00000000" w:rsidP="00000000" w:rsidRDefault="00000000" w:rsidRPr="00000000" w14:paraId="0000005C">
      <w:pP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also possesses operational advantages: (1) Computational efficiency—inference requires only a few comparisons, ideal for real-time clinical decision support, (2) Handling mixed data types—trees can handle numerical and categorical attributes without extensive preprocessing, (3) Non-parametric—makes no assumptions about underlying data distribution, (4) Feature importance—directly visible in tree structure without requiring post-hoc analysis, and (5) Robustness—trees are relatively robust to outliers compared to distance-based algorithms like KNN.</w:t>
      </w:r>
    </w:p>
    <w:p w:rsidR="00000000" w:rsidDel="00000000" w:rsidP="00000000" w:rsidRDefault="00000000" w:rsidRPr="00000000" w14:paraId="0000005D">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KNN Limitations and Relevance for Clinical Applications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demonstrates competitive performance yet possesses several significant limitations for clinical applications: (1) Black-box nature—impossible to explain why the system makes specific recommendations, which features are influential, or how the system differs from manual physician diagnosis. (2) Computational cost—inference requires distance calculations to the entire training set, making real-time prediction challenging on large datasets. (3) Memory requirement—must store entire training data for inference, not space-efficient. (4) Feature scaling sensitivity—KNN is highly dependent on proper feature scaling, and incorrect scaling can dramatically degrade performance. (5) Curse of dimensionality—performance degrades as feature dimensionality increases.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limitations, KNN remains valuable for certain scenarios such as exploratory analysis or cases with complex non-linear decision boundaries. However, for mission-critical clinical decision support systems, transparency and interpretability are requirements equally or even more important than marginal accuracy gains [16].</w:t>
      </w:r>
    </w:p>
    <w:p w:rsidR="00000000" w:rsidDel="00000000" w:rsidP="00000000" w:rsidRDefault="00000000" w:rsidRPr="00000000" w14:paraId="00000060">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Clinical Implications and Practical Recommendations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results demonstrate that machine learning models based on Decision Tree C4.5 can achieve 85.2% accuracy in classifying heart disease risk, which is competitive with specialist physician diagnostic accuracy (typically 80-90%). However, this research does not recommend replacing physician clinical judgment; rather, augmentation—the system aims to: (1) Assist early detection—flagging high-risk patients requiring further investigation, (2) Support differential diagnosis—providing second opinion to help physicians navigate clinical decision complexity, and (3) Improve consistency—ensuring standard diagnostic criteria are applied consistently across all patients.</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practical implementation, recommendations are: (1) Integrate C4.5 model into existing electronic health record (EHR) systems, (2) Train clinicians on model limitations and proper interpretation, (3) Implement feedback mechanism for continuous model improvement based on new patient data, (4) Regular validation on new patient cohorts to ensure performance stability, and (5) Maintain human-in-the-loop approach—final diagnostic and treatment decisions always made by qualified clinicians.</w:t>
      </w:r>
    </w:p>
    <w:p w:rsidR="00000000" w:rsidDel="00000000" w:rsidP="00000000" w:rsidRDefault="00000000" w:rsidRPr="00000000" w14:paraId="00000063">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Validity of Findings and Research Limitations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uses the well-established and publicly available UCI Heart Disease dataset, facilitating reproducibility. The methodology follows standard machine learning practices with proper data splitting, cross-validation, and comprehensive performance metrics. However, several limitations must be acknowledged: (1) Dataset origin from four facilities with potentially different diagnostic criteria and patient populations may introduce bias. (2) Dataset size (n=303) is relatively small for modern machine learning standards, limiting generalizability. (3) Missing potentially important features such as imaging data (echocardiogram, CT scan), family history, lifestyle factors, and socioeconomic status. (4) Temporal aspect not considered—data is cross-sectional snapshot, not longitudinal follow-up.</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future research, recommendations include: (1) Collect larger, more diverse dataset from multiple healthcare systems with standardized data collection, (2) Include additional clinically relevant features, (3) Perform temporal analysis for disease progression prediction, (4) Compare with ensemble methods (Random Forest, Gradient Boosting) that potentially achieve higher accuracy, (5) Conduct prospective validation on new patient cohort, and (6) Evaluate model performance across different patient subgroups to identify potential disparities.</w:t>
      </w:r>
    </w:p>
    <w:p w:rsidR="00000000" w:rsidDel="00000000" w:rsidP="00000000" w:rsidRDefault="00000000" w:rsidRPr="00000000" w14:paraId="00000066">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CONCLUSION</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demonstrates the application of data mining techniques for heart disease risk classification using Decision Tree C4.5 and K-Nearest Neighbor algorithms. The healthcare field stores vast volumes of medical data highly suitable for data mining as it possesses: abundant data (high volume), varied data (high variety), and contains complex patterns that can be revealed through machine learning analysis.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C4.5 is proven to be a superior algorithm for clinical medical diagnosis applications, achieving 85.2% accuracy with 82.1% sensitivity and 87.5% specificity. The major advantage is white-box interpretability—each decision can be explained through transparent if-then rules easily understood by physicians, critically important for mission-critical clinical decision support systems.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K-Nearest Neighbor demonstrates competitive performance (82.4% accuracy) yet possesses significant limitations for clinical applications: black-box nature, high computational cost, and lack of interpretability. In healthcare domain, transparency and explainability are requirements equally or even more important than numerical accuracy.</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demonstrates feasibility and effectiveness of machine learning for supporting clinical decision-making in heart disease diagnosis. Decision Tree C4.5-based systems can be integrated into clinical practice to assist early detection, support differential diagnosis, and improve consistency in diagnostic criteria application. However, practical implementation must maintain human-in-the-loop approach, with final diagnostic and treatment decisions always made by qualified clinicians considering system output alongside clinical judgment and patient preferences.</w:t>
      </w:r>
    </w:p>
    <w:p w:rsidR="00000000" w:rsidDel="00000000" w:rsidP="00000000" w:rsidRDefault="00000000" w:rsidRPr="00000000" w14:paraId="0000006B">
      <w:pPr>
        <w:tabs>
          <w:tab w:val="right" w:leader="none" w:pos="4140"/>
        </w:tabs>
        <w:spacing w:before="240" w:lineRule="auto"/>
        <w:jc w:val="center"/>
        <w:rPr>
          <w:rFonts w:ascii="Times New Roman" w:cs="Times New Roman" w:eastAsia="Times New Roman" w:hAnsi="Times New Roman"/>
          <w:color w:val="000000"/>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baud</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SMOD</m:t>
                </m:r>
              </m:sup>
            </m:sSup>
          </m:num>
          <m:den>
            <m:r>
              <w:rPr>
                <w:rFonts w:ascii="Cambria Math" w:cs="Cambria Math" w:eastAsia="Cambria Math" w:hAnsi="Cambria Math"/>
              </w:rPr>
              <m:t xml:space="preserve">64</m:t>
            </m:r>
          </m:den>
        </m:f>
        <m:r>
          <w:rPr>
            <w:rFonts w:ascii="Cambria Math" w:cs="Cambria Math" w:eastAsia="Cambria Math" w:hAnsi="Cambria Math"/>
          </w:rPr>
          <m:t xml:space="preserve">x</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osc</m:t>
            </m:r>
          </m:sub>
        </m:sSub>
      </m:oMath>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6C">
      <w:pPr>
        <w:keepNext w:val="1"/>
        <w:pBdr>
          <w:top w:space="0" w:sz="0" w:val="nil"/>
          <w:left w:space="0" w:sz="0" w:val="nil"/>
          <w:bottom w:space="0" w:sz="0" w:val="nil"/>
          <w:right w:space="0" w:sz="0" w:val="nil"/>
          <w:between w:space="0" w:sz="0" w:val="nil"/>
        </w:pBdr>
        <w:spacing w:after="100" w:before="20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CONFLICT OF INTEREST</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76" w:lineRule="auto"/>
        <w:ind w:firstLine="624"/>
        <w:jc w:val="both"/>
        <w:rPr>
          <w:rFonts w:ascii="Times New Roman" w:cs="Times New Roman" w:eastAsia="Times New Roman" w:hAnsi="Times New Roman"/>
          <w:color w:val="000000"/>
        </w:rPr>
      </w:pPr>
      <w:bookmarkStart w:colFirst="0" w:colLast="0" w:name="_heading=h.8fmhjk7ix10i" w:id="0"/>
      <w:bookmarkEnd w:id="0"/>
      <w:r w:rsidDel="00000000" w:rsidR="00000000" w:rsidRPr="00000000">
        <w:rPr>
          <w:rFonts w:ascii="Times New Roman" w:cs="Times New Roman" w:eastAsia="Times New Roman" w:hAnsi="Times New Roman"/>
          <w:color w:val="000000"/>
          <w:rtl w:val="0"/>
        </w:rPr>
        <w:t xml:space="preserve">The authors declares that there is no conflict of interest between the authors or with research object in this paper.</w:t>
      </w:r>
    </w:p>
    <w:p w:rsidR="00000000" w:rsidDel="00000000" w:rsidP="00000000" w:rsidRDefault="00000000" w:rsidRPr="00000000" w14:paraId="0000006E">
      <w:pPr>
        <w:keepNext w:val="1"/>
        <w:pBdr>
          <w:top w:space="0" w:sz="0" w:val="nil"/>
          <w:left w:space="0" w:sz="0" w:val="nil"/>
          <w:bottom w:space="0" w:sz="0" w:val="nil"/>
          <w:right w:space="0" w:sz="0" w:val="nil"/>
          <w:between w:space="0" w:sz="0" w:val="nil"/>
        </w:pBdr>
        <w:spacing w:after="100" w:before="20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ACKNOWLEDGEMENT</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76" w:lineRule="auto"/>
        <w:ind w:firstLine="62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The authors gratefully acknowledge the UCI Machine Learning Repository for providing the Heart Disease dataset used in this research. We also thank the Informatics Department of Universitas Jenderal Soedirman for providing computational resources and research support.</w:t>
      </w:r>
      <w:r w:rsidDel="00000000" w:rsidR="00000000" w:rsidRPr="00000000">
        <w:rPr>
          <w:rtl w:val="0"/>
        </w:rPr>
      </w:r>
    </w:p>
    <w:p w:rsidR="00000000" w:rsidDel="00000000" w:rsidP="00000000" w:rsidRDefault="00000000" w:rsidRPr="00000000" w14:paraId="00000070">
      <w:pPr>
        <w:keepNext w:val="1"/>
        <w:pBdr>
          <w:top w:space="0" w:sz="0" w:val="nil"/>
          <w:left w:space="0" w:sz="0" w:val="nil"/>
          <w:bottom w:space="0" w:sz="0" w:val="nil"/>
          <w:right w:space="0" w:sz="0" w:val="nil"/>
          <w:between w:space="0" w:sz="0" w:val="nil"/>
        </w:pBdr>
        <w:spacing w:before="20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REFERENCES</w:t>
      </w:r>
    </w:p>
    <w:p w:rsidR="00000000" w:rsidDel="00000000" w:rsidP="00000000" w:rsidRDefault="00000000" w:rsidRPr="00000000" w14:paraId="00000071">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J. Ahmad, A. ul Hasan, T. Naqvi, and T. Mubeen, “A Review on Software Testing and Its Methodology,” </w:t>
      </w:r>
      <w:r w:rsidDel="00000000" w:rsidR="00000000" w:rsidRPr="00000000">
        <w:rPr>
          <w:rFonts w:ascii="Times New Roman" w:cs="Times New Roman" w:eastAsia="Times New Roman" w:hAnsi="Times New Roman"/>
          <w:i w:val="1"/>
          <w:iCs w:val="1"/>
          <w:rtl w:val="0"/>
        </w:rPr>
        <w:t xml:space="preserve">Manag. J. Softw. Eng.</w:t>
      </w:r>
      <w:r w:rsidDel="00000000" w:rsidR="00000000" w:rsidRPr="00000000">
        <w:rPr>
          <w:rFonts w:ascii="Times New Roman" w:cs="Times New Roman" w:eastAsia="Times New Roman" w:hAnsi="Times New Roman"/>
          <w:rtl w:val="0"/>
        </w:rPr>
        <w:t xml:space="preserve">, vol. 13, no. 1, pp. 32–38, 2019, doi: 10.26634/jse.13.3.15515.</w:t>
      </w:r>
    </w:p>
    <w:p w:rsidR="00000000" w:rsidDel="00000000" w:rsidP="00000000" w:rsidRDefault="00000000" w:rsidRPr="00000000" w14:paraId="00000072">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E. A. Shams and A. Rizaner, “A novel support vector machine based intrusion detection system for mobile ad hoc networks,” </w:t>
      </w:r>
      <w:r w:rsidDel="00000000" w:rsidR="00000000" w:rsidRPr="00000000">
        <w:rPr>
          <w:rFonts w:ascii="Times New Roman" w:cs="Times New Roman" w:eastAsia="Times New Roman" w:hAnsi="Times New Roman"/>
          <w:i w:val="1"/>
          <w:iCs w:val="1"/>
          <w:rtl w:val="0"/>
        </w:rPr>
        <w:t xml:space="preserve">Wirel. Networks</w:t>
      </w:r>
      <w:r w:rsidDel="00000000" w:rsidR="00000000" w:rsidRPr="00000000">
        <w:rPr>
          <w:rFonts w:ascii="Times New Roman" w:cs="Times New Roman" w:eastAsia="Times New Roman" w:hAnsi="Times New Roman"/>
          <w:rtl w:val="0"/>
        </w:rPr>
        <w:t xml:space="preserve">, vol. 24, no. 5, pp. 1821–1829, 2018, doi: 10.1007/s11276-016-1439-0.</w:t>
      </w:r>
    </w:p>
    <w:p w:rsidR="00000000" w:rsidDel="00000000" w:rsidP="00000000" w:rsidRDefault="00000000" w:rsidRPr="00000000" w14:paraId="00000073">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S. Aljawarneh, M. Aldwairi, and M. B. Yassein, “Anomaly-based intrusion detection system through feature selection analysis and building hybrid efficient model,” </w:t>
      </w:r>
      <w:r w:rsidDel="00000000" w:rsidR="00000000" w:rsidRPr="00000000">
        <w:rPr>
          <w:rFonts w:ascii="Times New Roman" w:cs="Times New Roman" w:eastAsia="Times New Roman" w:hAnsi="Times New Roman"/>
          <w:i w:val="1"/>
          <w:iCs w:val="1"/>
          <w:rtl w:val="0"/>
        </w:rPr>
        <w:t xml:space="preserve">J. Comput. Sci.</w:t>
      </w:r>
      <w:r w:rsidDel="00000000" w:rsidR="00000000" w:rsidRPr="00000000">
        <w:rPr>
          <w:rFonts w:ascii="Times New Roman" w:cs="Times New Roman" w:eastAsia="Times New Roman" w:hAnsi="Times New Roman"/>
          <w:rtl w:val="0"/>
        </w:rPr>
        <w:t xml:space="preserve">, vol. 25, no. 1, pp. 152–160, 2018, doi: 10.1016/j.jocs.2017.03.006.</w:t>
      </w:r>
    </w:p>
    <w:p w:rsidR="00000000" w:rsidDel="00000000" w:rsidP="00000000" w:rsidRDefault="00000000" w:rsidRPr="00000000" w14:paraId="00000074">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1367, no. 1, pp. 1–11, doi: 10.1088/1742-6596/1367/1/012011.</w:t>
      </w:r>
    </w:p>
    <w:p w:rsidR="00000000" w:rsidDel="00000000" w:rsidP="00000000" w:rsidRDefault="00000000" w:rsidRPr="00000000" w14:paraId="00000075">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Y. Guo, S. Han, Y. Li, C. Zhang, and Y. Bai, “K-Nearest Neighbor combined with guided filter for hyperspectral image classification,” in </w:t>
      </w:r>
      <w:r w:rsidDel="00000000" w:rsidR="00000000" w:rsidRPr="00000000">
        <w:rPr>
          <w:rFonts w:ascii="Times New Roman" w:cs="Times New Roman" w:eastAsia="Times New Roman" w:hAnsi="Times New Roman"/>
          <w:i w:val="1"/>
          <w:iCs w:val="1"/>
          <w:rtl w:val="0"/>
        </w:rPr>
        <w:t xml:space="preserve">International COnference On Identification, Information and Knowledge in the Internet of Things</w:t>
      </w:r>
      <w:r w:rsidDel="00000000" w:rsidR="00000000" w:rsidRPr="00000000">
        <w:rPr>
          <w:rFonts w:ascii="Times New Roman" w:cs="Times New Roman" w:eastAsia="Times New Roman" w:hAnsi="Times New Roman"/>
          <w:rtl w:val="0"/>
        </w:rPr>
        <w:t xml:space="preserve">, 2018, pp. 159–165.</w:t>
      </w:r>
    </w:p>
    <w:p w:rsidR="00000000" w:rsidDel="00000000" w:rsidP="00000000" w:rsidRDefault="00000000" w:rsidRPr="00000000" w14:paraId="00000076">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M. Sridevi, S. Aishwarya, A. Nidheesha, and D. Bokadia, </w:t>
      </w:r>
      <w:r w:rsidDel="00000000" w:rsidR="00000000" w:rsidRPr="00000000">
        <w:rPr>
          <w:rFonts w:ascii="Times New Roman" w:cs="Times New Roman" w:eastAsia="Times New Roman" w:hAnsi="Times New Roman"/>
          <w:i w:val="1"/>
          <w:iCs w:val="1"/>
          <w:rtl w:val="0"/>
        </w:rPr>
        <w:t xml:space="preserve">Anomaly Detection by Using CFS Subset and Neural Network with WEKA Tools</w:t>
      </w:r>
      <w:r w:rsidDel="00000000" w:rsidR="00000000" w:rsidRPr="00000000">
        <w:rPr>
          <w:rFonts w:ascii="Times New Roman" w:cs="Times New Roman" w:eastAsia="Times New Roman" w:hAnsi="Times New Roman"/>
          <w:rtl w:val="0"/>
        </w:rPr>
        <w:t xml:space="preserve">. Springer Singapore.</w:t>
      </w:r>
    </w:p>
    <w:p w:rsidR="00000000" w:rsidDel="00000000" w:rsidP="00000000" w:rsidRDefault="00000000" w:rsidRPr="00000000" w14:paraId="00000077">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C. Low, “NSL-KDD Dataset,” 2015. https://github.com/defcom17/NSL_KDD (accessed Sep. 13, 2019).</w:t>
      </w:r>
    </w:p>
    <w:p w:rsidR="00000000" w:rsidDel="00000000" w:rsidP="00000000" w:rsidRDefault="00000000" w:rsidRPr="00000000" w14:paraId="00000078">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D. Handoko, “Decision Support System for Scholarship Using Simple Additive Weighting (SAW),” Universitas Jenderal Soedirman, 2023.</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7F">
      <w:pPr>
        <w:pStyle w:val="Heading5"/>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SUBMISSION CHECK-LIST (MUST BE INCLUDED IN ARTICLE FILE)</w:t>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320"/>
          <w:tab w:val="right" w:leader="none" w:pos="9242"/>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All items must be YES before submitting to </w:t>
      </w:r>
      <w:r w:rsidDel="00000000" w:rsidR="00000000" w:rsidRPr="00000000">
        <w:rPr>
          <w:rFonts w:ascii="Arial" w:cs="Arial" w:eastAsia="Arial" w:hAnsi="Arial"/>
          <w:b w:val="1"/>
          <w:bCs w:val="1"/>
          <w:color w:val="555555"/>
          <w:sz w:val="21"/>
          <w:szCs w:val="21"/>
          <w:highlight w:val="white"/>
          <w:rtl w:val="0"/>
        </w:rPr>
        <w:t xml:space="preserve">International Journal of Machine Learning (IJOML)</w:t>
      </w:r>
      <w:r w:rsidDel="00000000" w:rsidR="00000000" w:rsidRPr="00000000">
        <w:rPr>
          <w:rFonts w:ascii="Arial" w:cs="Arial" w:eastAsia="Arial" w:hAnsi="Arial"/>
          <w:color w:val="555555"/>
          <w:sz w:val="21"/>
          <w:szCs w:val="21"/>
          <w:highlight w:val="white"/>
          <w:rtl w:val="0"/>
        </w:rPr>
        <w:t xml:space="preserve"> </w:t>
      </w:r>
      <w:r w:rsidDel="00000000" w:rsidR="00000000" w:rsidRPr="00000000">
        <w:rPr>
          <w:rFonts w:ascii="Times New Roman" w:cs="Times New Roman" w:eastAsia="Times New Roman" w:hAnsi="Times New Roman"/>
          <w:color w:val="000000"/>
          <w:sz w:val="20"/>
          <w:szCs w:val="20"/>
          <w:rtl w:val="0"/>
        </w:rPr>
        <w:t xml:space="preserve"> in order to make sure a manuscript well-prepared within a high standard. Please put X in column Yes after checking each item</w:t>
      </w:r>
    </w:p>
    <w:p w:rsidR="00000000" w:rsidDel="00000000" w:rsidP="00000000" w:rsidRDefault="00000000" w:rsidRPr="00000000" w14:paraId="00000081">
      <w:pPr>
        <w:spacing w:before="16" w:lineRule="auto"/>
        <w:ind w:right="118"/>
        <w:rPr>
          <w:rFonts w:ascii="Times New Roman" w:cs="Times New Roman" w:eastAsia="Times New Roman" w:hAnsi="Times New Roman"/>
          <w:sz w:val="24"/>
          <w:szCs w:val="24"/>
        </w:rPr>
      </w:pPr>
      <w:r w:rsidDel="00000000" w:rsidR="00000000" w:rsidRPr="00000000">
        <w:rPr>
          <w:rtl w:val="0"/>
        </w:rPr>
      </w:r>
    </w:p>
    <w:tbl>
      <w:tblPr>
        <w:tblStyle w:val="Table3"/>
        <w:tblW w:w="8398.999999999998" w:type="dxa"/>
        <w:jc w:val="left"/>
        <w:tblInd w:w="99.0" w:type="dxa"/>
        <w:tblLayout w:type="fixed"/>
        <w:tblLook w:val="0000"/>
      </w:tblPr>
      <w:tblGrid>
        <w:gridCol w:w="583"/>
        <w:gridCol w:w="6399"/>
        <w:gridCol w:w="709"/>
        <w:gridCol w:w="708"/>
        <w:tblGridChange w:id="0">
          <w:tblGrid>
            <w:gridCol w:w="583"/>
            <w:gridCol w:w="6399"/>
            <w:gridCol w:w="709"/>
            <w:gridCol w:w="708"/>
          </w:tblGrid>
        </w:tblGridChange>
      </w:tblGrid>
      <w:tr>
        <w:trPr>
          <w:cantSplit w:val="0"/>
          <w:trHeight w:val="254"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82">
            <w:pPr>
              <w:ind w:left="3176" w:right="240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General Format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8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86">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8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88">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89">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have prepared the manuscript using “IJOML-Template.docx”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4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manuscript is written in single or double column using Times New Roman 11 pt font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7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is matching with the focus of the manuscript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have complete authors information: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Affiliation of all authors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 Indicate one of the authors is the corresponding author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2">
            <w:pPr>
              <w:ind w:left="199" w:right="201"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3">
            <w:pPr>
              <w:ind w:left="102" w:right="16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Email of corresponding author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5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length of the manuscript is not less than 3500 words (excluding abstract, author information and reference list)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5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manuscript contains the core contents: introduction with literature review, method, results, discussion, conclusion, conflict of interest, references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maximum 2 level of sections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0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2">
            <w:pPr>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3">
            <w:pPr>
              <w:ind w:left="102"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8"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B6">
            <w:pPr>
              <w:ind w:left="2880" w:right="2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B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B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BA">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B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BC">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BD">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abstract is written between 150 – 250 words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the purpose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the method / research approach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the results / conclusion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novelty/originality/important findings/impact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abstract is completed with keywords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6">
            <w:pPr>
              <w:ind w:left="199" w:right="201"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7">
            <w:pPr>
              <w:ind w:left="102"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4"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DA">
            <w:pPr>
              <w:ind w:left="2160" w:right="155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D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D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DE">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D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E0">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E1">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58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are clear and readable (image, text and legend) with high resolution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are in formal style, without redundant title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3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information in the figure are in English and all decimal written in international standard, using point (.) not comma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have captions (at the bottom)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are cited in the text using consistent citation style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8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citing figure using below and above, but using the number of figure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8"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FA">
            <w:pPr>
              <w:ind w:left="2160" w:right="169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F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F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FE">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F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00">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01">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9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texts in tables are clear and readable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tables are in formal style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4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information in the table are in English and all decimal written in international standard, using point (.) not comma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tables are captioned on top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tables are cited in the text using consistent citation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2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citing table using below and above, but using the number of 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1A">
            <w:pPr>
              <w:ind w:left="250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Equations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1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1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1E">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1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20">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21">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equations are written using editor tool (editable), not a cropped image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equations are captioned on top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4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equations are cited in the text using consistent citation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7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citing equation using below and above, but using the number of equation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6"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32">
            <w:pPr>
              <w:ind w:left="1440" w:right="98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34">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3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38">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3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3A">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3B">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list and citation consistently follows the IEEE style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8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 names in the reference list are not in abbreviated format, but it should be in full name format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references are cited in the 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8">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Citation in the text follows general consistent citation rules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Paper cites at least 25 references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sources are not more than 20% of the reference list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 of references should came from journals/conferences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8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8">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references comes from journals, it should mention name of journal, volume, no, page, and DOI.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Self-citation in the list is not more than 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5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0">
            <w:pPr>
              <w:ind w:left="199" w:right="1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all authors in the reference list unless authors more than 7 (Write the first 6, then et 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3">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sectPr>
      <w:headerReference r:id="rId9" w:type="default"/>
      <w:footerReference r:id="rId10" w:type="default"/>
      <w:footerReference r:id="rId11" w:type="even"/>
      <w:pgSz w:h="16838" w:w="11906" w:orient="portrait"/>
      <w:pgMar w:bottom="1134"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A">
    <w:pPr>
      <w:pBdr>
        <w:top w:color="000000" w:space="1" w:sz="4" w:val="single"/>
        <w:left w:space="0" w:sz="0" w:val="nil"/>
        <w:bottom w:space="0" w:sz="0" w:val="nil"/>
        <w:right w:space="0" w:sz="0" w:val="nil"/>
        <w:between w:space="0" w:sz="0" w:val="nil"/>
      </w:pBdr>
      <w:tabs>
        <w:tab w:val="center" w:leader="none" w:pos="4680"/>
        <w:tab w:val="right" w:leader="none" w:pos="9360"/>
        <w:tab w:val="left" w:leader="none" w:pos="210"/>
        <w:tab w:val="right" w:leader="none" w:pos="9071"/>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leader="none" w:pos="4680"/>
        <w:tab w:val="right" w:leader="none" w:pos="9360"/>
        <w:tab w:val="center" w:leader="none" w:pos="4395"/>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International Journal of Machine Learning</w:t>
      <w:tab/>
      <w:tab/>
    </w:r>
    <w:r w:rsidDel="00000000" w:rsidR="00000000" w:rsidRPr="00000000">
      <w:rPr>
        <w:rFonts w:ascii="Times New Roman" w:cs="Times New Roman" w:eastAsia="Times New Roman" w:hAnsi="Times New Roman"/>
        <w:color w:val="000000"/>
        <w:sz w:val="20"/>
        <w:szCs w:val="20"/>
        <w:rtl w:val="0"/>
      </w:rPr>
      <w:t xml:space="preserve">Vol. x, No. x, June 2026, Page. xxxx-xxxx</w:t>
    </w:r>
    <w:r w:rsidDel="00000000" w:rsidR="00000000" w:rsidRPr="00000000">
      <w:rPr>
        <w:rtl w:val="0"/>
      </w:rPr>
    </w:r>
  </w:p>
  <w:p w:rsidR="00000000" w:rsidDel="00000000" w:rsidP="00000000" w:rsidRDefault="00000000" w:rsidRPr="00000000" w14:paraId="00000166">
    <w:pPr>
      <w:pBdr>
        <w:top w:space="0" w:sz="0" w:val="nil"/>
        <w:left w:space="0" w:sz="0" w:val="nil"/>
        <w:bottom w:color="000000" w:space="1" w:sz="4" w:val="single"/>
        <w:right w:space="0" w:sz="0" w:val="nil"/>
        <w:between w:space="0" w:sz="0" w:val="nil"/>
      </w:pBdr>
      <w:tabs>
        <w:tab w:val="center" w:leader="none" w:pos="4680"/>
        <w:tab w:val="right" w:leader="none" w:pos="9360"/>
        <w:tab w:val="center" w:leader="none" w:pos="4770"/>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P-ISSN: xxxx-xxxx</w:t>
      <w:tab/>
      <w:tab/>
    </w:r>
    <w:hyperlink r:id="rId1">
      <w:r w:rsidDel="00000000" w:rsidR="00000000" w:rsidRPr="00000000">
        <w:rPr>
          <w:rFonts w:ascii="Times New Roman" w:cs="Times New Roman" w:eastAsia="Times New Roman" w:hAnsi="Times New Roman"/>
          <w:color w:val="0563c1"/>
          <w:sz w:val="20"/>
          <w:szCs w:val="20"/>
          <w:u w:val="single"/>
          <w:rtl w:val="0"/>
        </w:rPr>
        <w:t xml:space="preserve">https://ijoml.com/</w:t>
      </w:r>
    </w:hyperlink>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167">
    <w:pPr>
      <w:pBdr>
        <w:top w:space="0" w:sz="0" w:val="nil"/>
        <w:left w:space="0" w:sz="0" w:val="nil"/>
        <w:bottom w:color="000000" w:space="1" w:sz="4" w:val="single"/>
        <w:right w:space="0" w:sz="0" w:val="nil"/>
        <w:between w:space="0" w:sz="0" w:val="nil"/>
      </w:pBdr>
      <w:tabs>
        <w:tab w:val="center" w:leader="none" w:pos="4680"/>
        <w:tab w:val="right" w:leader="none" w:pos="9360"/>
        <w:tab w:val="center" w:leader="none" w:pos="4770"/>
      </w:tabs>
      <w:spacing w:after="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E-ISSN: xxxx-xxxx</w:t>
      <w:tab/>
      <w:tab/>
      <w:t xml:space="preserve">DOI: </w:t>
    </w:r>
    <w:hyperlink r:id="rId2">
      <w:r w:rsidDel="00000000" w:rsidR="00000000" w:rsidRPr="00000000">
        <w:rPr>
          <w:rFonts w:ascii="Times New Roman" w:cs="Times New Roman" w:eastAsia="Times New Roman" w:hAnsi="Times New Roman"/>
          <w:color w:val="0563c1"/>
          <w:sz w:val="20"/>
          <w:szCs w:val="20"/>
          <w:u w:val="single"/>
          <w:rtl w:val="0"/>
        </w:rPr>
        <w:t xml:space="preserve">https://doi.org/10.52436/1.ijoml.vol.issue.id</w:t>
      </w:r>
    </w:hyperlink>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tabs>
        <w:tab w:val="center" w:leader="none" w:pos="4680"/>
        <w:tab w:val="right" w:leader="none" w:pos="9360"/>
        <w:tab w:val="right" w:leader="none" w:pos="8787"/>
      </w:tabs>
      <w:spacing w:after="0" w:line="240" w:lineRule="auto"/>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4b5"/>
      <w:sz w:val="32"/>
      <w:szCs w:val="32"/>
    </w:rPr>
  </w:style>
  <w:style w:type="paragraph" w:styleId="Heading2">
    <w:name w:val="heading 2"/>
    <w:basedOn w:val="Normal"/>
    <w:next w:val="Normal"/>
    <w:pPr>
      <w:keepNext w:val="1"/>
      <w:keepLines w:val="1"/>
      <w:tabs>
        <w:tab w:val="left" w:leader="none" w:pos="288"/>
      </w:tabs>
      <w:spacing w:after="60" w:before="120" w:line="240" w:lineRule="auto"/>
      <w:ind w:left="113"/>
    </w:pPr>
    <w:rPr>
      <w:rFonts w:ascii="Garamond" w:cs="Garamond" w:eastAsia="Garamond" w:hAnsi="Garamond"/>
      <w:i w:val="1"/>
      <w:iCs w:val="1"/>
      <w:sz w:val="20"/>
      <w:szCs w:val="20"/>
    </w:rPr>
  </w:style>
  <w:style w:type="paragraph" w:styleId="Heading3">
    <w:name w:val="heading 3"/>
    <w:basedOn w:val="Normal"/>
    <w:next w:val="Normal"/>
    <w:pPr>
      <w:tabs>
        <w:tab w:val="left" w:leader="none" w:pos="540"/>
      </w:tabs>
      <w:spacing w:after="0" w:line="240" w:lineRule="auto"/>
      <w:ind w:firstLine="288"/>
      <w:jc w:val="both"/>
    </w:pPr>
    <w:rPr>
      <w:rFonts w:ascii="Garamond" w:cs="Garamond" w:eastAsia="Garamond" w:hAnsi="Garamond"/>
      <w:i w:val="1"/>
      <w:iCs w:val="1"/>
      <w:sz w:val="20"/>
      <w:szCs w:val="20"/>
    </w:rPr>
  </w:style>
  <w:style w:type="paragraph" w:styleId="Heading4">
    <w:name w:val="heading 4"/>
    <w:basedOn w:val="Normal"/>
    <w:next w:val="Normal"/>
    <w:pPr>
      <w:tabs>
        <w:tab w:val="left" w:leader="none" w:pos="720"/>
        <w:tab w:val="left" w:leader="none" w:pos="821"/>
      </w:tabs>
      <w:spacing w:after="40" w:before="40" w:line="240" w:lineRule="auto"/>
      <w:ind w:firstLine="504"/>
      <w:jc w:val="both"/>
    </w:pPr>
    <w:rPr>
      <w:rFonts w:ascii="Garamond" w:cs="Garamond" w:eastAsia="Garamond" w:hAnsi="Garamond"/>
      <w:i w:val="1"/>
      <w:iCs w:val="1"/>
      <w:sz w:val="20"/>
      <w:szCs w:val="20"/>
    </w:rPr>
  </w:style>
  <w:style w:type="paragraph" w:styleId="Heading5">
    <w:name w:val="heading 5"/>
    <w:basedOn w:val="Normal"/>
    <w:next w:val="Normal"/>
    <w:pPr>
      <w:keepNext w:val="1"/>
      <w:keepLines w:val="1"/>
      <w:spacing w:after="0" w:before="40" w:lineRule="auto"/>
    </w:pPr>
    <w:rPr>
      <w:color w:val="2f549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hyperlink" Target="https://ijoml.com/" TargetMode="External"/><Relationship Id="rId2" Type="http://schemas.openxmlformats.org/officeDocument/2006/relationships/hyperlink" Target="https://doi.org/10.52436/1.ijoml.vol.issue.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2Hm1182CkF6Mok5Mk2cXx1bhoQ==">CgMxLjAyDmguOGZtaGprN2l4MTBpOAByITFaVlhiNm4tN1l6MnRPWTRhbWplN0FXMmszb0tvaTdzMA==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