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pPr>
      <w:r>
        <w:rPr>
          <w:rFonts w:ascii="Times New Roman" w:cs="Times New Roman" w:eastAsia="Times New Roman" w:hAnsi="Times New Roman"/>
          <w:b/>
          <w:bCs/>
        </w:rPr>
        <w:t xml:space="preserve">Chapter 4</w:t>
      </w:r>
    </w:p>
    <w:p>
      <w:pPr>
        <w:pStyle w:val="Heading1"/>
        <w:spacing w:after="240"/>
      </w:pPr>
      <w:r>
        <w:rPr>
          <w:rFonts w:ascii="Times New Roman" w:cs="Times New Roman" w:eastAsia="Times New Roman" w:hAnsi="Times New Roman"/>
          <w:b/>
          <w:bCs/>
        </w:rPr>
        <w:t xml:space="preserve">Experiments and Results</w:t>
      </w:r>
    </w:p>
    <w:p>
      <w:pPr>
        <w:pStyle w:val="Heading2"/>
        <w:spacing w:after="160" w:before="280"/>
      </w:pPr>
      <w:r>
        <w:rPr>
          <w:rFonts w:ascii="Times New Roman" w:cs="Times New Roman" w:eastAsia="Times New Roman" w:hAnsi="Times New Roman"/>
          <w:b/>
          <w:bCs/>
        </w:rPr>
        <w:t xml:space="preserve">4.1  Implementation</w:t>
      </w:r>
    </w:p>
    <w:p>
      <w:pPr>
        <w:spacing w:after="160" w:line="276"/>
      </w:pPr>
      <w:r>
        <w:rPr>
          <w:rFonts w:ascii="Times New Roman" w:cs="Times New Roman" w:eastAsia="Times New Roman" w:hAnsi="Times New Roman"/>
          <w:sz w:val="22"/>
          <w:szCs w:val="22"/>
        </w:rPr>
        <w:t xml:space="preserve">This section describes how the Graph-RAG pipeline of Chapter 3 is realised as a working system: the concrete data artefacts consumed at run time (4.1.1), the software architecture (4.1.2), the retrieval and ranking parameters (4.1.3), how the large language model (LLM) is invoked and prompted (4.1.4), and how its output is validated before being shown to a user (4.1.5).</w:t>
      </w:r>
    </w:p>
    <w:p>
      <w:pPr>
        <w:pStyle w:val="Heading3"/>
        <w:spacing w:after="160" w:before="280"/>
      </w:pPr>
      <w:r>
        <w:rPr>
          <w:rFonts w:ascii="Times New Roman" w:cs="Times New Roman" w:eastAsia="Times New Roman" w:hAnsi="Times New Roman"/>
          <w:b/>
          <w:bCs/>
        </w:rPr>
        <w:t xml:space="preserve">4.1.1  Data</w:t>
      </w:r>
    </w:p>
    <w:p>
      <w:pPr>
        <w:spacing w:after="160" w:line="276"/>
      </w:pPr>
      <w:r>
        <w:rPr>
          <w:rFonts w:ascii="Times New Roman" w:cs="Times New Roman" w:eastAsia="Times New Roman" w:hAnsi="Times New Roman"/>
          <w:sz w:val="22"/>
          <w:szCs w:val="22"/>
        </w:rPr>
        <w:t xml:space="preserve">The knowledge graph is built directly from the Decagon dataset, distributed by the Stanford SNAP BioSNAP collection</w:t>
      </w:r>
      <w:r>
        <w:rPr>
          <w:rFonts w:ascii="Times New Roman" w:cs="Times New Roman" w:eastAsia="Times New Roman" w:hAnsi="Times New Roman"/>
          <w:b w:val="false"/>
          <w:bCs w:val="false"/>
          <w:i w:val="false"/>
          <w:iCs w:val="false"/>
          <w:sz w:val="22"/>
          <w:szCs w:val="22"/>
          <w:vertAlign w:val="superscript"/>
        </w:rPr>
        <w:t xml:space="preserve">1</w:t>
      </w:r>
      <w:r>
        <w:rPr>
          <w:rFonts w:ascii="Times New Roman" w:cs="Times New Roman" w:eastAsia="Times New Roman" w:hAnsi="Times New Roman"/>
          <w:sz w:val="22"/>
          <w:szCs w:val="22"/>
        </w:rPr>
        <w:t xml:space="preserve">, as four plain CSV files; the fourth, </w:t>
      </w:r>
      <w:r>
        <w:rPr>
          <w:rFonts w:ascii="Consolas" w:cs="Consolas" w:eastAsia="Consolas" w:hAnsi="Consolas"/>
          <w:b w:val="false"/>
          <w:bCs w:val="false"/>
          <w:i w:val="false"/>
          <w:iCs w:val="false"/>
          <w:sz w:val="20"/>
          <w:szCs w:val="20"/>
        </w:rPr>
        <w:t xml:space="preserve">bio-decagon-mono.csv</w:t>
      </w:r>
      <w:r>
        <w:rPr>
          <w:rFonts w:ascii="Times New Roman" w:cs="Times New Roman" w:eastAsia="Times New Roman" w:hAnsi="Times New Roman"/>
          <w:sz w:val="22"/>
          <w:szCs w:val="22"/>
        </w:rPr>
        <w:t xml:space="preserve">, is optional and is used only as a ranking feature (Section 4.1.3), never for retrieval. Table 4.1 reports the exact size of each file as distributed – obtained by loading all four files with no filtering – and matches the totals already summarised in Section 1.3.2 up to the small differences expected from counting raw rows rather than deduplicated entities.</w:t>
      </w:r>
    </w:p>
    <w:p>
      <w:pPr>
        <w:spacing w:after="80" w:before="200"/>
      </w:pPr>
      <w:r>
        <w:rPr>
          <w:rFonts w:ascii="Times New Roman" w:cs="Times New Roman" w:eastAsia="Times New Roman" w:hAnsi="Times New Roman"/>
          <w:b/>
          <w:bCs/>
          <w:sz w:val="20"/>
          <w:szCs w:val="20"/>
        </w:rPr>
        <w:t xml:space="preserve">Table 4.1: </w:t>
      </w:r>
      <w:r>
        <w:rPr>
          <w:rFonts w:ascii="Times New Roman" w:cs="Times New Roman" w:eastAsia="Times New Roman" w:hAnsi="Times New Roman"/>
          <w:b/>
          <w:bCs/>
          <w:sz w:val="20"/>
          <w:szCs w:val="20"/>
        </w:rPr>
        <w:t xml:space="preserve">Decagon dataset, as distributed (unfiltered row and entity counts)</w:t>
      </w:r>
    </w:p>
    <w:tbl>
      <w:tblPr>
        <w:tblW w:type="dxa" w:w="9940"/>
        <w:tblBorders>
          <w:top w:val="single" w:color="000000" w:sz="4"/>
          <w:left w:val="none" w:color="FFFFFF" w:sz="0"/>
          <w:bottom w:val="single" w:color="000000" w:sz="4"/>
          <w:right w:val="none" w:color="FFFFFF" w:sz="0"/>
          <w:insideH w:val="single" w:color="999999" w:sz="2"/>
          <w:insideV w:val="none" w:color="FFFFFF" w:sz="0"/>
        </w:tblBorders>
      </w:tblPr>
      <w:tblGrid>
        <w:gridCol w:w="3600"/>
        <w:gridCol w:w="1500"/>
        <w:gridCol w:w="4840"/>
      </w:tblGrid>
      <w:tr>
        <w:tc>
          <w:tcPr>
            <w:tcW w:type="dxa" w:w="3600"/>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File</w:t>
            </w:r>
          </w:p>
        </w:tc>
        <w:tc>
          <w:tcPr>
            <w:tcW w:type="dxa" w:w="1500"/>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Rows</w:t>
            </w:r>
          </w:p>
        </w:tc>
        <w:tc>
          <w:tcPr>
            <w:tcW w:type="dxa" w:w="4840"/>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Key entities</w:t>
            </w:r>
          </w:p>
        </w:tc>
      </w:tr>
      <w:tr>
        <w:tc>
          <w:tcPr>
            <w:tcW w:type="dxa" w:w="3600"/>
            <w:tcMar>
              <w:top w:type="dxa" w:w="60"/>
              <w:left w:type="dxa" w:w="100"/>
              <w:bottom w:type="dxa" w:w="60"/>
              <w:right w:type="dxa" w:w="100"/>
            </w:tcMar>
          </w:tcPr>
          <w:p>
            <w:r>
              <w:rPr>
                <w:rFonts w:ascii="Consolas" w:cs="Consolas" w:eastAsia="Consolas" w:hAnsi="Consolas"/>
                <w:b w:val="false"/>
                <w:bCs w:val="false"/>
                <w:sz w:val="19"/>
                <w:szCs w:val="19"/>
              </w:rPr>
              <w:t xml:space="preserve">bio-decagon-targets.csv</w:t>
            </w:r>
          </w:p>
        </w:tc>
        <w:tc>
          <w:tcPr>
            <w:tcW w:type="dxa" w:w="15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18,690</w:t>
            </w:r>
          </w:p>
        </w:tc>
        <w:tc>
          <w:tcPr>
            <w:tcW w:type="dxa" w:w="484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284 drugs, 3,648 proteins</w:t>
            </w:r>
          </w:p>
        </w:tc>
      </w:tr>
      <w:tr>
        <w:tc>
          <w:tcPr>
            <w:tcW w:type="dxa" w:w="3600"/>
            <w:tcMar>
              <w:top w:type="dxa" w:w="60"/>
              <w:left w:type="dxa" w:w="100"/>
              <w:bottom w:type="dxa" w:w="60"/>
              <w:right w:type="dxa" w:w="100"/>
            </w:tcMar>
          </w:tcPr>
          <w:p>
            <w:r>
              <w:rPr>
                <w:rFonts w:ascii="Consolas" w:cs="Consolas" w:eastAsia="Consolas" w:hAnsi="Consolas"/>
                <w:b w:val="false"/>
                <w:bCs w:val="false"/>
                <w:sz w:val="19"/>
                <w:szCs w:val="19"/>
              </w:rPr>
              <w:t xml:space="preserve">bio-decagon-ppi.csv</w:t>
            </w:r>
          </w:p>
        </w:tc>
        <w:tc>
          <w:tcPr>
            <w:tcW w:type="dxa" w:w="15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715,612</w:t>
            </w:r>
          </w:p>
        </w:tc>
        <w:tc>
          <w:tcPr>
            <w:tcW w:type="dxa" w:w="484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19,081 proteins</w:t>
            </w:r>
          </w:p>
        </w:tc>
      </w:tr>
      <w:tr>
        <w:tc>
          <w:tcPr>
            <w:tcW w:type="dxa" w:w="3600"/>
            <w:tcMar>
              <w:top w:type="dxa" w:w="60"/>
              <w:left w:type="dxa" w:w="100"/>
              <w:bottom w:type="dxa" w:w="60"/>
              <w:right w:type="dxa" w:w="100"/>
            </w:tcMar>
          </w:tcPr>
          <w:p>
            <w:r>
              <w:rPr>
                <w:rFonts w:ascii="Consolas" w:cs="Consolas" w:eastAsia="Consolas" w:hAnsi="Consolas"/>
                <w:b w:val="false"/>
                <w:bCs w:val="false"/>
                <w:sz w:val="19"/>
                <w:szCs w:val="19"/>
              </w:rPr>
              <w:t xml:space="preserve">bio-decagon-combo.csv</w:t>
            </w:r>
          </w:p>
        </w:tc>
        <w:tc>
          <w:tcPr>
            <w:tcW w:type="dxa" w:w="15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4,649,441</w:t>
            </w:r>
          </w:p>
        </w:tc>
        <w:tc>
          <w:tcPr>
            <w:tcW w:type="dxa" w:w="484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645 drugs, 63,473 drug pairs, 1,317 effect codes</w:t>
            </w:r>
          </w:p>
        </w:tc>
      </w:tr>
      <w:tr>
        <w:tc>
          <w:tcPr>
            <w:tcW w:type="dxa" w:w="3600"/>
            <w:tcMar>
              <w:top w:type="dxa" w:w="60"/>
              <w:left w:type="dxa" w:w="100"/>
              <w:bottom w:type="dxa" w:w="60"/>
              <w:right w:type="dxa" w:w="100"/>
            </w:tcMar>
          </w:tcPr>
          <w:p>
            <w:r>
              <w:rPr>
                <w:rFonts w:ascii="Consolas" w:cs="Consolas" w:eastAsia="Consolas" w:hAnsi="Consolas"/>
                <w:b w:val="false"/>
                <w:bCs w:val="false"/>
                <w:sz w:val="19"/>
                <w:szCs w:val="19"/>
              </w:rPr>
              <w:t xml:space="preserve">bio-decagon-mono.csv (optional)</w:t>
            </w:r>
          </w:p>
        </w:tc>
        <w:tc>
          <w:tcPr>
            <w:tcW w:type="dxa" w:w="15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174,977</w:t>
            </w:r>
          </w:p>
        </w:tc>
        <w:tc>
          <w:tcPr>
            <w:tcW w:type="dxa" w:w="484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639 drugs, 10,184 effect codes</w:t>
            </w:r>
          </w:p>
        </w:tc>
      </w:tr>
    </w:tbl>
    <w:p>
      <w:pPr>
        <w:spacing w:after="160" w:line="276"/>
      </w:pPr>
      <w:r>
        <w:rPr>
          <w:rFonts w:ascii="Times New Roman" w:cs="Times New Roman" w:eastAsia="Times New Roman" w:hAnsi="Times New Roman"/>
          <w:sz w:val="22"/>
          <w:szCs w:val="22"/>
        </w:rPr>
        <w:t xml:space="preserve"/>
      </w:r>
    </w:p>
    <w:p>
      <w:pPr>
        <w:spacing w:after="160" w:line="276"/>
      </w:pPr>
      <w:r>
        <w:rPr>
          <w:rFonts w:ascii="Times New Roman" w:cs="Times New Roman" w:eastAsia="Times New Roman" w:hAnsi="Times New Roman"/>
          <w:sz w:val="22"/>
          <w:szCs w:val="22"/>
        </w:rPr>
        <w:t xml:space="preserve">Two structural properties of the graph directly motivated implementation choices in Section 4.1.3. First, both the drug–target and the protein–protein subgraphs are heavily right-skewed (Table 4.2): half of all drugs bind at most 11 proteins, yet one outlier binds 2,840, and half of all proteins have at most 33 interaction partners, yet the busiest protein has 2,519. Treating every protein identically during bridge search would let a handful of such hub proteins connect almost any two drugs through a biologically uninformative path. Fixing </w:t>
      </w:r>
      <w:r>
        <w:rPr>
          <w:rFonts w:ascii="Consolas" w:cs="Consolas" w:eastAsia="Consolas" w:hAnsi="Consolas"/>
          <w:b w:val="false"/>
          <w:bCs w:val="false"/>
          <w:i w:val="false"/>
          <w:iCs w:val="false"/>
          <w:sz w:val="20"/>
          <w:szCs w:val="20"/>
        </w:rPr>
        <w:t xml:space="preserve">hub_degree_threshold</w:t>
      </w:r>
      <w:r>
        <w:rPr>
          <w:rFonts w:ascii="Times New Roman" w:cs="Times New Roman" w:eastAsia="Times New Roman" w:hAnsi="Times New Roman"/>
          <w:sz w:val="22"/>
          <w:szCs w:val="22"/>
        </w:rPr>
        <w:t xml:space="preserve"> at 500 (Table 4.5) removes only the extreme tail – 220 of 19,081 proteins (1.15%), close to the 99th percentile of the observed degree distribution – while leaving the rest of the PPI network intact.</w:t>
      </w:r>
    </w:p>
    <w:p>
      <w:pPr>
        <w:spacing w:after="80" w:before="200"/>
      </w:pPr>
      <w:r>
        <w:rPr>
          <w:rFonts w:ascii="Times New Roman" w:cs="Times New Roman" w:eastAsia="Times New Roman" w:hAnsi="Times New Roman"/>
          <w:b/>
          <w:bCs/>
          <w:sz w:val="20"/>
          <w:szCs w:val="20"/>
        </w:rPr>
        <w:t xml:space="preserve">Table 4.2: </w:t>
      </w:r>
      <w:r>
        <w:rPr>
          <w:rFonts w:ascii="Times New Roman" w:cs="Times New Roman" w:eastAsia="Times New Roman" w:hAnsi="Times New Roman"/>
          <w:b/>
          <w:bCs/>
          <w:sz w:val="20"/>
          <w:szCs w:val="20"/>
        </w:rPr>
        <w:t xml:space="preserve">Degree-distribution statistics of the drug–target and protein–protein graphs</w:t>
      </w:r>
    </w:p>
    <w:tbl>
      <w:tblPr>
        <w:tblW w:type="dxa" w:w="9940"/>
        <w:tblBorders>
          <w:top w:val="single" w:color="000000" w:sz="4"/>
          <w:left w:val="none" w:color="FFFFFF" w:sz="0"/>
          <w:bottom w:val="single" w:color="000000" w:sz="4"/>
          <w:right w:val="none" w:color="FFFFFF" w:sz="0"/>
          <w:insideH w:val="single" w:color="999999" w:sz="2"/>
          <w:insideV w:val="none" w:color="FFFFFF" w:sz="0"/>
        </w:tblBorders>
      </w:tblPr>
      <w:tblGrid>
        <w:gridCol w:w="3300"/>
        <w:gridCol w:w="1100"/>
        <w:gridCol w:w="1100"/>
        <w:gridCol w:w="1100"/>
        <w:gridCol w:w="1100"/>
        <w:gridCol w:w="1100"/>
        <w:gridCol w:w="1140"/>
      </w:tblGrid>
      <w:tr>
        <w:tc>
          <w:tcPr>
            <w:tcW w:type="dxa" w:w="3300"/>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Degree</w:t>
            </w:r>
          </w:p>
        </w:tc>
        <w:tc>
          <w:tcPr>
            <w:tcW w:type="dxa" w:w="1100"/>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Min</w:t>
            </w:r>
          </w:p>
        </w:tc>
        <w:tc>
          <w:tcPr>
            <w:tcW w:type="dxa" w:w="1100"/>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Median</w:t>
            </w:r>
          </w:p>
        </w:tc>
        <w:tc>
          <w:tcPr>
            <w:tcW w:type="dxa" w:w="1100"/>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Mean</w:t>
            </w:r>
          </w:p>
        </w:tc>
        <w:tc>
          <w:tcPr>
            <w:tcW w:type="dxa" w:w="1100"/>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P90</w:t>
            </w:r>
          </w:p>
        </w:tc>
        <w:tc>
          <w:tcPr>
            <w:tcW w:type="dxa" w:w="1100"/>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P99</w:t>
            </w:r>
          </w:p>
        </w:tc>
        <w:tc>
          <w:tcPr>
            <w:tcW w:type="dxa" w:w="1140"/>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Max</w:t>
            </w:r>
          </w:p>
        </w:tc>
      </w:tr>
      <w:tr>
        <w:tc>
          <w:tcPr>
            <w:tcW w:type="dxa" w:w="3300"/>
            <w:tcMar>
              <w:top w:type="dxa" w:w="60"/>
              <w:left w:type="dxa" w:w="100"/>
              <w:bottom w:type="dxa" w:w="60"/>
              <w:right w:type="dxa" w:w="100"/>
            </w:tcMar>
          </w:tcPr>
          <w:p>
            <w:r>
              <w:rPr>
                <w:rFonts w:ascii="Consolas" w:cs="Consolas" w:eastAsia="Consolas" w:hAnsi="Consolas"/>
                <w:b w:val="false"/>
                <w:bCs w:val="false"/>
                <w:sz w:val="19"/>
                <w:szCs w:val="19"/>
              </w:rPr>
              <w:t xml:space="preserve">Targets per drug</w:t>
            </w:r>
          </w:p>
        </w:tc>
        <w:tc>
          <w:tcPr>
            <w:tcW w:type="dxa" w:w="11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w:t>
            </w:r>
          </w:p>
        </w:tc>
        <w:tc>
          <w:tcPr>
            <w:tcW w:type="dxa" w:w="11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11</w:t>
            </w:r>
          </w:p>
        </w:tc>
        <w:tc>
          <w:tcPr>
            <w:tcW w:type="dxa" w:w="11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65.8</w:t>
            </w:r>
          </w:p>
        </w:tc>
        <w:tc>
          <w:tcPr>
            <w:tcW w:type="dxa" w:w="11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170</w:t>
            </w:r>
          </w:p>
        </w:tc>
        <w:tc>
          <w:tcPr>
            <w:tcW w:type="dxa" w:w="11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206</w:t>
            </w:r>
          </w:p>
        </w:tc>
        <w:tc>
          <w:tcPr>
            <w:tcW w:type="dxa" w:w="114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2,840</w:t>
            </w:r>
          </w:p>
        </w:tc>
      </w:tr>
      <w:tr>
        <w:tc>
          <w:tcPr>
            <w:tcW w:type="dxa" w:w="3300"/>
            <w:tcMar>
              <w:top w:type="dxa" w:w="60"/>
              <w:left w:type="dxa" w:w="100"/>
              <w:bottom w:type="dxa" w:w="60"/>
              <w:right w:type="dxa" w:w="100"/>
            </w:tcMar>
          </w:tcPr>
          <w:p>
            <w:r>
              <w:rPr>
                <w:rFonts w:ascii="Consolas" w:cs="Consolas" w:eastAsia="Consolas" w:hAnsi="Consolas"/>
                <w:b w:val="false"/>
                <w:bCs w:val="false"/>
                <w:sz w:val="19"/>
                <w:szCs w:val="19"/>
              </w:rPr>
              <w:t xml:space="preserve">Drugs per target protein</w:t>
            </w:r>
          </w:p>
        </w:tc>
        <w:tc>
          <w:tcPr>
            <w:tcW w:type="dxa" w:w="11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w:t>
            </w:r>
          </w:p>
        </w:tc>
        <w:tc>
          <w:tcPr>
            <w:tcW w:type="dxa" w:w="11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w:t>
            </w:r>
          </w:p>
        </w:tc>
        <w:tc>
          <w:tcPr>
            <w:tcW w:type="dxa" w:w="11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5.1</w:t>
            </w:r>
          </w:p>
        </w:tc>
        <w:tc>
          <w:tcPr>
            <w:tcW w:type="dxa" w:w="11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5</w:t>
            </w:r>
          </w:p>
        </w:tc>
        <w:tc>
          <w:tcPr>
            <w:tcW w:type="dxa" w:w="11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78</w:t>
            </w:r>
          </w:p>
        </w:tc>
        <w:tc>
          <w:tcPr>
            <w:tcW w:type="dxa" w:w="114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94</w:t>
            </w:r>
          </w:p>
        </w:tc>
      </w:tr>
      <w:tr>
        <w:tc>
          <w:tcPr>
            <w:tcW w:type="dxa" w:w="3300"/>
            <w:tcMar>
              <w:top w:type="dxa" w:w="60"/>
              <w:left w:type="dxa" w:w="100"/>
              <w:bottom w:type="dxa" w:w="60"/>
              <w:right w:type="dxa" w:w="100"/>
            </w:tcMar>
          </w:tcPr>
          <w:p>
            <w:r>
              <w:rPr>
                <w:rFonts w:ascii="Consolas" w:cs="Consolas" w:eastAsia="Consolas" w:hAnsi="Consolas"/>
                <w:b w:val="false"/>
                <w:bCs w:val="false"/>
                <w:sz w:val="19"/>
                <w:szCs w:val="19"/>
              </w:rPr>
              <w:t xml:space="preserve">PPI neighbours per protein</w:t>
            </w:r>
          </w:p>
        </w:tc>
        <w:tc>
          <w:tcPr>
            <w:tcW w:type="dxa" w:w="11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w:t>
            </w:r>
          </w:p>
        </w:tc>
        <w:tc>
          <w:tcPr>
            <w:tcW w:type="dxa" w:w="11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33</w:t>
            </w:r>
          </w:p>
        </w:tc>
        <w:tc>
          <w:tcPr>
            <w:tcW w:type="dxa" w:w="11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75.0</w:t>
            </w:r>
          </w:p>
        </w:tc>
        <w:tc>
          <w:tcPr>
            <w:tcW w:type="dxa" w:w="11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201</w:t>
            </w:r>
          </w:p>
        </w:tc>
        <w:tc>
          <w:tcPr>
            <w:tcW w:type="dxa" w:w="11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525</w:t>
            </w:r>
          </w:p>
        </w:tc>
        <w:tc>
          <w:tcPr>
            <w:tcW w:type="dxa" w:w="114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2,519</w:t>
            </w:r>
          </w:p>
        </w:tc>
      </w:tr>
    </w:tbl>
    <w:p>
      <w:pPr>
        <w:spacing w:after="160" w:line="276"/>
      </w:pPr>
      <w:r>
        <w:rPr>
          <w:rFonts w:ascii="Times New Roman" w:cs="Times New Roman" w:eastAsia="Times New Roman" w:hAnsi="Times New Roman"/>
          <w:sz w:val="22"/>
          <w:szCs w:val="22"/>
        </w:rPr>
        <w:t xml:space="preserve"/>
      </w:r>
    </w:p>
    <w:p>
      <w:pPr>
        <w:spacing w:after="160" w:line="276"/>
      </w:pPr>
      <w:r>
        <w:rPr>
          <w:rFonts w:ascii="Times New Roman" w:cs="Times New Roman" w:eastAsia="Times New Roman" w:hAnsi="Times New Roman"/>
          <w:sz w:val="22"/>
          <w:szCs w:val="22"/>
        </w:rPr>
        <w:t xml:space="preserve">Second, the 645 drugs that carry documented pairwise history in bio-decagon-combo.csv are not the same population as the 284 drugs listed in bio-decagon-targets.csv: only 284 of the 645 (44%) have a known target set. For the remaining 361 drugs, Tier-1 evidence (a documented pairwise effect, Table 3.2) is still available whenever the pair itself was tested, but Tier-2 amplification and Tier-3 bridging are reachable only for drugs with target annotations, since both require a protein-level path. This asymmetry is a property of the released data, not of the retrieval algorithm, and bounds how much mechanistic – as opposed to purely historical – evidence the pipeline can offer for target-unannotated drugs.</w:t>
      </w:r>
    </w:p>
    <w:p>
      <w:pPr>
        <w:spacing w:after="160" w:line="276"/>
      </w:pPr>
      <w:r>
        <w:rPr>
          <w:rFonts w:ascii="Times New Roman" w:cs="Times New Roman" w:eastAsia="Times New Roman" w:hAnsi="Times New Roman"/>
          <w:sz w:val="22"/>
          <w:szCs w:val="22"/>
        </w:rPr>
        <w:t xml:space="preserve">Third, the volume of documented pairwise history is itself heavy-tailed at two levels (Table 4.3). A drug pair that has any documented effect has a median of 53 and up to 540 of them, which is why effects are ranked (Eq. 1) rather than listed in full; and a given effect code is documented for a median of 1,596 pairs but as few as 1, which is why the inverse-frequency term of Eq. 2 matters in practice. Of the 1,317 distinct effect codes present in the raw file, 963 occur in at least 500 pairs – matching, within one effect, the 964 side effects that Zitnik et al. [1] report evaluating after applying the same frequency cut-off – while the remaining ~350 codes are comparatively rare and receive a correspondingly larger I(e) rather than being dropped.</w:t>
      </w:r>
    </w:p>
    <w:p>
      <w:pPr>
        <w:spacing w:after="80" w:before="200"/>
      </w:pPr>
      <w:r>
        <w:rPr>
          <w:rFonts w:ascii="Times New Roman" w:cs="Times New Roman" w:eastAsia="Times New Roman" w:hAnsi="Times New Roman"/>
          <w:b/>
          <w:bCs/>
          <w:sz w:val="20"/>
          <w:szCs w:val="20"/>
        </w:rPr>
        <w:t xml:space="preserve">Table 4.3: </w:t>
      </w:r>
      <w:r>
        <w:rPr>
          <w:rFonts w:ascii="Times New Roman" w:cs="Times New Roman" w:eastAsia="Times New Roman" w:hAnsi="Times New Roman"/>
          <w:b/>
          <w:bCs/>
          <w:sz w:val="20"/>
          <w:szCs w:val="20"/>
        </w:rPr>
        <w:t xml:space="preserve">Side-effect frequency statistics in bio-decagon-combo.csv</w:t>
      </w:r>
    </w:p>
    <w:tbl>
      <w:tblPr>
        <w:tblW w:type="dxa" w:w="9940"/>
        <w:tblBorders>
          <w:top w:val="single" w:color="000000" w:sz="4"/>
          <w:left w:val="none" w:color="FFFFFF" w:sz="0"/>
          <w:bottom w:val="single" w:color="000000" w:sz="4"/>
          <w:right w:val="none" w:color="FFFFFF" w:sz="0"/>
          <w:insideH w:val="single" w:color="999999" w:sz="2"/>
          <w:insideV w:val="none" w:color="FFFFFF" w:sz="0"/>
        </w:tblBorders>
      </w:tblPr>
      <w:tblGrid>
        <w:gridCol w:w="3300"/>
        <w:gridCol w:w="1100"/>
        <w:gridCol w:w="1100"/>
        <w:gridCol w:w="1100"/>
        <w:gridCol w:w="1100"/>
        <w:gridCol w:w="1100"/>
        <w:gridCol w:w="1140"/>
      </w:tblGrid>
      <w:tr>
        <w:tc>
          <w:tcPr>
            <w:tcW w:type="dxa" w:w="3300"/>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
            </w:r>
          </w:p>
        </w:tc>
        <w:tc>
          <w:tcPr>
            <w:tcW w:type="dxa" w:w="1100"/>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Min</w:t>
            </w:r>
          </w:p>
        </w:tc>
        <w:tc>
          <w:tcPr>
            <w:tcW w:type="dxa" w:w="1100"/>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Median</w:t>
            </w:r>
          </w:p>
        </w:tc>
        <w:tc>
          <w:tcPr>
            <w:tcW w:type="dxa" w:w="1100"/>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Mean</w:t>
            </w:r>
          </w:p>
        </w:tc>
        <w:tc>
          <w:tcPr>
            <w:tcW w:type="dxa" w:w="1100"/>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P90</w:t>
            </w:r>
          </w:p>
        </w:tc>
        <w:tc>
          <w:tcPr>
            <w:tcW w:type="dxa" w:w="1100"/>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P99</w:t>
            </w:r>
          </w:p>
        </w:tc>
        <w:tc>
          <w:tcPr>
            <w:tcW w:type="dxa" w:w="1140"/>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Max</w:t>
            </w:r>
          </w:p>
        </w:tc>
      </w:tr>
      <w:tr>
        <w:tc>
          <w:tcPr>
            <w:tcW w:type="dxa" w:w="3300"/>
            <w:tcMar>
              <w:top w:type="dxa" w:w="60"/>
              <w:left w:type="dxa" w:w="100"/>
              <w:bottom w:type="dxa" w:w="60"/>
              <w:right w:type="dxa" w:w="100"/>
            </w:tcMar>
          </w:tcPr>
          <w:p>
            <w:r>
              <w:rPr>
                <w:rFonts w:ascii="Consolas" w:cs="Consolas" w:eastAsia="Consolas" w:hAnsi="Consolas"/>
                <w:b w:val="false"/>
                <w:bCs w:val="false"/>
                <w:sz w:val="19"/>
                <w:szCs w:val="19"/>
              </w:rPr>
              <w:t xml:space="preserve">Effects per documented pair</w:t>
            </w:r>
          </w:p>
        </w:tc>
        <w:tc>
          <w:tcPr>
            <w:tcW w:type="dxa" w:w="11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w:t>
            </w:r>
          </w:p>
        </w:tc>
        <w:tc>
          <w:tcPr>
            <w:tcW w:type="dxa" w:w="11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53</w:t>
            </w:r>
          </w:p>
        </w:tc>
        <w:tc>
          <w:tcPr>
            <w:tcW w:type="dxa" w:w="11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73.3</w:t>
            </w:r>
          </w:p>
        </w:tc>
        <w:tc>
          <w:tcPr>
            <w:tcW w:type="dxa" w:w="11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165</w:t>
            </w:r>
          </w:p>
        </w:tc>
        <w:tc>
          <w:tcPr>
            <w:tcW w:type="dxa" w:w="11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305</w:t>
            </w:r>
          </w:p>
        </w:tc>
        <w:tc>
          <w:tcPr>
            <w:tcW w:type="dxa" w:w="114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540</w:t>
            </w:r>
          </w:p>
        </w:tc>
      </w:tr>
      <w:tr>
        <w:tc>
          <w:tcPr>
            <w:tcW w:type="dxa" w:w="3300"/>
            <w:tcMar>
              <w:top w:type="dxa" w:w="60"/>
              <w:left w:type="dxa" w:w="100"/>
              <w:bottom w:type="dxa" w:w="60"/>
              <w:right w:type="dxa" w:w="100"/>
            </w:tcMar>
          </w:tcPr>
          <w:p>
            <w:r>
              <w:rPr>
                <w:rFonts w:ascii="Consolas" w:cs="Consolas" w:eastAsia="Consolas" w:hAnsi="Consolas"/>
                <w:b w:val="false"/>
                <w:bCs w:val="false"/>
                <w:sz w:val="19"/>
                <w:szCs w:val="19"/>
              </w:rPr>
              <w:t xml:space="preserve">Pairs documenting a given effect</w:t>
            </w:r>
          </w:p>
        </w:tc>
        <w:tc>
          <w:tcPr>
            <w:tcW w:type="dxa" w:w="11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w:t>
            </w:r>
          </w:p>
        </w:tc>
        <w:tc>
          <w:tcPr>
            <w:tcW w:type="dxa" w:w="11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1,596</w:t>
            </w:r>
          </w:p>
        </w:tc>
        <w:tc>
          <w:tcPr>
            <w:tcW w:type="dxa" w:w="11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3,530.3</w:t>
            </w:r>
          </w:p>
        </w:tc>
        <w:tc>
          <w:tcPr>
            <w:tcW w:type="dxa" w:w="11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9,530</w:t>
            </w:r>
          </w:p>
        </w:tc>
        <w:tc>
          <w:tcPr>
            <w:tcW w:type="dxa" w:w="11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21,396</w:t>
            </w:r>
          </w:p>
        </w:tc>
        <w:tc>
          <w:tcPr>
            <w:tcW w:type="dxa" w:w="114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28,568</w:t>
            </w:r>
          </w:p>
        </w:tc>
      </w:tr>
    </w:tbl>
    <w:p>
      <w:pPr>
        <w:spacing w:after="160" w:line="276"/>
      </w:pPr>
      <w:r>
        <w:rPr>
          <w:rFonts w:ascii="Times New Roman" w:cs="Times New Roman" w:eastAsia="Times New Roman" w:hAnsi="Times New Roman"/>
          <w:sz w:val="22"/>
          <w:szCs w:val="22"/>
        </w:rPr>
        <w:t xml:space="preserve"/>
      </w:r>
    </w:p>
    <w:p>
      <w:pPr>
        <w:spacing w:after="160" w:line="276"/>
      </w:pPr>
      <w:r>
        <w:rPr>
          <w:rFonts w:ascii="Times New Roman" w:cs="Times New Roman" w:eastAsia="Times New Roman" w:hAnsi="Times New Roman"/>
          <w:sz w:val="22"/>
          <w:szCs w:val="22"/>
        </w:rPr>
        <w:t xml:space="preserve">These characteristics also shape how the raw files are turned into a queryable graph at run time. Drug–target and protein–protein interaction edges are loaded once into in-memory adjacency maps (</w:t>
      </w:r>
      <w:r>
        <w:rPr>
          <w:rFonts w:ascii="Consolas" w:cs="Consolas" w:eastAsia="Consolas" w:hAnsi="Consolas"/>
          <w:b w:val="false"/>
          <w:bCs w:val="false"/>
          <w:i w:val="false"/>
          <w:iCs w:val="false"/>
          <w:sz w:val="20"/>
          <w:szCs w:val="20"/>
        </w:rPr>
        <w:t xml:space="preserve">dict[str, set[str]]</w:t>
      </w:r>
      <w:r>
        <w:rPr>
          <w:rFonts w:ascii="Times New Roman" w:cs="Times New Roman" w:eastAsia="Times New Roman" w:hAnsi="Times New Roman"/>
          <w:sz w:val="22"/>
          <w:szCs w:val="22"/>
        </w:rPr>
        <w:t xml:space="preserve">), giving O(1) neighbour look-ups during retrieval. The combination file, at 4,649,441 rows, is not re-parsed on every run: it is materialised once into a local SQLite cache (</w:t>
      </w:r>
      <w:r>
        <w:rPr>
          <w:rFonts w:ascii="Consolas" w:cs="Consolas" w:eastAsia="Consolas" w:hAnsi="Consolas"/>
          <w:b w:val="false"/>
          <w:bCs w:val="false"/>
          <w:i w:val="false"/>
          <w:iCs w:val="false"/>
          <w:sz w:val="20"/>
          <w:szCs w:val="20"/>
        </w:rPr>
        <w:t xml:space="preserve">side_effects(drug_a, drug_b, effect_code, effect_name)</w:t>
      </w:r>
      <w:r>
        <w:rPr>
          <w:rFonts w:ascii="Times New Roman" w:cs="Times New Roman" w:eastAsia="Times New Roman" w:hAnsi="Times New Roman"/>
          <w:sz w:val="22"/>
          <w:szCs w:val="22"/>
        </w:rPr>
        <w:t xml:space="preserve">, stored </w:t>
      </w:r>
      <w:r>
        <w:rPr>
          <w:rFonts w:ascii="Consolas" w:cs="Consolas" w:eastAsia="Consolas" w:hAnsi="Consolas"/>
          <w:b w:val="false"/>
          <w:bCs w:val="false"/>
          <w:i w:val="false"/>
          <w:iCs w:val="false"/>
          <w:sz w:val="20"/>
          <w:szCs w:val="20"/>
        </w:rPr>
        <w:t xml:space="preserve">WITHOUT ROWID</w:t>
      </w:r>
      <w:r>
        <w:rPr>
          <w:rFonts w:ascii="Times New Roman" w:cs="Times New Roman" w:eastAsia="Times New Roman" w:hAnsi="Times New Roman"/>
          <w:sz w:val="22"/>
          <w:szCs w:val="22"/>
        </w:rPr>
        <w:t xml:space="preserve"> with a composite primary key, plus an index on </w:t>
      </w:r>
      <w:r>
        <w:rPr>
          <w:rFonts w:ascii="Consolas" w:cs="Consolas" w:eastAsia="Consolas" w:hAnsi="Consolas"/>
          <w:b w:val="false"/>
          <w:bCs w:val="false"/>
          <w:i w:val="false"/>
          <w:iCs w:val="false"/>
          <w:sz w:val="20"/>
          <w:szCs w:val="20"/>
        </w:rPr>
        <w:t xml:space="preserve">drug_b</w:t>
      </w:r>
      <w:r>
        <w:rPr>
          <w:rFonts w:ascii="Times New Roman" w:cs="Times New Roman" w:eastAsia="Times New Roman" w:hAnsi="Times New Roman"/>
          <w:sz w:val="22"/>
          <w:szCs w:val="22"/>
        </w:rPr>
        <w:t xml:space="preserve"> for symmetric pair look-ups), together with two derived tables used directly by the ranking formula of Section 4.1.3: </w:t>
      </w:r>
      <w:r>
        <w:rPr>
          <w:rFonts w:ascii="Consolas" w:cs="Consolas" w:eastAsia="Consolas" w:hAnsi="Consolas"/>
          <w:b w:val="false"/>
          <w:bCs w:val="false"/>
          <w:i w:val="false"/>
          <w:iCs w:val="false"/>
          <w:sz w:val="20"/>
          <w:szCs w:val="20"/>
        </w:rPr>
        <w:t xml:space="preserve">effect_counts</w:t>
      </w:r>
      <w:r>
        <w:rPr>
          <w:rFonts w:ascii="Times New Roman" w:cs="Times New Roman" w:eastAsia="Times New Roman" w:hAnsi="Times New Roman"/>
          <w:sz w:val="22"/>
          <w:szCs w:val="22"/>
        </w:rPr>
        <w:t xml:space="preserve"> (n_e, the number of pairs documenting each effect) and </w:t>
      </w:r>
      <w:r>
        <w:rPr>
          <w:rFonts w:ascii="Consolas" w:cs="Consolas" w:eastAsia="Consolas" w:hAnsi="Consolas"/>
          <w:b w:val="false"/>
          <w:bCs w:val="false"/>
          <w:i w:val="false"/>
          <w:iCs w:val="false"/>
          <w:sz w:val="20"/>
          <w:szCs w:val="20"/>
        </w:rPr>
        <w:t xml:space="preserve">stats</w:t>
      </w:r>
      <w:r>
        <w:rPr>
          <w:rFonts w:ascii="Times New Roman" w:cs="Times New Roman" w:eastAsia="Times New Roman" w:hAnsi="Times New Roman"/>
          <w:sz w:val="22"/>
          <w:szCs w:val="22"/>
        </w:rPr>
        <w:t xml:space="preserve"> (N, the total number of distinct documented pairs). A SHA-256 signature of each source file's size and modification time, together with a cache-schema version, is stored in a </w:t>
      </w:r>
      <w:r>
        <w:rPr>
          <w:rFonts w:ascii="Consolas" w:cs="Consolas" w:eastAsia="Consolas" w:hAnsi="Consolas"/>
          <w:b w:val="false"/>
          <w:bCs w:val="false"/>
          <w:i w:val="false"/>
          <w:iCs w:val="false"/>
          <w:sz w:val="20"/>
          <w:szCs w:val="20"/>
        </w:rPr>
        <w:t xml:space="preserve">metadata</w:t>
      </w:r>
      <w:r>
        <w:rPr>
          <w:rFonts w:ascii="Times New Roman" w:cs="Times New Roman" w:eastAsia="Times New Roman" w:hAnsi="Times New Roman"/>
          <w:sz w:val="22"/>
          <w:szCs w:val="22"/>
        </w:rPr>
        <w:t xml:space="preserve"> table; the cache is rebuilt automatically only when a source file or the schema changes, which keeps repeated start-ups fast and avoids re-reading millions of rows on every process launch.</w:t>
      </w:r>
    </w:p>
    <w:p>
      <w:pPr>
        <w:spacing w:after="160" w:line="276"/>
      </w:pPr>
      <w:r>
        <w:rPr>
          <w:rFonts w:ascii="Times New Roman" w:cs="Times New Roman" w:eastAsia="Times New Roman" w:hAnsi="Times New Roman"/>
          <w:sz w:val="22"/>
          <w:szCs w:val="22"/>
        </w:rPr>
        <w:t xml:space="preserve">A free-text drug name typed by a user – including Vietnamese brand names, typos, or several drugs written in one sentence – is resolved to a Decagon STITCH identifier by a dedicated resolver. Resolution is attempted, in order, against (i) a STITCH-ID pattern, (ii) an exact match on normalised generic names, synonyms, or Vietnamese brand aliases, and (iii) fuzzy string matching (RapidFuzz</w:t>
      </w:r>
      <w:r>
        <w:rPr>
          <w:rFonts w:ascii="Times New Roman" w:cs="Times New Roman" w:eastAsia="Times New Roman" w:hAnsi="Times New Roman"/>
          <w:b w:val="false"/>
          <w:bCs w:val="false"/>
          <w:i w:val="false"/>
          <w:iCs w:val="false"/>
          <w:sz w:val="22"/>
          <w:szCs w:val="22"/>
          <w:vertAlign w:val="superscript"/>
        </w:rPr>
        <w:t xml:space="preserve">2</w:t>
      </w:r>
      <w:r>
        <w:rPr>
          <w:rFonts w:ascii="Times New Roman" w:cs="Times New Roman" w:eastAsia="Times New Roman" w:hAnsi="Times New Roman"/>
          <w:sz w:val="22"/>
          <w:szCs w:val="22"/>
        </w:rPr>
        <w:t xml:space="preserve">, indel ratio), accepted automatically above a score of 90 and otherwise offered only as a suggestion above 75. A curated stop-word list removes conversational filler (dosage, timing, and symptom words, in both Vietnamese and English) before matching, so that a message such as “em đang uống panadol với ibuprofen” resolves to the two intended drugs rather than being treated as one unmatched phrase. Name resolution and prompt serialisation draw on five supporting resource tables, built offline by the </w:t>
      </w:r>
      <w:r>
        <w:rPr>
          <w:rFonts w:ascii="Consolas" w:cs="Consolas" w:eastAsia="Consolas" w:hAnsi="Consolas"/>
          <w:b w:val="false"/>
          <w:bCs w:val="false"/>
          <w:i w:val="false"/>
          <w:iCs w:val="false"/>
          <w:sz w:val="20"/>
          <w:szCs w:val="20"/>
        </w:rPr>
        <w:t xml:space="preserve">scripts/</w:t>
      </w:r>
      <w:r>
        <w:rPr>
          <w:rFonts w:ascii="Times New Roman" w:cs="Times New Roman" w:eastAsia="Times New Roman" w:hAnsi="Times New Roman"/>
          <w:sz w:val="22"/>
          <w:szCs w:val="22"/>
        </w:rPr>
        <w:t xml:space="preserve"> utilities: canonical generic names per STITCH ID, Vietnamese brand aliases, gene symbols, Vietnamese translations of effect names, and two curated lists marking EMA Important Medical Events and life-threatening effects.</w:t>
      </w:r>
    </w:p>
    <w:p>
      <w:pPr>
        <w:pStyle w:val="Heading3"/>
        <w:spacing w:after="160" w:before="280"/>
      </w:pPr>
      <w:r>
        <w:rPr>
          <w:rFonts w:ascii="Times New Roman" w:cs="Times New Roman" w:eastAsia="Times New Roman" w:hAnsi="Times New Roman"/>
          <w:b/>
          <w:bCs/>
        </w:rPr>
        <w:t xml:space="preserve">4.1.2  Software Architecture</w:t>
      </w:r>
    </w:p>
    <w:p>
      <w:pPr>
        <w:spacing w:after="160" w:line="276"/>
      </w:pPr>
      <w:r>
        <w:rPr>
          <w:rFonts w:ascii="Times New Roman" w:cs="Times New Roman" w:eastAsia="Times New Roman" w:hAnsi="Times New Roman"/>
          <w:sz w:val="22"/>
          <w:szCs w:val="22"/>
        </w:rPr>
        <w:t xml:space="preserve">The system is implemented in Python. Table 4.4 summarises the responsibility of each module under </w:t>
      </w:r>
      <w:r>
        <w:rPr>
          <w:rFonts w:ascii="Consolas" w:cs="Consolas" w:eastAsia="Consolas" w:hAnsi="Consolas"/>
          <w:b w:val="false"/>
          <w:bCs w:val="false"/>
          <w:i w:val="false"/>
          <w:iCs w:val="false"/>
          <w:sz w:val="20"/>
          <w:szCs w:val="20"/>
        </w:rPr>
        <w:t xml:space="preserve">graphrag/</w:t>
      </w:r>
      <w:r>
        <w:rPr>
          <w:rFonts w:ascii="Times New Roman" w:cs="Times New Roman" w:eastAsia="Times New Roman" w:hAnsi="Times New Roman"/>
          <w:sz w:val="22"/>
          <w:szCs w:val="22"/>
        </w:rPr>
        <w:t xml:space="preserve">; </w:t>
      </w:r>
      <w:r>
        <w:rPr>
          <w:rFonts w:ascii="Consolas" w:cs="Consolas" w:eastAsia="Consolas" w:hAnsi="Consolas"/>
          <w:b w:val="false"/>
          <w:bCs w:val="false"/>
          <w:i w:val="false"/>
          <w:iCs w:val="false"/>
          <w:sz w:val="20"/>
          <w:szCs w:val="20"/>
        </w:rPr>
        <w:t xml:space="preserve">app.py</w:t>
      </w:r>
      <w:r>
        <w:rPr>
          <w:rFonts w:ascii="Times New Roman" w:cs="Times New Roman" w:eastAsia="Times New Roman" w:hAnsi="Times New Roman"/>
          <w:sz w:val="22"/>
          <w:szCs w:val="22"/>
        </w:rPr>
        <w:t xml:space="preserve"> is a Streamlit</w:t>
      </w:r>
      <w:r>
        <w:rPr>
          <w:rFonts w:ascii="Times New Roman" w:cs="Times New Roman" w:eastAsia="Times New Roman" w:hAnsi="Times New Roman"/>
          <w:b w:val="false"/>
          <w:bCs w:val="false"/>
          <w:i w:val="false"/>
          <w:iCs w:val="false"/>
          <w:sz w:val="22"/>
          <w:szCs w:val="22"/>
          <w:vertAlign w:val="superscript"/>
        </w:rPr>
        <w:t xml:space="preserve">3</w:t>
      </w:r>
      <w:r>
        <w:rPr>
          <w:rFonts w:ascii="Times New Roman" w:cs="Times New Roman" w:eastAsia="Times New Roman" w:hAnsi="Times New Roman"/>
          <w:sz w:val="22"/>
          <w:szCs w:val="22"/>
        </w:rPr>
        <w:t xml:space="preserve"> front-end that calls the single orchestration entry point, </w:t>
      </w:r>
      <w:r>
        <w:rPr>
          <w:rFonts w:ascii="Consolas" w:cs="Consolas" w:eastAsia="Consolas" w:hAnsi="Consolas"/>
          <w:b w:val="false"/>
          <w:bCs w:val="false"/>
          <w:i w:val="false"/>
          <w:iCs w:val="false"/>
          <w:sz w:val="20"/>
          <w:szCs w:val="20"/>
        </w:rPr>
        <w:t xml:space="preserve">PolypharmacySystem.predict()</w:t>
      </w:r>
      <w:r>
        <w:rPr>
          <w:rFonts w:ascii="Times New Roman" w:cs="Times New Roman" w:eastAsia="Times New Roman" w:hAnsi="Times New Roman"/>
          <w:sz w:val="22"/>
          <w:szCs w:val="22"/>
        </w:rPr>
        <w:t xml:space="preserve">. Configuration – file paths, the LLM endpoint and model, and the retrieval and ranking parameters of Table 4.5 – is read from environment variables through a </w:t>
      </w:r>
      <w:r>
        <w:rPr>
          <w:rFonts w:ascii="Consolas" w:cs="Consolas" w:eastAsia="Consolas" w:hAnsi="Consolas"/>
          <w:b w:val="false"/>
          <w:bCs w:val="false"/>
          <w:i w:val="false"/>
          <w:iCs w:val="false"/>
          <w:sz w:val="20"/>
          <w:szCs w:val="20"/>
        </w:rPr>
        <w:t xml:space="preserve">.env</w:t>
      </w:r>
      <w:r>
        <w:rPr>
          <w:rFonts w:ascii="Times New Roman" w:cs="Times New Roman" w:eastAsia="Times New Roman" w:hAnsi="Times New Roman"/>
          <w:sz w:val="22"/>
          <w:szCs w:val="22"/>
        </w:rPr>
        <w:t xml:space="preserve"> file, so the retrieval bounds and the model used for generation can be changed without editing code. External dependencies are kept deliberately small: </w:t>
      </w:r>
      <w:r>
        <w:rPr>
          <w:rFonts w:ascii="Consolas" w:cs="Consolas" w:eastAsia="Consolas" w:hAnsi="Consolas"/>
          <w:b w:val="false"/>
          <w:bCs w:val="false"/>
          <w:i w:val="false"/>
          <w:iCs w:val="false"/>
          <w:sz w:val="20"/>
          <w:szCs w:val="20"/>
        </w:rPr>
        <w:t xml:space="preserve">httpx</w:t>
      </w:r>
      <w:r>
        <w:rPr>
          <w:rFonts w:ascii="Times New Roman" w:cs="Times New Roman" w:eastAsia="Times New Roman" w:hAnsi="Times New Roman"/>
          <w:sz w:val="22"/>
          <w:szCs w:val="22"/>
        </w:rPr>
        <w:t xml:space="preserve"> for the synchronous HTTP call to the LLM provider, </w:t>
      </w:r>
      <w:r>
        <w:rPr>
          <w:rFonts w:ascii="Consolas" w:cs="Consolas" w:eastAsia="Consolas" w:hAnsi="Consolas"/>
          <w:b w:val="false"/>
          <w:bCs w:val="false"/>
          <w:i w:val="false"/>
          <w:iCs w:val="false"/>
          <w:sz w:val="20"/>
          <w:szCs w:val="20"/>
        </w:rPr>
        <w:t xml:space="preserve">pydantic</w:t>
      </w:r>
      <w:r>
        <w:rPr>
          <w:rFonts w:ascii="Times New Roman" w:cs="Times New Roman" w:eastAsia="Times New Roman" w:hAnsi="Times New Roman"/>
          <w:sz w:val="22"/>
          <w:szCs w:val="22"/>
        </w:rPr>
        <w:t xml:space="preserve"> for schema validation of the LLM's output, </w:t>
      </w:r>
      <w:r>
        <w:rPr>
          <w:rFonts w:ascii="Consolas" w:cs="Consolas" w:eastAsia="Consolas" w:hAnsi="Consolas"/>
          <w:b w:val="false"/>
          <w:bCs w:val="false"/>
          <w:i w:val="false"/>
          <w:iCs w:val="false"/>
          <w:sz w:val="20"/>
          <w:szCs w:val="20"/>
        </w:rPr>
        <w:t xml:space="preserve">rapidfuzz</w:t>
      </w:r>
      <w:r>
        <w:rPr>
          <w:rFonts w:ascii="Times New Roman" w:cs="Times New Roman" w:eastAsia="Times New Roman" w:hAnsi="Times New Roman"/>
          <w:sz w:val="22"/>
          <w:szCs w:val="22"/>
        </w:rPr>
        <w:t xml:space="preserve"> for name resolution, and </w:t>
      </w:r>
      <w:r>
        <w:rPr>
          <w:rFonts w:ascii="Consolas" w:cs="Consolas" w:eastAsia="Consolas" w:hAnsi="Consolas"/>
          <w:b w:val="false"/>
          <w:bCs w:val="false"/>
          <w:i w:val="false"/>
          <w:iCs w:val="false"/>
          <w:sz w:val="20"/>
          <w:szCs w:val="20"/>
        </w:rPr>
        <w:t xml:space="preserve">pyvis</w:t>
      </w:r>
      <w:r>
        <w:rPr>
          <w:rFonts w:ascii="Times New Roman" w:cs="Times New Roman" w:eastAsia="Times New Roman" w:hAnsi="Times New Roman"/>
          <w:sz w:val="22"/>
          <w:szCs w:val="22"/>
        </w:rPr>
        <w:t xml:space="preserve"> for rendering the interaction graph in the user interface.</w:t>
      </w:r>
    </w:p>
    <w:p>
      <w:pPr>
        <w:spacing w:after="80" w:before="200"/>
      </w:pPr>
      <w:r>
        <w:rPr>
          <w:rFonts w:ascii="Times New Roman" w:cs="Times New Roman" w:eastAsia="Times New Roman" w:hAnsi="Times New Roman"/>
          <w:b/>
          <w:bCs/>
          <w:sz w:val="20"/>
          <w:szCs w:val="20"/>
        </w:rPr>
        <w:t xml:space="preserve">Table 4.4: </w:t>
      </w:r>
      <w:r>
        <w:rPr>
          <w:rFonts w:ascii="Times New Roman" w:cs="Times New Roman" w:eastAsia="Times New Roman" w:hAnsi="Times New Roman"/>
          <w:b/>
          <w:bCs/>
          <w:sz w:val="20"/>
          <w:szCs w:val="20"/>
        </w:rPr>
        <w:t xml:space="preserve">Module responsibilities</w:t>
      </w:r>
    </w:p>
    <w:tbl>
      <w:tblPr>
        <w:tblW w:type="dxa" w:w="9740"/>
        <w:tblBorders>
          <w:top w:val="single" w:color="000000" w:sz="4"/>
          <w:left w:val="none" w:color="FFFFFF" w:sz="0"/>
          <w:bottom w:val="single" w:color="000000" w:sz="4"/>
          <w:right w:val="none" w:color="FFFFFF" w:sz="0"/>
          <w:insideH w:val="single" w:color="999999" w:sz="2"/>
          <w:insideV w:val="none" w:color="FFFFFF" w:sz="0"/>
        </w:tblBorders>
      </w:tblPr>
      <w:tblGrid>
        <w:gridCol w:w="2600"/>
        <w:gridCol w:w="7140"/>
      </w:tblGrid>
      <w:tr>
        <w:tc>
          <w:tcPr>
            <w:tcW w:type="dxa" w:w="2600"/>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Module</w:t>
            </w:r>
          </w:p>
        </w:tc>
        <w:tc>
          <w:tcPr>
            <w:tcW w:type="dxa" w:w="7140"/>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Responsibility</w:t>
            </w:r>
          </w:p>
        </w:tc>
      </w:tr>
      <w:tr>
        <w:tc>
          <w:tcPr>
            <w:tcW w:type="dxa" w:w="2600"/>
            <w:tcMar>
              <w:top w:type="dxa" w:w="60"/>
              <w:left w:type="dxa" w:w="100"/>
              <w:bottom w:type="dxa" w:w="60"/>
              <w:right w:type="dxa" w:w="100"/>
            </w:tcMar>
          </w:tcPr>
          <w:p>
            <w:r>
              <w:rPr>
                <w:rFonts w:ascii="Consolas" w:cs="Consolas" w:eastAsia="Consolas" w:hAnsi="Consolas"/>
                <w:b w:val="false"/>
                <w:bCs w:val="false"/>
                <w:sz w:val="19"/>
                <w:szCs w:val="19"/>
              </w:rPr>
              <w:t xml:space="preserve">config.py</w:t>
            </w:r>
          </w:p>
        </w:tc>
        <w:tc>
          <w:tcPr>
            <w:tcW w:type="dxa" w:w="714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Environment-driven settings, ranking weights</w:t>
            </w:r>
          </w:p>
        </w:tc>
      </w:tr>
      <w:tr>
        <w:tc>
          <w:tcPr>
            <w:tcW w:type="dxa" w:w="2600"/>
            <w:tcMar>
              <w:top w:type="dxa" w:w="60"/>
              <w:left w:type="dxa" w:w="100"/>
              <w:bottom w:type="dxa" w:w="60"/>
              <w:right w:type="dxa" w:w="100"/>
            </w:tcMar>
          </w:tcPr>
          <w:p>
            <w:r>
              <w:rPr>
                <w:rFonts w:ascii="Consolas" w:cs="Consolas" w:eastAsia="Consolas" w:hAnsi="Consolas"/>
                <w:b w:val="false"/>
                <w:bCs w:val="false"/>
                <w:sz w:val="19"/>
                <w:szCs w:val="19"/>
              </w:rPr>
              <w:t xml:space="preserve">dataset.py</w:t>
            </w:r>
          </w:p>
        </w:tc>
        <w:tc>
          <w:tcPr>
            <w:tcW w:type="dxa" w:w="714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Graph loading, SQLite cache, subgraph retrieval</w:t>
            </w:r>
          </w:p>
        </w:tc>
      </w:tr>
      <w:tr>
        <w:tc>
          <w:tcPr>
            <w:tcW w:type="dxa" w:w="2600"/>
            <w:tcMar>
              <w:top w:type="dxa" w:w="60"/>
              <w:left w:type="dxa" w:w="100"/>
              <w:bottom w:type="dxa" w:w="60"/>
              <w:right w:type="dxa" w:w="100"/>
            </w:tcMar>
          </w:tcPr>
          <w:p>
            <w:r>
              <w:rPr>
                <w:rFonts w:ascii="Consolas" w:cs="Consolas" w:eastAsia="Consolas" w:hAnsi="Consolas"/>
                <w:b w:val="false"/>
                <w:bCs w:val="false"/>
                <w:sz w:val="19"/>
                <w:szCs w:val="19"/>
              </w:rPr>
              <w:t xml:space="preserve">names.py / resolver.py</w:t>
            </w:r>
          </w:p>
        </w:tc>
        <w:tc>
          <w:tcPr>
            <w:tcW w:type="dxa" w:w="714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Name normalisation and drug-name resolution</w:t>
            </w:r>
          </w:p>
        </w:tc>
      </w:tr>
      <w:tr>
        <w:tc>
          <w:tcPr>
            <w:tcW w:type="dxa" w:w="2600"/>
            <w:tcMar>
              <w:top w:type="dxa" w:w="60"/>
              <w:left w:type="dxa" w:w="100"/>
              <w:bottom w:type="dxa" w:w="60"/>
              <w:right w:type="dxa" w:w="100"/>
            </w:tcMar>
          </w:tcPr>
          <w:p>
            <w:r>
              <w:rPr>
                <w:rFonts w:ascii="Consolas" w:cs="Consolas" w:eastAsia="Consolas" w:hAnsi="Consolas"/>
                <w:b w:val="false"/>
                <w:bCs w:val="false"/>
                <w:sz w:val="19"/>
                <w:szCs w:val="19"/>
              </w:rPr>
              <w:t xml:space="preserve">ranking.py</w:t>
            </w:r>
          </w:p>
        </w:tc>
        <w:tc>
          <w:tcPr>
            <w:tcW w:type="dxa" w:w="714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Regimen-level effect scoring (Sec. 4.1.3)</w:t>
            </w:r>
          </w:p>
        </w:tc>
      </w:tr>
      <w:tr>
        <w:tc>
          <w:tcPr>
            <w:tcW w:type="dxa" w:w="2600"/>
            <w:tcMar>
              <w:top w:type="dxa" w:w="60"/>
              <w:left w:type="dxa" w:w="100"/>
              <w:bottom w:type="dxa" w:w="60"/>
              <w:right w:type="dxa" w:w="100"/>
            </w:tcMar>
          </w:tcPr>
          <w:p>
            <w:r>
              <w:rPr>
                <w:rFonts w:ascii="Consolas" w:cs="Consolas" w:eastAsia="Consolas" w:hAnsi="Consolas"/>
                <w:b w:val="false"/>
                <w:bCs w:val="false"/>
                <w:sz w:val="19"/>
                <w:szCs w:val="19"/>
              </w:rPr>
              <w:t xml:space="preserve">llm.py</w:t>
            </w:r>
          </w:p>
        </w:tc>
        <w:tc>
          <w:tcPr>
            <w:tcW w:type="dxa" w:w="714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Prompt construction, API call, schema validation</w:t>
            </w:r>
          </w:p>
        </w:tc>
      </w:tr>
      <w:tr>
        <w:tc>
          <w:tcPr>
            <w:tcW w:type="dxa" w:w="2600"/>
            <w:tcMar>
              <w:top w:type="dxa" w:w="60"/>
              <w:left w:type="dxa" w:w="100"/>
              <w:bottom w:type="dxa" w:w="60"/>
              <w:right w:type="dxa" w:w="100"/>
            </w:tcMar>
          </w:tcPr>
          <w:p>
            <w:r>
              <w:rPr>
                <w:rFonts w:ascii="Consolas" w:cs="Consolas" w:eastAsia="Consolas" w:hAnsi="Consolas"/>
                <w:b w:val="false"/>
                <w:bCs w:val="false"/>
                <w:sz w:val="19"/>
                <w:szCs w:val="19"/>
              </w:rPr>
              <w:t xml:space="preserve">presenter.py</w:t>
            </w:r>
          </w:p>
        </w:tc>
        <w:tc>
          <w:tcPr>
            <w:tcW w:type="dxa" w:w="714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Assembling evidence into UI-ready structures</w:t>
            </w:r>
          </w:p>
        </w:tc>
      </w:tr>
      <w:tr>
        <w:tc>
          <w:tcPr>
            <w:tcW w:type="dxa" w:w="2600"/>
            <w:tcMar>
              <w:top w:type="dxa" w:w="60"/>
              <w:left w:type="dxa" w:w="100"/>
              <w:bottom w:type="dxa" w:w="60"/>
              <w:right w:type="dxa" w:w="100"/>
            </w:tcMar>
          </w:tcPr>
          <w:p>
            <w:r>
              <w:rPr>
                <w:rFonts w:ascii="Consolas" w:cs="Consolas" w:eastAsia="Consolas" w:hAnsi="Consolas"/>
                <w:b w:val="false"/>
                <w:bCs w:val="false"/>
                <w:sz w:val="19"/>
                <w:szCs w:val="19"/>
              </w:rPr>
              <w:t xml:space="preserve">pipeline.py</w:t>
            </w:r>
          </w:p>
        </w:tc>
        <w:tc>
          <w:tcPr>
            <w:tcW w:type="dxa" w:w="714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PolypharmacySystem: end-to-end orchestration</w:t>
            </w:r>
          </w:p>
        </w:tc>
      </w:tr>
      <w:tr>
        <w:tc>
          <w:tcPr>
            <w:tcW w:type="dxa" w:w="2600"/>
            <w:tcMar>
              <w:top w:type="dxa" w:w="60"/>
              <w:left w:type="dxa" w:w="100"/>
              <w:bottom w:type="dxa" w:w="60"/>
              <w:right w:type="dxa" w:w="100"/>
            </w:tcMar>
          </w:tcPr>
          <w:p>
            <w:r>
              <w:rPr>
                <w:rFonts w:ascii="Consolas" w:cs="Consolas" w:eastAsia="Consolas" w:hAnsi="Consolas"/>
                <w:b w:val="false"/>
                <w:bCs w:val="false"/>
                <w:sz w:val="19"/>
                <w:szCs w:val="19"/>
              </w:rPr>
              <w:t xml:space="preserve">visualize.py</w:t>
            </w:r>
          </w:p>
        </w:tc>
        <w:tc>
          <w:tcPr>
            <w:tcW w:type="dxa" w:w="714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Interaction-graph rendering (PyVis)</w:t>
            </w:r>
          </w:p>
        </w:tc>
      </w:tr>
    </w:tbl>
    <w:p>
      <w:pPr>
        <w:spacing w:after="160" w:line="276"/>
      </w:pPr>
      <w:r>
        <w:rPr>
          <w:rFonts w:ascii="Times New Roman" w:cs="Times New Roman" w:eastAsia="Times New Roman" w:hAnsi="Times New Roman"/>
          <w:sz w:val="22"/>
          <w:szCs w:val="22"/>
        </w:rPr>
        <w:t xml:space="preserve"/>
      </w:r>
    </w:p>
    <w:p>
      <w:pPr>
        <w:pStyle w:val="Heading3"/>
        <w:spacing w:after="160" w:before="280"/>
      </w:pPr>
      <w:r>
        <w:rPr>
          <w:rFonts w:ascii="Times New Roman" w:cs="Times New Roman" w:eastAsia="Times New Roman" w:hAnsi="Times New Roman"/>
          <w:b/>
          <w:bCs/>
        </w:rPr>
        <w:t xml:space="preserve">4.1.3  Subgraph Retrieval, Pruning, and Ranking</w:t>
      </w:r>
    </w:p>
    <w:p>
      <w:pPr>
        <w:spacing w:after="160" w:line="276"/>
      </w:pPr>
      <w:r>
        <w:rPr>
          <w:rFonts w:ascii="Times New Roman" w:cs="Times New Roman" w:eastAsia="Times New Roman" w:hAnsi="Times New Roman"/>
          <w:sz w:val="22"/>
          <w:szCs w:val="22"/>
        </w:rPr>
        <w:t xml:space="preserve">Retrieval follows the six steps of Table 3.1, subject to the bounds in Table 4.5. A protein is pruned as a generic hub, and excluded from any bridge, once its number of PPI neighbours exceeds </w:t>
      </w:r>
      <w:r>
        <w:rPr>
          <w:rFonts w:ascii="Consolas" w:cs="Consolas" w:eastAsia="Consolas" w:hAnsi="Consolas"/>
          <w:b w:val="false"/>
          <w:bCs w:val="false"/>
          <w:i w:val="false"/>
          <w:iCs w:val="false"/>
          <w:sz w:val="20"/>
          <w:szCs w:val="20"/>
        </w:rPr>
        <w:t xml:space="preserve">hub_degree_threshold</w:t>
      </w:r>
      <w:r>
        <w:rPr>
          <w:rFonts w:ascii="Times New Roman" w:cs="Times New Roman" w:eastAsia="Times New Roman" w:hAnsi="Times New Roman"/>
          <w:sz w:val="22"/>
          <w:szCs w:val="22"/>
        </w:rPr>
        <w:t xml:space="preserve">; a direct target of a queried drug is always retained regardless of degree. Tier-3 bridge search is bounded per drug pair (</w:t>
      </w:r>
      <w:r>
        <w:rPr>
          <w:rFonts w:ascii="Consolas" w:cs="Consolas" w:eastAsia="Consolas" w:hAnsi="Consolas"/>
          <w:b w:val="false"/>
          <w:bCs w:val="false"/>
          <w:i w:val="false"/>
          <w:iCs w:val="false"/>
          <w:sz w:val="20"/>
          <w:szCs w:val="20"/>
        </w:rPr>
        <w:t xml:space="preserve">tier3_one_hop_per_pair</w:t>
      </w:r>
      <w:r>
        <w:rPr>
          <w:rFonts w:ascii="Times New Roman" w:cs="Times New Roman" w:eastAsia="Times New Roman" w:hAnsi="Times New Roman"/>
          <w:sz w:val="22"/>
          <w:szCs w:val="22"/>
        </w:rPr>
        <w:t xml:space="preserve">, </w:t>
      </w:r>
      <w:r>
        <w:rPr>
          <w:rFonts w:ascii="Consolas" w:cs="Consolas" w:eastAsia="Consolas" w:hAnsi="Consolas"/>
          <w:b w:val="false"/>
          <w:bCs w:val="false"/>
          <w:i w:val="false"/>
          <w:iCs w:val="false"/>
          <w:sz w:val="20"/>
          <w:szCs w:val="20"/>
        </w:rPr>
        <w:t xml:space="preserve">tier3_two_hop_per_pair</w:t>
      </w:r>
      <w:r>
        <w:rPr>
          <w:rFonts w:ascii="Times New Roman" w:cs="Times New Roman" w:eastAsia="Times New Roman" w:hAnsi="Times New Roman"/>
          <w:sz w:val="22"/>
          <w:szCs w:val="22"/>
        </w:rPr>
        <w:t xml:space="preserve">) and stops as soon as both caps are full and one further candidate has confirmed that more bridges exist, so the search is deterministic and never silently under-reports truncation. The total evidence serialised to the LLM is capped at </w:t>
      </w:r>
      <w:r>
        <w:rPr>
          <w:rFonts w:ascii="Consolas" w:cs="Consolas" w:eastAsia="Consolas" w:hAnsi="Consolas"/>
          <w:b w:val="false"/>
          <w:bCs w:val="false"/>
          <w:i w:val="false"/>
          <w:iCs w:val="false"/>
          <w:sz w:val="20"/>
          <w:szCs w:val="20"/>
        </w:rPr>
        <w:t xml:space="preserve">max_evidence</w:t>
      </w:r>
      <w:r>
        <w:rPr>
          <w:rFonts w:ascii="Times New Roman" w:cs="Times New Roman" w:eastAsia="Times New Roman" w:hAnsi="Times New Roman"/>
          <w:sz w:val="22"/>
          <w:szCs w:val="22"/>
        </w:rPr>
        <w:t xml:space="preserve"> and allocated across drug pairs by round-robin selection, so that a single high-degree pair cannot consume the whole budget. Documented evidence is built only for the effects that will be shown, and Tier 2 and Tier 3 each have a reserved quarter of the budget, so Tier 1 cannot starve them; unused slots go to the other tiers.</w:t>
      </w:r>
    </w:p>
    <w:p>
      <w:pPr>
        <w:spacing w:after="80" w:before="200"/>
      </w:pPr>
      <w:r>
        <w:rPr>
          <w:rFonts w:ascii="Times New Roman" w:cs="Times New Roman" w:eastAsia="Times New Roman" w:hAnsi="Times New Roman"/>
          <w:b/>
          <w:bCs/>
          <w:sz w:val="20"/>
          <w:szCs w:val="20"/>
        </w:rPr>
        <w:t xml:space="preserve">Table 4.5: </w:t>
      </w:r>
      <w:r>
        <w:rPr>
          <w:rFonts w:ascii="Times New Roman" w:cs="Times New Roman" w:eastAsia="Times New Roman" w:hAnsi="Times New Roman"/>
          <w:b/>
          <w:bCs/>
          <w:sz w:val="20"/>
          <w:szCs w:val="20"/>
        </w:rPr>
        <w:t xml:space="preserve">Retrieval and pruning bounds (default values)</w:t>
      </w:r>
    </w:p>
    <w:tbl>
      <w:tblPr>
        <w:tblW w:type="dxa" w:w="9740"/>
        <w:tblBorders>
          <w:top w:val="single" w:color="000000" w:sz="4"/>
          <w:left w:val="none" w:color="FFFFFF" w:sz="0"/>
          <w:bottom w:val="single" w:color="000000" w:sz="4"/>
          <w:right w:val="none" w:color="FFFFFF" w:sz="0"/>
          <w:insideH w:val="single" w:color="999999" w:sz="2"/>
          <w:insideV w:val="none" w:color="FFFFFF" w:sz="0"/>
        </w:tblBorders>
      </w:tblPr>
      <w:tblGrid>
        <w:gridCol w:w="2800"/>
        <w:gridCol w:w="1200"/>
        <w:gridCol w:w="5740"/>
      </w:tblGrid>
      <w:tr>
        <w:tc>
          <w:tcPr>
            <w:tcW w:type="dxa" w:w="2800"/>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Parameter</w:t>
            </w:r>
          </w:p>
        </w:tc>
        <w:tc>
          <w:tcPr>
            <w:tcW w:type="dxa" w:w="1200"/>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Default</w:t>
            </w:r>
          </w:p>
        </w:tc>
        <w:tc>
          <w:tcPr>
            <w:tcW w:type="dxa" w:w="5740"/>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Role</w:t>
            </w:r>
          </w:p>
        </w:tc>
      </w:tr>
      <w:tr>
        <w:tc>
          <w:tcPr>
            <w:tcW w:type="dxa" w:w="2800"/>
            <w:tcMar>
              <w:top w:type="dxa" w:w="60"/>
              <w:left w:type="dxa" w:w="100"/>
              <w:bottom w:type="dxa" w:w="60"/>
              <w:right w:type="dxa" w:w="100"/>
            </w:tcMar>
          </w:tcPr>
          <w:p>
            <w:r>
              <w:rPr>
                <w:rFonts w:ascii="Consolas" w:cs="Consolas" w:eastAsia="Consolas" w:hAnsi="Consolas"/>
                <w:b w:val="false"/>
                <w:bCs w:val="false"/>
                <w:sz w:val="19"/>
                <w:szCs w:val="19"/>
              </w:rPr>
              <w:t xml:space="preserve">hub_degree_threshold</w:t>
            </w:r>
          </w:p>
        </w:tc>
        <w:tc>
          <w:tcPr>
            <w:tcW w:type="dxa" w:w="12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500</w:t>
            </w:r>
          </w:p>
        </w:tc>
        <w:tc>
          <w:tcPr>
            <w:tcW w:type="dxa" w:w="574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PPI degree above which a protein is pruned</w:t>
            </w:r>
          </w:p>
        </w:tc>
      </w:tr>
      <w:tr>
        <w:tc>
          <w:tcPr>
            <w:tcW w:type="dxa" w:w="2800"/>
            <w:tcMar>
              <w:top w:type="dxa" w:w="60"/>
              <w:left w:type="dxa" w:w="100"/>
              <w:bottom w:type="dxa" w:w="60"/>
              <w:right w:type="dxa" w:w="100"/>
            </w:tcMar>
          </w:tcPr>
          <w:p>
            <w:r>
              <w:rPr>
                <w:rFonts w:ascii="Consolas" w:cs="Consolas" w:eastAsia="Consolas" w:hAnsi="Consolas"/>
                <w:b w:val="false"/>
                <w:bCs w:val="false"/>
                <w:sz w:val="19"/>
                <w:szCs w:val="19"/>
              </w:rPr>
              <w:t xml:space="preserve">max_evidence</w:t>
            </w:r>
          </w:p>
        </w:tc>
        <w:tc>
          <w:tcPr>
            <w:tcW w:type="dxa" w:w="12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400</w:t>
            </w:r>
          </w:p>
        </w:tc>
        <w:tc>
          <w:tcPr>
            <w:tcW w:type="dxa" w:w="574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Cap on evidence items serialised to the LLM</w:t>
            </w:r>
          </w:p>
        </w:tc>
      </w:tr>
      <w:tr>
        <w:tc>
          <w:tcPr>
            <w:tcW w:type="dxa" w:w="2800"/>
            <w:tcMar>
              <w:top w:type="dxa" w:w="60"/>
              <w:left w:type="dxa" w:w="100"/>
              <w:bottom w:type="dxa" w:w="60"/>
              <w:right w:type="dxa" w:w="100"/>
            </w:tcMar>
          </w:tcPr>
          <w:p>
            <w:r>
              <w:rPr>
                <w:rFonts w:ascii="Consolas" w:cs="Consolas" w:eastAsia="Consolas" w:hAnsi="Consolas"/>
                <w:b w:val="false"/>
                <w:bCs w:val="false"/>
                <w:sz w:val="19"/>
                <w:szCs w:val="19"/>
              </w:rPr>
              <w:t xml:space="preserve">tier3_one_hop_per_pair</w:t>
            </w:r>
          </w:p>
        </w:tc>
        <w:tc>
          <w:tcPr>
            <w:tcW w:type="dxa" w:w="12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8</w:t>
            </w:r>
          </w:p>
        </w:tc>
        <w:tc>
          <w:tcPr>
            <w:tcW w:type="dxa" w:w="574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Max. 1-hop bridges sampled per undocumented pair</w:t>
            </w:r>
          </w:p>
        </w:tc>
      </w:tr>
      <w:tr>
        <w:tc>
          <w:tcPr>
            <w:tcW w:type="dxa" w:w="2800"/>
            <w:tcMar>
              <w:top w:type="dxa" w:w="60"/>
              <w:left w:type="dxa" w:w="100"/>
              <w:bottom w:type="dxa" w:w="60"/>
              <w:right w:type="dxa" w:w="100"/>
            </w:tcMar>
          </w:tcPr>
          <w:p>
            <w:r>
              <w:rPr>
                <w:rFonts w:ascii="Consolas" w:cs="Consolas" w:eastAsia="Consolas" w:hAnsi="Consolas"/>
                <w:b w:val="false"/>
                <w:bCs w:val="false"/>
                <w:sz w:val="19"/>
                <w:szCs w:val="19"/>
              </w:rPr>
              <w:t xml:space="preserve">tier3_two_hop_per_pair</w:t>
            </w:r>
          </w:p>
        </w:tc>
        <w:tc>
          <w:tcPr>
            <w:tcW w:type="dxa" w:w="12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w:t>
            </w:r>
          </w:p>
        </w:tc>
        <w:tc>
          <w:tcPr>
            <w:tcW w:type="dxa" w:w="574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Max. 2-hop bridges sampled per undocumented pair</w:t>
            </w:r>
          </w:p>
        </w:tc>
      </w:tr>
      <w:tr>
        <w:tc>
          <w:tcPr>
            <w:tcW w:type="dxa" w:w="2800"/>
            <w:tcMar>
              <w:top w:type="dxa" w:w="60"/>
              <w:left w:type="dxa" w:w="100"/>
              <w:bottom w:type="dxa" w:w="60"/>
              <w:right w:type="dxa" w:w="100"/>
            </w:tcMar>
          </w:tcPr>
          <w:p>
            <w:r>
              <w:rPr>
                <w:rFonts w:ascii="Consolas" w:cs="Consolas" w:eastAsia="Consolas" w:hAnsi="Consolas"/>
                <w:b w:val="false"/>
                <w:bCs w:val="false"/>
                <w:sz w:val="19"/>
                <w:szCs w:val="19"/>
              </w:rPr>
              <w:t xml:space="preserve">tier3_candidates_per_pair</w:t>
            </w:r>
          </w:p>
        </w:tc>
        <w:tc>
          <w:tcPr>
            <w:tcW w:type="dxa" w:w="12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20</w:t>
            </w:r>
          </w:p>
        </w:tc>
        <w:tc>
          <w:tcPr>
            <w:tcW w:type="dxa" w:w="574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Max. candidate labels offered for a Tier-3 pair</w:t>
            </w:r>
          </w:p>
        </w:tc>
      </w:tr>
      <w:tr>
        <w:tc>
          <w:tcPr>
            <w:tcW w:type="dxa" w:w="2800"/>
            <w:tcMar>
              <w:top w:type="dxa" w:w="60"/>
              <w:left w:type="dxa" w:w="100"/>
              <w:bottom w:type="dxa" w:w="60"/>
              <w:right w:type="dxa" w:w="100"/>
            </w:tcMar>
          </w:tcPr>
          <w:p>
            <w:r>
              <w:rPr>
                <w:rFonts w:ascii="Consolas" w:cs="Consolas" w:eastAsia="Consolas" w:hAnsi="Consolas"/>
                <w:b w:val="false"/>
                <w:bCs w:val="false"/>
                <w:sz w:val="19"/>
                <w:szCs w:val="19"/>
              </w:rPr>
              <w:t xml:space="preserve">max_serious/other_effects</w:t>
            </w:r>
          </w:p>
        </w:tc>
        <w:tc>
          <w:tcPr>
            <w:tcW w:type="dxa" w:w="120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10 / 5</w:t>
            </w:r>
          </w:p>
        </w:tc>
        <w:tc>
          <w:tcPr>
            <w:tcW w:type="dxa" w:w="574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Effects surfaced per analysis after ranking</w:t>
            </w:r>
          </w:p>
        </w:tc>
      </w:tr>
    </w:tbl>
    <w:p>
      <w:pPr>
        <w:spacing w:after="160" w:line="276"/>
      </w:pPr>
      <w:r>
        <w:rPr>
          <w:rFonts w:ascii="Times New Roman" w:cs="Times New Roman" w:eastAsia="Times New Roman" w:hAnsi="Times New Roman"/>
          <w:sz w:val="22"/>
          <w:szCs w:val="22"/>
        </w:rPr>
        <w:t xml:space="preserve"/>
      </w:r>
    </w:p>
    <w:p>
      <w:pPr>
        <w:spacing w:after="160" w:line="276"/>
      </w:pPr>
      <w:r>
        <w:rPr>
          <w:rFonts w:ascii="Times New Roman" w:cs="Times New Roman" w:eastAsia="Times New Roman" w:hAnsi="Times New Roman"/>
          <w:sz w:val="22"/>
          <w:szCs w:val="22"/>
        </w:rPr>
        <w:t xml:space="preserve">Because a documented drug pair can list dozens to hundreds of side effects (a median of 53, up to 540, in Decagon), the effects of each pair are never shown unranked. Every documented effect e in the regimen receives a transparent, additive score:</w:t>
      </w:r>
    </w:p>
    <w:p>
      <w:pPr>
        <w:tabs>
          <w:tab w:val="center" w:pos="4680"/>
          <w:tab w:val="right" w:pos="9360"/>
        </w:tabs>
        <w:spacing w:after="160" w:before="160"/>
      </w:pPr>
      <w:r>
        <w:rPr>
          <w:rFonts w:ascii="Cambria Math" w:cs="Cambria Math" w:eastAsia="Cambria Math" w:hAnsi="Cambria Math"/>
          <w:i/>
          <w:iCs/>
          <w:sz w:val="22"/>
          <w:szCs w:val="22"/>
        </w:rPr>
        <w:t xml:space="preserve">	score(e) = w_r·R(e) + w_i·I(e) + w_m·M(e) + w_s·S(e) + w_c·[S(e)∧C(e)] + w_a·A(e)	</w:t>
      </w:r>
      <w:r>
        <w:rPr>
          <w:rFonts w:ascii="Times New Roman" w:cs="Times New Roman" w:eastAsia="Times New Roman" w:hAnsi="Times New Roman"/>
          <w:sz w:val="22"/>
          <w:szCs w:val="22"/>
        </w:rPr>
        <w:t xml:space="preserve">(1)</w:t>
      </w:r>
    </w:p>
    <w:p>
      <w:pPr>
        <w:spacing w:after="160" w:line="276"/>
      </w:pPr>
      <w:r>
        <w:rPr>
          <w:rFonts w:ascii="Times New Roman" w:cs="Times New Roman" w:eastAsia="Times New Roman" w:hAnsi="Times New Roman"/>
          <w:sz w:val="22"/>
          <w:szCs w:val="22"/>
        </w:rPr>
        <w:t xml:space="preserve">where R(e) is the number of regimen drug pairs that document e (recurrence); M(e), S(e), and C(e) are indicators for “absent from either drug's individual side-effect list”, “an EMA Important Medical Event”, and “additionally life-threatening”; A(e) indicates that a pair documenting e also shares a protein target with a third regimen drug (the Tier-2 trigger of Table 3.2); and I(e) is an inverse pair-frequency term:</w:t>
      </w:r>
    </w:p>
    <w:p>
      <w:pPr>
        <w:tabs>
          <w:tab w:val="center" w:pos="4680"/>
          <w:tab w:val="right" w:pos="9360"/>
        </w:tabs>
        <w:spacing w:after="160" w:before="160"/>
      </w:pPr>
      <w:r>
        <w:rPr>
          <w:rFonts w:ascii="Cambria Math" w:cs="Cambria Math" w:eastAsia="Cambria Math" w:hAnsi="Cambria Math"/>
          <w:i/>
          <w:iCs/>
          <w:sz w:val="22"/>
          <w:szCs w:val="22"/>
        </w:rPr>
        <w:t xml:space="preserve">	I(e) = log( N / max(n_e, 1) )	</w:t>
      </w:r>
      <w:r>
        <w:rPr>
          <w:rFonts w:ascii="Times New Roman" w:cs="Times New Roman" w:eastAsia="Times New Roman" w:hAnsi="Times New Roman"/>
          <w:sz w:val="22"/>
          <w:szCs w:val="22"/>
        </w:rPr>
        <w:t xml:space="preserve">(2)</w:t>
      </w:r>
    </w:p>
    <w:p>
      <w:pPr>
        <w:spacing w:after="160" w:line="276"/>
      </w:pPr>
      <w:r>
        <w:rPr>
          <w:rFonts w:ascii="Times New Roman" w:cs="Times New Roman" w:eastAsia="Times New Roman" w:hAnsi="Times New Roman"/>
          <w:sz w:val="22"/>
          <w:szCs w:val="22"/>
        </w:rPr>
        <w:t xml:space="preserve">with N the total number of distinct drug pairs documented in Decagon and n_e the number of pairs documenting e, so that effects specific to a few pairs are weighted above ubiquitous ones. The six weights default to w_r = 1.0, w_i = 0.5, w_m = 1.0, w_s = 2.0, w_c = 2.0, w_a = 1.0, and are exposed through Settings.ranking so that they can be varied in an ablation. Ranked effects determine both the order in which documented effects are offered as evidence and, through A(e), which pairs are eligible for a Tier-2 prediction.</w:t>
      </w:r>
    </w:p>
    <w:p>
      <w:pPr>
        <w:pStyle w:val="Heading3"/>
        <w:spacing w:after="160" w:before="280"/>
      </w:pPr>
      <w:r>
        <w:rPr>
          <w:rFonts w:ascii="Times New Roman" w:cs="Times New Roman" w:eastAsia="Times New Roman" w:hAnsi="Times New Roman"/>
          <w:b/>
          <w:bCs/>
        </w:rPr>
        <w:t xml:space="preserve">4.1.4  Large Language Model Usage</w:t>
      </w:r>
    </w:p>
    <w:p>
      <w:pPr>
        <w:spacing w:after="160" w:line="276"/>
      </w:pPr>
      <w:r>
        <w:rPr>
          <w:rFonts w:ascii="Times New Roman" w:cs="Times New Roman" w:eastAsia="Times New Roman" w:hAnsi="Times New Roman"/>
          <w:sz w:val="22"/>
          <w:szCs w:val="22"/>
        </w:rPr>
        <w:t xml:space="preserve">Table 4.6 lists the request configuration. The LLM is accessed through OpenRouter's</w:t>
      </w:r>
      <w:r>
        <w:rPr>
          <w:rFonts w:ascii="Times New Roman" w:cs="Times New Roman" w:eastAsia="Times New Roman" w:hAnsi="Times New Roman"/>
          <w:b w:val="false"/>
          <w:bCs w:val="false"/>
          <w:i w:val="false"/>
          <w:iCs w:val="false"/>
          <w:sz w:val="22"/>
          <w:szCs w:val="22"/>
          <w:vertAlign w:val="superscript"/>
        </w:rPr>
        <w:t xml:space="preserve">4</w:t>
      </w:r>
      <w:r>
        <w:rPr>
          <w:rFonts w:ascii="Times New Roman" w:cs="Times New Roman" w:eastAsia="Times New Roman" w:hAnsi="Times New Roman"/>
          <w:sz w:val="22"/>
          <w:szCs w:val="22"/>
        </w:rPr>
        <w:t xml:space="preserve"> OpenAI-compatible </w:t>
      </w:r>
      <w:r>
        <w:rPr>
          <w:rFonts w:ascii="Consolas" w:cs="Consolas" w:eastAsia="Consolas" w:hAnsi="Consolas"/>
          <w:b w:val="false"/>
          <w:bCs w:val="false"/>
          <w:i w:val="false"/>
          <w:iCs w:val="false"/>
          <w:sz w:val="20"/>
          <w:szCs w:val="20"/>
        </w:rPr>
        <w:t xml:space="preserve">/chat/completions</w:t>
      </w:r>
      <w:r>
        <w:rPr>
          <w:rFonts w:ascii="Times New Roman" w:cs="Times New Roman" w:eastAsia="Times New Roman" w:hAnsi="Times New Roman"/>
          <w:sz w:val="22"/>
          <w:szCs w:val="22"/>
        </w:rPr>
        <w:t xml:space="preserve"> endpoint, which lets the model be swapped (via the </w:t>
      </w:r>
      <w:r>
        <w:rPr>
          <w:rFonts w:ascii="Consolas" w:cs="Consolas" w:eastAsia="Consolas" w:hAnsi="Consolas"/>
          <w:b w:val="false"/>
          <w:bCs w:val="false"/>
          <w:i w:val="false"/>
          <w:iCs w:val="false"/>
          <w:sz w:val="20"/>
          <w:szCs w:val="20"/>
        </w:rPr>
        <w:t xml:space="preserve">LLM_MODEL</w:t>
      </w:r>
      <w:r>
        <w:rPr>
          <w:rFonts w:ascii="Times New Roman" w:cs="Times New Roman" w:eastAsia="Times New Roman" w:hAnsi="Times New Roman"/>
          <w:sz w:val="22"/>
          <w:szCs w:val="22"/>
        </w:rPr>
        <w:t xml:space="preserve"> environment variable) without changing application code; the default model used in this project is Google's </w:t>
      </w:r>
      <w:r>
        <w:rPr>
          <w:rFonts w:ascii="Consolas" w:cs="Consolas" w:eastAsia="Consolas" w:hAnsi="Consolas"/>
          <w:b w:val="false"/>
          <w:bCs w:val="false"/>
          <w:i w:val="false"/>
          <w:iCs w:val="false"/>
          <w:sz w:val="20"/>
          <w:szCs w:val="20"/>
        </w:rPr>
        <w:t xml:space="preserve">gemini-2.5-flash</w:t>
      </w:r>
      <w:r>
        <w:rPr>
          <w:rFonts w:ascii="Times New Roman" w:cs="Times New Roman" w:eastAsia="Times New Roman" w:hAnsi="Times New Roman"/>
          <w:b w:val="false"/>
          <w:bCs w:val="false"/>
          <w:i w:val="false"/>
          <w:iCs w:val="false"/>
          <w:sz w:val="22"/>
          <w:szCs w:val="22"/>
          <w:vertAlign w:val="superscript"/>
        </w:rPr>
        <w:t xml:space="preserve">5</w:t>
      </w:r>
      <w:r>
        <w:rPr>
          <w:rFonts w:ascii="Times New Roman" w:cs="Times New Roman" w:eastAsia="Times New Roman" w:hAnsi="Times New Roman"/>
          <w:sz w:val="22"/>
          <w:szCs w:val="22"/>
        </w:rPr>
        <w:t xml:space="preserve">. The model is deliberately used as a constrained extraction-and-explanation layer over evidence the pipeline has already retrieved, ranked, and bounded (Section 4.1.3), rather than as an open-ended reasoner over the raw graph: the request asks for </w:t>
      </w:r>
      <w:r>
        <w:rPr>
          <w:rFonts w:ascii="Consolas" w:cs="Consolas" w:eastAsia="Consolas" w:hAnsi="Consolas"/>
          <w:b w:val="false"/>
          <w:bCs w:val="false"/>
          <w:i w:val="false"/>
          <w:iCs w:val="false"/>
          <w:sz w:val="20"/>
          <w:szCs w:val="20"/>
        </w:rPr>
        <w:t xml:space="preserve">json_object</w:t>
      </w:r>
      <w:r>
        <w:rPr>
          <w:rFonts w:ascii="Times New Roman" w:cs="Times New Roman" w:eastAsia="Times New Roman" w:hAnsi="Times New Roman"/>
          <w:sz w:val="22"/>
          <w:szCs w:val="22"/>
        </w:rPr>
        <w:t xml:space="preserve"> output and disables the model's own extended reasoning (</w:t>
      </w:r>
      <w:r>
        <w:rPr>
          <w:rFonts w:ascii="Consolas" w:cs="Consolas" w:eastAsia="Consolas" w:hAnsi="Consolas"/>
          <w:b w:val="false"/>
          <w:bCs w:val="false"/>
          <w:i w:val="false"/>
          <w:iCs w:val="false"/>
          <w:sz w:val="20"/>
          <w:szCs w:val="20"/>
        </w:rPr>
        <w:t xml:space="preserve">reasoning: {"effort": "none", "exclude": true}</w:t>
      </w:r>
      <w:r>
        <w:rPr>
          <w:rFonts w:ascii="Times New Roman" w:cs="Times New Roman" w:eastAsia="Times New Roman" w:hAnsi="Times New Roman"/>
          <w:sz w:val="22"/>
          <w:szCs w:val="22"/>
        </w:rPr>
        <w:t xml:space="preserve">), which reduces latency and cost without affecting prediction quality, since the biological reasoning – which proteins are shared, which bridges exist, which pairs already have documented history – is already encoded in the serialised evidence rather than left for the model to derive on its own.</w:t>
      </w:r>
    </w:p>
    <w:p>
      <w:pPr>
        <w:spacing w:after="80" w:before="200"/>
      </w:pPr>
      <w:r>
        <w:rPr>
          <w:rFonts w:ascii="Times New Roman" w:cs="Times New Roman" w:eastAsia="Times New Roman" w:hAnsi="Times New Roman"/>
          <w:b/>
          <w:bCs/>
          <w:sz w:val="20"/>
          <w:szCs w:val="20"/>
        </w:rPr>
        <w:t xml:space="preserve">Table 4.6: </w:t>
      </w:r>
      <w:r>
        <w:rPr>
          <w:rFonts w:ascii="Times New Roman" w:cs="Times New Roman" w:eastAsia="Times New Roman" w:hAnsi="Times New Roman"/>
          <w:b/>
          <w:bCs/>
          <w:sz w:val="20"/>
          <w:szCs w:val="20"/>
        </w:rPr>
        <w:t xml:space="preserve">LLM request configuration</w:t>
      </w:r>
    </w:p>
    <w:tbl>
      <w:tblPr>
        <w:tblW w:type="dxa" w:w="9740"/>
        <w:tblBorders>
          <w:top w:val="single" w:color="000000" w:sz="4"/>
          <w:left w:val="none" w:color="FFFFFF" w:sz="0"/>
          <w:bottom w:val="single" w:color="000000" w:sz="4"/>
          <w:right w:val="none" w:color="FFFFFF" w:sz="0"/>
          <w:insideH w:val="single" w:color="999999" w:sz="2"/>
          <w:insideV w:val="none" w:color="FFFFFF" w:sz="0"/>
        </w:tblBorders>
      </w:tblPr>
      <w:tblGrid>
        <w:gridCol w:w="3200"/>
        <w:gridCol w:w="6540"/>
      </w:tblGrid>
      <w:tr>
        <w:tc>
          <w:tcPr>
            <w:tcW w:type="dxa" w:w="3200"/>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Parameter</w:t>
            </w:r>
          </w:p>
        </w:tc>
        <w:tc>
          <w:tcPr>
            <w:tcW w:type="dxa" w:w="6540"/>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Value</w:t>
            </w:r>
          </w:p>
        </w:tc>
      </w:tr>
      <w:tr>
        <w:tc>
          <w:tcPr>
            <w:tcW w:type="dxa" w:w="3200"/>
            <w:tcMar>
              <w:top w:type="dxa" w:w="60"/>
              <w:left w:type="dxa" w:w="100"/>
              <w:bottom w:type="dxa" w:w="60"/>
              <w:right w:type="dxa" w:w="100"/>
            </w:tcMar>
          </w:tcPr>
          <w:p>
            <w:r>
              <w:rPr>
                <w:rFonts w:ascii="Consolas" w:cs="Consolas" w:eastAsia="Consolas" w:hAnsi="Consolas"/>
                <w:b w:val="false"/>
                <w:bCs w:val="false"/>
                <w:sz w:val="19"/>
                <w:szCs w:val="19"/>
              </w:rPr>
              <w:t xml:space="preserve">Endpoint</w:t>
            </w:r>
          </w:p>
        </w:tc>
        <w:tc>
          <w:tcPr>
            <w:tcW w:type="dxa" w:w="654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OpenRouter, /chat/completions (OpenAI-compatible)</w:t>
            </w:r>
          </w:p>
        </w:tc>
      </w:tr>
      <w:tr>
        <w:tc>
          <w:tcPr>
            <w:tcW w:type="dxa" w:w="3200"/>
            <w:tcMar>
              <w:top w:type="dxa" w:w="60"/>
              <w:left w:type="dxa" w:w="100"/>
              <w:bottom w:type="dxa" w:w="60"/>
              <w:right w:type="dxa" w:w="100"/>
            </w:tcMar>
          </w:tcPr>
          <w:p>
            <w:r>
              <w:rPr>
                <w:rFonts w:ascii="Consolas" w:cs="Consolas" w:eastAsia="Consolas" w:hAnsi="Consolas"/>
                <w:b w:val="false"/>
                <w:bCs w:val="false"/>
                <w:sz w:val="19"/>
                <w:szCs w:val="19"/>
              </w:rPr>
              <w:t xml:space="preserve">Default model</w:t>
            </w:r>
          </w:p>
        </w:tc>
        <w:tc>
          <w:tcPr>
            <w:tcW w:type="dxa" w:w="654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google/gemini-2.5-flash (overridable via LLM_MODEL)</w:t>
            </w:r>
          </w:p>
        </w:tc>
      </w:tr>
      <w:tr>
        <w:tc>
          <w:tcPr>
            <w:tcW w:type="dxa" w:w="3200"/>
            <w:tcMar>
              <w:top w:type="dxa" w:w="60"/>
              <w:left w:type="dxa" w:w="100"/>
              <w:bottom w:type="dxa" w:w="60"/>
              <w:right w:type="dxa" w:w="100"/>
            </w:tcMar>
          </w:tcPr>
          <w:p>
            <w:r>
              <w:rPr>
                <w:rFonts w:ascii="Consolas" w:cs="Consolas" w:eastAsia="Consolas" w:hAnsi="Consolas"/>
                <w:b w:val="false"/>
                <w:bCs w:val="false"/>
                <w:sz w:val="19"/>
                <w:szCs w:val="19"/>
              </w:rPr>
              <w:t xml:space="preserve">response_format</w:t>
            </w:r>
          </w:p>
        </w:tc>
        <w:tc>
          <w:tcPr>
            <w:tcW w:type="dxa" w:w="654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json_object</w:t>
            </w:r>
          </w:p>
        </w:tc>
      </w:tr>
      <w:tr>
        <w:tc>
          <w:tcPr>
            <w:tcW w:type="dxa" w:w="3200"/>
            <w:tcMar>
              <w:top w:type="dxa" w:w="60"/>
              <w:left w:type="dxa" w:w="100"/>
              <w:bottom w:type="dxa" w:w="60"/>
              <w:right w:type="dxa" w:w="100"/>
            </w:tcMar>
          </w:tcPr>
          <w:p>
            <w:r>
              <w:rPr>
                <w:rFonts w:ascii="Consolas" w:cs="Consolas" w:eastAsia="Consolas" w:hAnsi="Consolas"/>
                <w:b w:val="false"/>
                <w:bCs w:val="false"/>
                <w:sz w:val="19"/>
                <w:szCs w:val="19"/>
              </w:rPr>
              <w:t xml:space="preserve">reasoning</w:t>
            </w:r>
          </w:p>
        </w:tc>
        <w:tc>
          <w:tcPr>
            <w:tcW w:type="dxa" w:w="654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{"effort": "none", "exclude": true}</w:t>
            </w:r>
          </w:p>
        </w:tc>
      </w:tr>
      <w:tr>
        <w:tc>
          <w:tcPr>
            <w:tcW w:type="dxa" w:w="3200"/>
            <w:tcMar>
              <w:top w:type="dxa" w:w="60"/>
              <w:left w:type="dxa" w:w="100"/>
              <w:bottom w:type="dxa" w:w="60"/>
              <w:right w:type="dxa" w:w="100"/>
            </w:tcMar>
          </w:tcPr>
          <w:p>
            <w:r>
              <w:rPr>
                <w:rFonts w:ascii="Consolas" w:cs="Consolas" w:eastAsia="Consolas" w:hAnsi="Consolas"/>
                <w:b w:val="false"/>
                <w:bCs w:val="false"/>
                <w:sz w:val="19"/>
                <w:szCs w:val="19"/>
              </w:rPr>
              <w:t xml:space="preserve">max_tokens</w:t>
            </w:r>
          </w:p>
        </w:tc>
        <w:tc>
          <w:tcPr>
            <w:tcW w:type="dxa" w:w="654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4000</w:t>
            </w:r>
          </w:p>
        </w:tc>
      </w:tr>
      <w:tr>
        <w:tc>
          <w:tcPr>
            <w:tcW w:type="dxa" w:w="3200"/>
            <w:tcMar>
              <w:top w:type="dxa" w:w="60"/>
              <w:left w:type="dxa" w:w="100"/>
              <w:bottom w:type="dxa" w:w="60"/>
              <w:right w:type="dxa" w:w="100"/>
            </w:tcMar>
          </w:tcPr>
          <w:p>
            <w:r>
              <w:rPr>
                <w:rFonts w:ascii="Consolas" w:cs="Consolas" w:eastAsia="Consolas" w:hAnsi="Consolas"/>
                <w:b w:val="false"/>
                <w:bCs w:val="false"/>
                <w:sz w:val="19"/>
                <w:szCs w:val="19"/>
              </w:rPr>
              <w:t xml:space="preserve">Timeout</w:t>
            </w:r>
          </w:p>
        </w:tc>
        <w:tc>
          <w:tcPr>
            <w:tcW w:type="dxa" w:w="654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120 s (15 s connect)</w:t>
            </w:r>
          </w:p>
        </w:tc>
      </w:tr>
      <w:tr>
        <w:tc>
          <w:tcPr>
            <w:tcW w:type="dxa" w:w="3200"/>
            <w:tcMar>
              <w:top w:type="dxa" w:w="60"/>
              <w:left w:type="dxa" w:w="100"/>
              <w:bottom w:type="dxa" w:w="60"/>
              <w:right w:type="dxa" w:w="100"/>
            </w:tcMar>
          </w:tcPr>
          <w:p>
            <w:r>
              <w:rPr>
                <w:rFonts w:ascii="Consolas" w:cs="Consolas" w:eastAsia="Consolas" w:hAnsi="Consolas"/>
                <w:b w:val="false"/>
                <w:bCs w:val="false"/>
                <w:sz w:val="19"/>
                <w:szCs w:val="19"/>
              </w:rPr>
              <w:t xml:space="preserve">Retries</w:t>
            </w:r>
          </w:p>
        </w:tc>
        <w:tc>
          <w:tcPr>
            <w:tcW w:type="dxa" w:w="6540"/>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up to 3, exponential back-off, on connection failure only</w:t>
            </w:r>
          </w:p>
        </w:tc>
      </w:tr>
    </w:tbl>
    <w:p>
      <w:pPr>
        <w:spacing w:after="160" w:line="276"/>
      </w:pPr>
      <w:r>
        <w:rPr>
          <w:rFonts w:ascii="Times New Roman" w:cs="Times New Roman" w:eastAsia="Times New Roman" w:hAnsi="Times New Roman"/>
          <w:sz w:val="22"/>
          <w:szCs w:val="22"/>
        </w:rPr>
        <w:t xml:space="preserve"/>
      </w:r>
    </w:p>
    <w:p>
      <w:pPr>
        <w:spacing w:after="160" w:line="276"/>
      </w:pPr>
      <w:r>
        <w:rPr>
          <w:rFonts w:ascii="Times New Roman" w:cs="Times New Roman" w:eastAsia="Times New Roman" w:hAnsi="Times New Roman"/>
          <w:sz w:val="22"/>
          <w:szCs w:val="22"/>
        </w:rPr>
        <w:t xml:space="preserve">The system prompt specifies the full output contract rather than leaving it to free text: a JSON object with a </w:t>
      </w:r>
      <w:r>
        <w:rPr>
          <w:rFonts w:ascii="Consolas" w:cs="Consolas" w:eastAsia="Consolas" w:hAnsi="Consolas"/>
          <w:b w:val="false"/>
          <w:bCs w:val="false"/>
          <w:i w:val="false"/>
          <w:iCs w:val="false"/>
          <w:sz w:val="20"/>
          <w:szCs w:val="20"/>
        </w:rPr>
        <w:t xml:space="preserve">predictions</w:t>
      </w:r>
      <w:r>
        <w:rPr>
          <w:rFonts w:ascii="Times New Roman" w:cs="Times New Roman" w:eastAsia="Times New Roman" w:hAnsi="Times New Roman"/>
          <w:sz w:val="22"/>
          <w:szCs w:val="22"/>
        </w:rPr>
        <w:t xml:space="preserve"> array whose items carry </w:t>
      </w:r>
      <w:r>
        <w:rPr>
          <w:rFonts w:ascii="Consolas" w:cs="Consolas" w:eastAsia="Consolas" w:hAnsi="Consolas"/>
          <w:b w:val="false"/>
          <w:bCs w:val="false"/>
          <w:i w:val="false"/>
          <w:iCs w:val="false"/>
          <w:sz w:val="20"/>
          <w:szCs w:val="20"/>
        </w:rPr>
        <w:t xml:space="preserve">side_effect</w:t>
      </w:r>
      <w:r>
        <w:rPr>
          <w:rFonts w:ascii="Times New Roman" w:cs="Times New Roman" w:eastAsia="Times New Roman" w:hAnsi="Times New Roman"/>
          <w:sz w:val="22"/>
          <w:szCs w:val="22"/>
        </w:rPr>
        <w:t xml:space="preserve">, </w:t>
      </w:r>
      <w:r>
        <w:rPr>
          <w:rFonts w:ascii="Consolas" w:cs="Consolas" w:eastAsia="Consolas" w:hAnsi="Consolas"/>
          <w:b w:val="false"/>
          <w:bCs w:val="false"/>
          <w:i w:val="false"/>
          <w:iCs w:val="false"/>
          <w:sz w:val="20"/>
          <w:szCs w:val="20"/>
        </w:rPr>
        <w:t xml:space="preserve">tier</w:t>
      </w:r>
      <w:r>
        <w:rPr>
          <w:rFonts w:ascii="Times New Roman" w:cs="Times New Roman" w:eastAsia="Times New Roman" w:hAnsi="Times New Roman"/>
          <w:sz w:val="22"/>
          <w:szCs w:val="22"/>
        </w:rPr>
        <w:t xml:space="preserve"> (1–3), one or more </w:t>
      </w:r>
      <w:r>
        <w:rPr>
          <w:rFonts w:ascii="Consolas" w:cs="Consolas" w:eastAsia="Consolas" w:hAnsi="Consolas"/>
          <w:b w:val="false"/>
          <w:bCs w:val="false"/>
          <w:i w:val="false"/>
          <w:iCs w:val="false"/>
          <w:sz w:val="20"/>
          <w:szCs w:val="20"/>
        </w:rPr>
        <w:t xml:space="preserve">evidence_ids</w:t>
      </w:r>
      <w:r>
        <w:rPr>
          <w:rFonts w:ascii="Times New Roman" w:cs="Times New Roman" w:eastAsia="Times New Roman" w:hAnsi="Times New Roman"/>
          <w:sz w:val="22"/>
          <w:szCs w:val="22"/>
        </w:rPr>
        <w:t xml:space="preserve">, and a Vietnamese, at-most-three-sentence </w:t>
      </w:r>
      <w:r>
        <w:rPr>
          <w:rFonts w:ascii="Consolas" w:cs="Consolas" w:eastAsia="Consolas" w:hAnsi="Consolas"/>
          <w:b w:val="false"/>
          <w:bCs w:val="false"/>
          <w:i w:val="false"/>
          <w:iCs w:val="false"/>
          <w:sz w:val="20"/>
          <w:szCs w:val="20"/>
        </w:rPr>
        <w:t xml:space="preserve">explanation</w:t>
      </w:r>
      <w:r>
        <w:rPr>
          <w:rFonts w:ascii="Times New Roman" w:cs="Times New Roman" w:eastAsia="Times New Roman" w:hAnsi="Times New Roman"/>
          <w:sz w:val="22"/>
          <w:szCs w:val="22"/>
        </w:rPr>
        <w:t xml:space="preserve"> naming the drugs and, where relevant, the shared or bridging protein targets. The prompt restates the tier semantics of Table 3.2 as hard constraints on evidence use: a Tier-1 prediction must reproduce a documented pairwise effect; a Tier-2 prediction must reproduce a documented pairwise effect additionally supported by a target shared by at least three regimen drugs; a Tier-3 prediction is only a hypothesis, permitted solely when a retrieved bridge links the pair and that pair has no documented effect, and its </w:t>
      </w:r>
      <w:r>
        <w:rPr>
          <w:rFonts w:ascii="Consolas" w:cs="Consolas" w:eastAsia="Consolas" w:hAnsi="Consolas"/>
          <w:b w:val="false"/>
          <w:bCs w:val="false"/>
          <w:i w:val="false"/>
          <w:iCs w:val="false"/>
          <w:sz w:val="20"/>
          <w:szCs w:val="20"/>
        </w:rPr>
        <w:t xml:space="preserve">side_effect</w:t>
      </w:r>
      <w:r>
        <w:rPr>
          <w:rFonts w:ascii="Times New Roman" w:cs="Times New Roman" w:eastAsia="Times New Roman" w:hAnsi="Times New Roman"/>
          <w:sz w:val="22"/>
          <w:szCs w:val="22"/>
        </w:rPr>
        <w:t xml:space="preserve"> label must be copied verbatim from that bridge's </w:t>
      </w:r>
      <w:r>
        <w:rPr>
          <w:rFonts w:ascii="Consolas" w:cs="Consolas" w:eastAsia="Consolas" w:hAnsi="Consolas"/>
          <w:b w:val="false"/>
          <w:bCs w:val="false"/>
          <w:i w:val="false"/>
          <w:iCs w:val="false"/>
          <w:sz w:val="20"/>
          <w:szCs w:val="20"/>
        </w:rPr>
        <w:t xml:space="preserve">candidate_side_effects</w:t>
      </w:r>
      <w:r>
        <w:rPr>
          <w:rFonts w:ascii="Times New Roman" w:cs="Times New Roman" w:eastAsia="Times New Roman" w:hAnsi="Times New Roman"/>
          <w:sz w:val="22"/>
          <w:szCs w:val="22"/>
        </w:rPr>
        <w:t xml:space="preserve">. Output is capped at 15 predictions, prioritising Tier 1, then Tier 2, then at most two Tier-3 hypotheses, and the model is instructed to return an empty </w:t>
      </w:r>
      <w:r>
        <w:rPr>
          <w:rFonts w:ascii="Consolas" w:cs="Consolas" w:eastAsia="Consolas" w:hAnsi="Consolas"/>
          <w:b w:val="false"/>
          <w:bCs w:val="false"/>
          <w:i w:val="false"/>
          <w:iCs w:val="false"/>
          <w:sz w:val="20"/>
          <w:szCs w:val="20"/>
        </w:rPr>
        <w:t xml:space="preserve">predictions</w:t>
      </w:r>
      <w:r>
        <w:rPr>
          <w:rFonts w:ascii="Times New Roman" w:cs="Times New Roman" w:eastAsia="Times New Roman" w:hAnsi="Times New Roman"/>
          <w:sz w:val="22"/>
          <w:szCs w:val="22"/>
        </w:rPr>
        <w:t xml:space="preserve"> array rather than invent evidence when support is insufficient.</w:t>
      </w:r>
    </w:p>
    <w:p>
      <w:pPr>
        <w:pStyle w:val="Heading3"/>
        <w:spacing w:after="160" w:before="280"/>
      </w:pPr>
      <w:r>
        <w:rPr>
          <w:rFonts w:ascii="Times New Roman" w:cs="Times New Roman" w:eastAsia="Times New Roman" w:hAnsi="Times New Roman"/>
          <w:b/>
          <w:bCs/>
        </w:rPr>
        <w:t xml:space="preserve">4.1.5  Grounding, Validation, and Fallback Behaviour</w:t>
      </w:r>
    </w:p>
    <w:p>
      <w:pPr>
        <w:spacing w:after="160" w:line="276"/>
      </w:pPr>
      <w:r>
        <w:rPr>
          <w:rFonts w:ascii="Times New Roman" w:cs="Times New Roman" w:eastAsia="Times New Roman" w:hAnsi="Times New Roman"/>
          <w:sz w:val="22"/>
          <w:szCs w:val="22"/>
        </w:rPr>
        <w:t xml:space="preserve">The raw response is parsed with a strict pydantic</w:t>
      </w:r>
      <w:r>
        <w:rPr>
          <w:rFonts w:ascii="Times New Roman" w:cs="Times New Roman" w:eastAsia="Times New Roman" w:hAnsi="Times New Roman"/>
          <w:b w:val="false"/>
          <w:bCs w:val="false"/>
          <w:i w:val="false"/>
          <w:iCs w:val="false"/>
          <w:sz w:val="22"/>
          <w:szCs w:val="22"/>
          <w:vertAlign w:val="superscript"/>
        </w:rPr>
        <w:t xml:space="preserve">6</w:t>
      </w:r>
      <w:r>
        <w:rPr>
          <w:rFonts w:ascii="Times New Roman" w:cs="Times New Roman" w:eastAsia="Times New Roman" w:hAnsi="Times New Roman"/>
          <w:sz w:val="22"/>
          <w:szCs w:val="22"/>
        </w:rPr>
        <w:t xml:space="preserve"> schema (</w:t>
      </w:r>
      <w:r>
        <w:rPr>
          <w:rFonts w:ascii="Consolas" w:cs="Consolas" w:eastAsia="Consolas" w:hAnsi="Consolas"/>
          <w:b w:val="false"/>
          <w:bCs w:val="false"/>
          <w:i w:val="false"/>
          <w:iCs w:val="false"/>
          <w:sz w:val="20"/>
          <w:szCs w:val="20"/>
        </w:rPr>
        <w:t xml:space="preserve">ModelPrediction</w:t>
      </w:r>
      <w:r>
        <w:rPr>
          <w:rFonts w:ascii="Times New Roman" w:cs="Times New Roman" w:eastAsia="Times New Roman" w:hAnsi="Times New Roman"/>
          <w:sz w:val="22"/>
          <w:szCs w:val="22"/>
        </w:rPr>
        <w:t xml:space="preserve">/</w:t>
      </w:r>
      <w:r>
        <w:rPr>
          <w:rFonts w:ascii="Consolas" w:cs="Consolas" w:eastAsia="Consolas" w:hAnsi="Consolas"/>
          <w:b w:val="false"/>
          <w:bCs w:val="false"/>
          <w:i w:val="false"/>
          <w:iCs w:val="false"/>
          <w:sz w:val="20"/>
          <w:szCs w:val="20"/>
        </w:rPr>
        <w:t xml:space="preserve">PredictionList</w:t>
      </w:r>
      <w:r>
        <w:rPr>
          <w:rFonts w:ascii="Times New Roman" w:cs="Times New Roman" w:eastAsia="Times New Roman" w:hAnsi="Times New Roman"/>
          <w:sz w:val="22"/>
          <w:szCs w:val="22"/>
        </w:rPr>
        <w:t xml:space="preserve">); if that fails because the model wrapped the JSON in a fenced code block or stopped mid-stream, a tolerant recovery path scans the text with a streaming JSON decoder and keeps every complete, schema-valid object found before the cut-off, rather than discarding the whole response.</w:t>
      </w:r>
    </w:p>
    <w:p>
      <w:pPr>
        <w:spacing w:after="160" w:line="276"/>
      </w:pPr>
      <w:r>
        <w:rPr>
          <w:rFonts w:ascii="Times New Roman" w:cs="Times New Roman" w:eastAsia="Times New Roman" w:hAnsi="Times New Roman"/>
          <w:sz w:val="22"/>
          <w:szCs w:val="22"/>
        </w:rPr>
        <w:t xml:space="preserve">Parsing success does not make a prediction trustworthy: every item is re-validated against the actually retrieved subgraph, independently of the model's own claims. A prediction is kept only if every cited evidence_id exists, carries the declared tier, and (Tier 1/2) names the same side-effect label on every cited item, or (Tier 3) lists that label among the cited bridge's own candidates; the underlying graph edges of each cited path are additionally checked against the loaded target, PPI, and side-effect tables, and duplicate (tier, label, evidence-set) predictions are removed. A prediction failing any check is silently dropped rather than shown to the user. This two-stage check – schema validation, then graph grounding – is what allows Tier-2 and Tier-3 output to be treated as traceable rather than as an unverified model claim.</w:t>
      </w:r>
    </w:p>
    <w:p>
      <w:pPr>
        <w:spacing w:after="160" w:line="276"/>
      </w:pPr>
      <w:r>
        <w:rPr>
          <w:rFonts w:ascii="Times New Roman" w:cs="Times New Roman" w:eastAsia="Times New Roman" w:hAnsi="Times New Roman"/>
          <w:sz w:val="22"/>
          <w:szCs w:val="22"/>
        </w:rPr>
        <w:t xml:space="preserve">Because the LLM call can fail for several independent reasons (no API key configured, a malformed or non-conforming JSON body, an HTTP error from the provider, or a network failure), the pipeline treats all of them as a single degraded mode: llm_status is set to "fallback" with a diagnostic message, and the request still returns the retrieved and ranked subgraph, interaction graph, and coverage summary without raising an exception, so a user still sees the underlying evidence even when no generated explanation is available.</w:t>
      </w:r>
    </w:p>
    <w:p>
      <w:pPr>
        <w:pBdr>
          <w:top w:val="single" w:color="000000" w:sz="6" w:space="4"/>
        </w:pBdr>
        <w:spacing w:before="400"/>
      </w:pPr>
      <w:r>
        <w:rPr>
          <w:rFonts w:ascii="Times New Roman" w:cs="Times New Roman" w:eastAsia="Times New Roman" w:hAnsi="Times New Roman"/>
        </w:rPr>
        <w:t xml:space="preserve"/>
      </w:r>
    </w:p>
    <w:p>
      <w:pPr>
        <w:spacing w:after="80"/>
      </w:pPr>
      <w:r>
        <w:rPr>
          <w:rFonts w:ascii="Times New Roman" w:cs="Times New Roman" w:eastAsia="Times New Roman" w:hAnsi="Times New Roman"/>
          <w:sz w:val="18"/>
          <w:szCs w:val="18"/>
          <w:vertAlign w:val="superscript"/>
        </w:rPr>
        <w:t xml:space="preserve">1</w:t>
      </w:r>
      <w:r>
        <w:rPr>
          <w:rFonts w:ascii="Times New Roman" w:cs="Times New Roman" w:eastAsia="Times New Roman" w:hAnsi="Times New Roman"/>
          <w:sz w:val="18"/>
          <w:szCs w:val="18"/>
        </w:rPr>
        <w:t xml:space="preserve"> Decagon dataset (Stanford SNAP BioSNAP), https://snap.stanford.edu/decagon/</w:t>
      </w:r>
    </w:p>
    <w:p>
      <w:pPr>
        <w:spacing w:after="80"/>
      </w:pPr>
      <w:r>
        <w:rPr>
          <w:rFonts w:ascii="Times New Roman" w:cs="Times New Roman" w:eastAsia="Times New Roman" w:hAnsi="Times New Roman"/>
          <w:sz w:val="18"/>
          <w:szCs w:val="18"/>
          <w:vertAlign w:val="superscript"/>
        </w:rPr>
        <w:t xml:space="preserve">2</w:t>
      </w:r>
      <w:r>
        <w:rPr>
          <w:rFonts w:ascii="Times New Roman" w:cs="Times New Roman" w:eastAsia="Times New Roman" w:hAnsi="Times New Roman"/>
          <w:sz w:val="18"/>
          <w:szCs w:val="18"/>
        </w:rPr>
        <w:t xml:space="preserve"> RapidFuzz, https://github.com/rapidfuzz/RapidFuzz</w:t>
      </w:r>
    </w:p>
    <w:p>
      <w:pPr>
        <w:spacing w:after="80"/>
      </w:pPr>
      <w:r>
        <w:rPr>
          <w:rFonts w:ascii="Times New Roman" w:cs="Times New Roman" w:eastAsia="Times New Roman" w:hAnsi="Times New Roman"/>
          <w:sz w:val="18"/>
          <w:szCs w:val="18"/>
          <w:vertAlign w:val="superscript"/>
        </w:rPr>
        <w:t xml:space="preserve">3</w:t>
      </w:r>
      <w:r>
        <w:rPr>
          <w:rFonts w:ascii="Times New Roman" w:cs="Times New Roman" w:eastAsia="Times New Roman" w:hAnsi="Times New Roman"/>
          <w:sz w:val="18"/>
          <w:szCs w:val="18"/>
        </w:rPr>
        <w:t xml:space="preserve"> Streamlit, https://streamlit.io</w:t>
      </w:r>
    </w:p>
    <w:p>
      <w:pPr>
        <w:spacing w:after="80"/>
      </w:pPr>
      <w:r>
        <w:rPr>
          <w:rFonts w:ascii="Times New Roman" w:cs="Times New Roman" w:eastAsia="Times New Roman" w:hAnsi="Times New Roman"/>
          <w:sz w:val="18"/>
          <w:szCs w:val="18"/>
          <w:vertAlign w:val="superscript"/>
        </w:rPr>
        <w:t xml:space="preserve">4</w:t>
      </w:r>
      <w:r>
        <w:rPr>
          <w:rFonts w:ascii="Times New Roman" w:cs="Times New Roman" w:eastAsia="Times New Roman" w:hAnsi="Times New Roman"/>
          <w:sz w:val="18"/>
          <w:szCs w:val="18"/>
        </w:rPr>
        <w:t xml:space="preserve"> OpenRouter, https://openrouter.ai</w:t>
      </w:r>
    </w:p>
    <w:p>
      <w:pPr>
        <w:spacing w:after="80"/>
      </w:pPr>
      <w:r>
        <w:rPr>
          <w:rFonts w:ascii="Times New Roman" w:cs="Times New Roman" w:eastAsia="Times New Roman" w:hAnsi="Times New Roman"/>
          <w:sz w:val="18"/>
          <w:szCs w:val="18"/>
          <w:vertAlign w:val="superscript"/>
        </w:rPr>
        <w:t xml:space="preserve">5</w:t>
      </w:r>
      <w:r>
        <w:rPr>
          <w:rFonts w:ascii="Times New Roman" w:cs="Times New Roman" w:eastAsia="Times New Roman" w:hAnsi="Times New Roman"/>
          <w:sz w:val="18"/>
          <w:szCs w:val="18"/>
        </w:rPr>
        <w:t xml:space="preserve"> Gemini API model index, https://ai.google.dev/gemini-api/docs/models</w:t>
      </w:r>
    </w:p>
    <w:p>
      <w:pPr>
        <w:spacing w:after="80"/>
      </w:pPr>
      <w:r>
        <w:rPr>
          <w:rFonts w:ascii="Times New Roman" w:cs="Times New Roman" w:eastAsia="Times New Roman" w:hAnsi="Times New Roman"/>
          <w:sz w:val="18"/>
          <w:szCs w:val="18"/>
          <w:vertAlign w:val="superscript"/>
        </w:rPr>
        <w:t xml:space="preserve">6</w:t>
      </w:r>
      <w:r>
        <w:rPr>
          <w:rFonts w:ascii="Times New Roman" w:cs="Times New Roman" w:eastAsia="Times New Roman" w:hAnsi="Times New Roman"/>
          <w:sz w:val="18"/>
          <w:szCs w:val="18"/>
        </w:rPr>
        <w:t xml:space="preserve"> Pydantic, https://docs.pydantic.dev</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Times New Roman" w:cs="Times New Roman" w:eastAsia="Times New Roman" w:hAnsi="Times New Roman"/>
        <w:sz w:val="18"/>
        <w:szCs w:val="18"/>
      </w:rPr>
      <w:t xml:space="preserve">Polypharmacy Side-Effect Prediction</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Group 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240"/>
    </w:pPr>
    <w:rPr>
      <w:rFonts w:ascii="Times New Roman" w:cs="Times New Roman" w:eastAsia="Times New Roman" w:hAnsi="Times New Roman"/>
      <w:b/>
      <w:bCs/>
      <w:sz w:val="32"/>
      <w:szCs w:val="32"/>
    </w:rPr>
  </w:style>
  <w:style w:type="paragraph" w:styleId="Heading2">
    <w:name w:val="Heading 2"/>
    <w:basedOn w:val="Normal"/>
    <w:next w:val="Normal"/>
    <w:qFormat/>
    <w:pPr>
      <w:spacing w:after="140" w:before="240"/>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200"/>
    </w:pPr>
    <w:rPr>
      <w:rFonts w:ascii="Times New Roman" w:cs="Times New Roman" w:eastAsia="Times New Roman" w:hAnsi="Times New Roman"/>
      <w:b/>
      <w:bCs/>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2026-10-25T05:04:01.317Z</dcterms:created>
  <dcterms:modified xsi:type="dcterms:W3CDTF">2026-10-25T05:04:01.318Z</dcterms:modified>
</cp:coreProperties>
</file>

<file path=docProps/custom.xml><?xml version="1.0" encoding="utf-8"?>
<Properties xmlns="http://schemas.openxmlformats.org/officeDocument/2006/custom-properties" xmlns:vt="http://schemas.openxmlformats.org/officeDocument/2006/docPropsVTypes"/>
</file>