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D7DC6" w14:paraId="20DFF4C0" w14:textId="77777777">
        <w:tc>
          <w:tcPr>
            <w:tcW w:w="9026" w:type="dxa"/>
            <w:tcBorders>
              <w:top w:val="single" w:sz="6" w:space="0" w:color="000000"/>
              <w:left w:val="single" w:sz="6" w:space="0" w:color="000000"/>
              <w:bottom w:val="single" w:sz="6" w:space="0" w:color="000000"/>
              <w:right w:val="single" w:sz="6" w:space="0" w:color="000000"/>
            </w:tcBorders>
            <w:tcMar>
              <w:top w:w="160" w:type="dxa"/>
              <w:left w:w="200" w:type="dxa"/>
              <w:bottom w:w="200" w:type="dxa"/>
              <w:right w:w="200" w:type="dxa"/>
            </w:tcMar>
          </w:tcPr>
          <w:p w14:paraId="4F285ABD" w14:textId="77777777" w:rsidR="00ED7DC6" w:rsidRDefault="00000000">
            <w:pPr>
              <w:spacing w:after="240"/>
              <w:jc w:val="center"/>
            </w:pPr>
            <w:r>
              <w:rPr>
                <w:b/>
                <w:bCs/>
                <w:sz w:val="24"/>
                <w:szCs w:val="24"/>
              </w:rPr>
              <w:t>TENTATIVE CHECKLIST</w:t>
            </w:r>
          </w:p>
          <w:p>
            <w:pPr>
              <w:pStyle w:val="ListParagraph"/>
              <w:numPr>
                <w:ilvl w:val="0"/>
                <w:numId w:val="2"/>
              </w:numPr>
              <w:spacing w:after="80"/>
              <w:jc w:val="both"/>
            </w:pPr>
            <w:r>
              <w:rPr>
                <w:b/>
                <w:bCs/>
                <w:sz w:val="24"/>
                <w:szCs w:val="24"/>
              </w:rPr>
              <w:t xml:space="preserve">Kindly confirm the normalisation applied to the URL string before the entropy is computed, namely whether letters are converted to a single case, whether percent-encoded characters are decoded, and which Unicode normalisation form is applied.</w:t>
            </w:r>
          </w:p>
          <w:p>
            <w:pPr>
              <w:pStyle w:val="ListParagraph"/>
              <w:numPr>
                <w:ilvl w:val="1"/>
                <w:numId w:val="2"/>
              </w:numPr>
              <w:spacing w:after="240"/>
              <w:jc w:val="both"/>
            </w:pPr>
            <w:r>
              <w:rPr>
                <w:sz w:val="24"/>
                <w:szCs w:val="24"/>
              </w:rPr>
              <w:t xml:space="preserve">For example, a note that the hostname is converted to lower case, percent-encoded characters are decoded once, and a stated Unicode normalisation form is applied before the characters are counted.</w:t>
            </w:r>
          </w:p>
          <w:p>
            <w:pPr>
              <w:pStyle w:val="ListParagraph"/>
              <w:numPr>
                <w:ilvl w:val="0"/>
                <w:numId w:val="2"/>
              </w:numPr>
              <w:spacing w:after="80"/>
              <w:jc w:val="both"/>
            </w:pPr>
            <w:r>
              <w:rPr>
                <w:b/>
                <w:bCs/>
                <w:sz w:val="24"/>
                <w:szCs w:val="24"/>
              </w:rPr>
              <w:t xml:space="preserve">Kindly confirm which node types are counted by the tag-stack state machine when determining the total node count and the maximum tree depth, including element, text, comment, script, iframe and implicitly closed nodes.</w:t>
            </w:r>
          </w:p>
          <w:p>
            <w:pPr>
              <w:pStyle w:val="ListParagraph"/>
              <w:numPr>
                <w:ilvl w:val="1"/>
                <w:numId w:val="2"/>
              </w:numPr>
              <w:spacing w:after="240"/>
              <w:jc w:val="both"/>
            </w:pPr>
            <w:r>
              <w:rPr>
                <w:sz w:val="24"/>
                <w:szCs w:val="24"/>
              </w:rPr>
              <w:t xml:space="preserve">For example, a note that only element nodes are counted, that text and comment nodes are excluded, and whether the content of an iframe is parsed.</w:t>
            </w:r>
          </w:p>
          <w:p>
            <w:pPr>
              <w:pStyle w:val="ListParagraph"/>
              <w:numPr>
                <w:ilvl w:val="0"/>
                <w:numId w:val="2"/>
              </w:numPr>
              <w:spacing w:after="80"/>
              <w:jc w:val="both"/>
            </w:pPr>
            <w:r>
              <w:rPr>
                <w:b/>
                <w:bCs/>
                <w:sz w:val="24"/>
                <w:szCs w:val="24"/>
              </w:rPr>
              <w:t xml:space="preserve">Kindly clarify the latency reported for the domain-generated subset, namely 3.971 ms with the gate against 6.621 ms without it, together with the operations included in the timing of an input for which parsing is bypassed.</w:t>
            </w:r>
          </w:p>
          <w:p>
            <w:pPr>
              <w:pStyle w:val="ListParagraph"/>
              <w:numPr>
                <w:ilvl w:val="1"/>
                <w:numId w:val="2"/>
              </w:numPr>
              <w:spacing w:after="240"/>
              <w:jc w:val="both"/>
            </w:pPr>
            <w:r>
              <w:rPr>
                <w:sz w:val="24"/>
                <w:szCs w:val="24"/>
              </w:rPr>
              <w:t xml:space="preserve">For example, a short note of the operations timed for a bypassed input, such as URL normalisation, provenance hashing and report generation, or a breakdown of the per-input timing for that subset.</w:t>
            </w:r>
          </w:p>
          <w:p>
            <w:pPr>
              <w:pStyle w:val="ListParagraph"/>
              <w:numPr>
                <w:ilvl w:val="0"/>
                <w:numId w:val="2"/>
              </w:numPr>
              <w:spacing w:after="80"/>
              <w:jc w:val="both"/>
            </w:pPr>
            <w:r>
              <w:rPr>
                <w:b/>
                <w:bCs/>
                <w:sz w:val="24"/>
                <w:szCs w:val="24"/>
              </w:rPr>
              <w:t xml:space="preserve">Kindly provide the reference values of the late-fusion decision threshold and of the early-fusion projection weights and decision boundary, together with the basis on which each value was selected.</w:t>
            </w:r>
          </w:p>
          <w:p>
            <w:pPr>
              <w:pStyle w:val="ListParagraph"/>
              <w:numPr>
                <w:ilvl w:val="1"/>
                <w:numId w:val="2"/>
              </w:numPr>
              <w:spacing w:after="240"/>
              <w:jc w:val="both"/>
            </w:pPr>
            <w:r>
              <w:rPr>
                <w:sz w:val="24"/>
                <w:szCs w:val="24"/>
              </w:rPr>
              <w:t xml:space="preserve">For example, the decision threshold applied to the composite risk score and the corpus or experiment from which it was selected.</w:t>
            </w:r>
          </w:p>
          <w:p>
            <w:pPr>
              <w:pStyle w:val="ListParagraph"/>
              <w:numPr>
                <w:ilvl w:val="0"/>
                <w:numId w:val="2"/>
              </w:numPr>
              <w:spacing w:after="80"/>
              <w:jc w:val="both"/>
            </w:pPr>
            <w:r>
              <w:rPr>
                <w:b/>
                <w:bCs/>
                <w:sz w:val="24"/>
                <w:szCs w:val="24"/>
              </w:rPr>
              <w:t xml:space="preserve">Kindly provide the comparative benchmark results, the hold-out logs, the entropy profile results, and the test suite and examples with their execution logs.</w:t>
            </w:r>
          </w:p>
          <w:p>
            <w:pPr>
              <w:pStyle w:val="ListParagraph"/>
              <w:numPr>
                <w:ilvl w:val="1"/>
                <w:numId w:val="2"/>
              </w:numPr>
              <w:spacing w:after="240"/>
              <w:jc w:val="both"/>
            </w:pPr>
            <w:r>
              <w:rPr>
                <w:sz w:val="24"/>
                <w:szCs w:val="24"/>
              </w:rPr>
              <w:t xml:space="preserve">For example, the results file of the 1,000-input comparative benchmark.</w:t>
            </w:r>
          </w:p>
          <w:p>
            <w:pPr>
              <w:pStyle w:val="ListParagraph"/>
              <w:numPr>
                <w:ilvl w:val="0"/>
                <w:numId w:val="2"/>
              </w:numPr>
              <w:spacing w:after="80"/>
              <w:jc w:val="both"/>
            </w:pPr>
            <w:r>
              <w:rPr>
                <w:b/>
                <w:bCs/>
                <w:sz w:val="24"/>
                <w:szCs w:val="24"/>
              </w:rPr>
              <w:t xml:space="preserve">In accordance with Section 10(4) of the Patents Act, 1970, the Complete Specification is required to fully and particularly describe the invention and its operation or use. In this regard, we kindly request you to share any available validation data, including graphs or plots.</w:t>
            </w:r>
          </w:p>
          <w:p>
            <w:pPr>
              <w:pStyle w:val="ListParagraph"/>
              <w:numPr>
                <w:ilvl w:val="1"/>
                <w:numId w:val="2"/>
              </w:numPr>
              <w:spacing w:after="240"/>
              <w:jc w:val="both"/>
            </w:pPr>
            <w:r>
              <w:rPr>
                <w:sz w:val="24"/>
                <w:szCs w:val="24"/>
              </w:rPr>
              <w:t xml:space="preserve">For example, any graph, plot or chart already generated during the testing of the invention.</w:t>
            </w:r>
          </w:p>
        </w:tc>
      </w:tr>
    </w:tbl>
    <w:p w14:paraId="4ABD2791" w14:textId="77777777" w:rsidR="00274D55" w:rsidRDefault="00274D55"/>
    <w:sectPr w:rsidR="00274D55">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05B75"/>
    <w:multiLevelType w:val="hybridMultilevel"/>
    <w:tmpl w:val="E0B62586"/>
    <w:lvl w:ilvl="0" w:tplc="07E079CC">
      <w:start w:val="1"/>
      <w:numFmt w:val="decimal"/>
      <w:lvlText w:val="%1."/>
      <w:lvlJc w:val="left"/>
      <w:pPr>
        <w:ind w:left="648" w:hanging="431"/>
      </w:pPr>
    </w:lvl>
    <w:lvl w:ilvl="1" w:tplc="0C86F4F6">
      <w:start w:val="1"/>
      <w:numFmt w:val="bullet"/>
      <w:lvlText w:val="•"/>
      <w:lvlJc w:val="left"/>
      <w:pPr>
        <w:ind w:left="1224" w:hanging="360"/>
      </w:pPr>
    </w:lvl>
    <w:lvl w:ilvl="2" w:tplc="41884F1E">
      <w:numFmt w:val="decimal"/>
      <w:lvlText w:val=""/>
      <w:lvlJc w:val="left"/>
    </w:lvl>
    <w:lvl w:ilvl="3" w:tplc="C5FE37E8">
      <w:numFmt w:val="decimal"/>
      <w:lvlText w:val=""/>
      <w:lvlJc w:val="left"/>
    </w:lvl>
    <w:lvl w:ilvl="4" w:tplc="4B0C6AB4">
      <w:numFmt w:val="decimal"/>
      <w:lvlText w:val=""/>
      <w:lvlJc w:val="left"/>
    </w:lvl>
    <w:lvl w:ilvl="5" w:tplc="FFD89CE8">
      <w:numFmt w:val="decimal"/>
      <w:lvlText w:val=""/>
      <w:lvlJc w:val="left"/>
    </w:lvl>
    <w:lvl w:ilvl="6" w:tplc="EF58C5F4">
      <w:numFmt w:val="decimal"/>
      <w:lvlText w:val=""/>
      <w:lvlJc w:val="left"/>
    </w:lvl>
    <w:lvl w:ilvl="7" w:tplc="D444F5E2">
      <w:numFmt w:val="decimal"/>
      <w:lvlText w:val=""/>
      <w:lvlJc w:val="left"/>
    </w:lvl>
    <w:lvl w:ilvl="8" w:tplc="A2BA339C">
      <w:numFmt w:val="decimal"/>
      <w:lvlText w:val=""/>
      <w:lvlJc w:val="left"/>
    </w:lvl>
  </w:abstractNum>
  <w:abstractNum w:abstractNumId="1" w15:restartNumberingAfterBreak="0">
    <w:nsid w:val="63A2142C"/>
    <w:multiLevelType w:val="hybridMultilevel"/>
    <w:tmpl w:val="28F0EFB6"/>
    <w:lvl w:ilvl="0" w:tplc="C608D932">
      <w:start w:val="1"/>
      <w:numFmt w:val="bullet"/>
      <w:lvlText w:val="●"/>
      <w:lvlJc w:val="left"/>
      <w:pPr>
        <w:ind w:left="720" w:hanging="360"/>
      </w:pPr>
    </w:lvl>
    <w:lvl w:ilvl="1" w:tplc="DF5EAA88">
      <w:start w:val="1"/>
      <w:numFmt w:val="bullet"/>
      <w:lvlText w:val="○"/>
      <w:lvlJc w:val="left"/>
      <w:pPr>
        <w:ind w:left="1440" w:hanging="360"/>
      </w:pPr>
    </w:lvl>
    <w:lvl w:ilvl="2" w:tplc="CBDA1442">
      <w:start w:val="1"/>
      <w:numFmt w:val="bullet"/>
      <w:lvlText w:val="■"/>
      <w:lvlJc w:val="left"/>
      <w:pPr>
        <w:ind w:left="2160" w:hanging="360"/>
      </w:pPr>
    </w:lvl>
    <w:lvl w:ilvl="3" w:tplc="9E443404">
      <w:start w:val="1"/>
      <w:numFmt w:val="bullet"/>
      <w:lvlText w:val="●"/>
      <w:lvlJc w:val="left"/>
      <w:pPr>
        <w:ind w:left="2880" w:hanging="360"/>
      </w:pPr>
    </w:lvl>
    <w:lvl w:ilvl="4" w:tplc="EE20C7FA">
      <w:start w:val="1"/>
      <w:numFmt w:val="bullet"/>
      <w:lvlText w:val="○"/>
      <w:lvlJc w:val="left"/>
      <w:pPr>
        <w:ind w:left="3600" w:hanging="360"/>
      </w:pPr>
    </w:lvl>
    <w:lvl w:ilvl="5" w:tplc="4638593E">
      <w:start w:val="1"/>
      <w:numFmt w:val="bullet"/>
      <w:lvlText w:val="■"/>
      <w:lvlJc w:val="left"/>
      <w:pPr>
        <w:ind w:left="4320" w:hanging="360"/>
      </w:pPr>
    </w:lvl>
    <w:lvl w:ilvl="6" w:tplc="F20447E8">
      <w:start w:val="1"/>
      <w:numFmt w:val="bullet"/>
      <w:lvlText w:val="●"/>
      <w:lvlJc w:val="left"/>
      <w:pPr>
        <w:ind w:left="5040" w:hanging="360"/>
      </w:pPr>
    </w:lvl>
    <w:lvl w:ilvl="7" w:tplc="E392FD38">
      <w:start w:val="1"/>
      <w:numFmt w:val="bullet"/>
      <w:lvlText w:val="●"/>
      <w:lvlJc w:val="left"/>
      <w:pPr>
        <w:ind w:left="5760" w:hanging="360"/>
      </w:pPr>
    </w:lvl>
    <w:lvl w:ilvl="8" w:tplc="12C210F4">
      <w:start w:val="1"/>
      <w:numFmt w:val="bullet"/>
      <w:lvlText w:val="●"/>
      <w:lvlJc w:val="left"/>
      <w:pPr>
        <w:ind w:left="6480" w:hanging="360"/>
      </w:pPr>
    </w:lvl>
  </w:abstractNum>
  <w:num w:numId="1" w16cid:durableId="1812089281">
    <w:abstractNumId w:val="1"/>
    <w:lvlOverride w:ilvl="0">
      <w:startOverride w:val="1"/>
    </w:lvlOverride>
  </w:num>
  <w:num w:numId="2" w16cid:durableId="19447999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DC6"/>
    <w:rsid w:val="001450DD"/>
    <w:rsid w:val="00274D55"/>
    <w:rsid w:val="00275D93"/>
    <w:rsid w:val="004C6BE0"/>
    <w:rsid w:val="00562850"/>
    <w:rsid w:val="005B6706"/>
    <w:rsid w:val="00743DAE"/>
    <w:rsid w:val="007D4CD7"/>
    <w:rsid w:val="007F5FA7"/>
    <w:rsid w:val="0089555F"/>
    <w:rsid w:val="00A93ECC"/>
    <w:rsid w:val="00ED7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B983A"/>
  <w15:docId w15:val="{1AAA05A1-1D60-4EEE-A6E4-5305DBBD0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280</Words>
  <Characters>1600</Characters>
  <Application>Microsoft Office Word</Application>
  <DocSecurity>0</DocSecurity>
  <Lines>13</Lines>
  <Paragraphs>3</Paragraphs>
  <ScaleCrop>false</ScaleCrop>
  <Company/>
  <LinksUpToDate>false</LinksUpToDate>
  <CharactersWithSpaces>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Lextria Research</cp:lastModifiedBy>
  <cp:revision>2</cp:revision>
  <dcterms:created xsi:type="dcterms:W3CDTF">2026-10-12T06:11:00Z</dcterms:created>
  <dcterms:modified xsi:type="dcterms:W3CDTF">2026-10-12T06:11:00Z</dcterms:modified>
</cp:coreProperties>
</file>